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wmf" ContentType="image/x-wmf"/>
  <Override PartName="/word/media/image2.png" ContentType="image/pn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 w:ascii="新細明體;PMingLiU" w:hAnsi="新細明體;PMingLiU"/>
                                <w:kern w:val="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 w:ascii="新細明體;PMingLiU" w:hAnsi="新細明體;PMingLiU"/>
                          <w:kern w:val="0"/>
                          <w:sz w:val="40"/>
                        </w:rPr>
                        <w:t>/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員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338455</wp:posOffset>
                </wp:positionH>
                <wp:positionV relativeFrom="paragraph">
                  <wp:posOffset>109855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標楷體" w:eastAsia="標楷體"/>
                                <w:sz w:val="52"/>
                              </w:rPr>
                              <w:t>居家氧氣裝置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標準作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業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8.6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eastAsia="標楷體"/>
                          <w:sz w:val="52"/>
                        </w:rPr>
                      </w:pPr>
                      <w:r>
                        <w:rPr>
                          <w:rFonts w:eastAsia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標楷體" w:eastAsia="標楷體"/>
                          <w:sz w:val="52"/>
                        </w:rPr>
                        <w:t>居家氧氣裝置</w:t>
                      </w:r>
                      <w:r>
                        <w:rPr>
                          <w:rFonts w:eastAsia="標楷體"/>
                          <w:sz w:val="52"/>
                        </w:rPr>
                        <w:t>標準作</w:t>
                      </w:r>
                      <w:r>
                        <w:rPr>
                          <w:rFonts w:eastAsia="標楷體"/>
                          <w:sz w:val="52"/>
                        </w:rPr>
                        <w:t>業</w:t>
                      </w:r>
                      <w:r>
                        <w:rPr>
                          <w:rFonts w:eastAsia="標楷體"/>
                          <w:sz w:val="52"/>
                        </w:rPr>
                        <w:t>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column">
                  <wp:posOffset>3886200</wp:posOffset>
                </wp:positionH>
                <wp:positionV relativeFrom="paragraph">
                  <wp:posOffset>228600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A028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4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25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18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A028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108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</w:t>
                      </w:r>
                      <w:r>
                        <w:rPr>
                          <w:rFonts w:eastAsia="標楷體"/>
                          <w:sz w:val="32"/>
                        </w:rPr>
                        <w:t>4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25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1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2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  <w:t>居家氧氣裝置標準作業規範</w: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828"/>
      </w:tblGrid>
      <w:tr>
        <w:trPr>
          <w:trHeight w:val="7860" w:hRule="atLeast"/>
        </w:trPr>
        <w:tc>
          <w:tcPr>
            <w:tcW w:w="1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>
                <w:lang w:val="zh-TW" w:eastAsia="zh-TW"/>
              </w:rPr>
            </w:pPr>
            <w:r>
              <w:rPr>
                <w:lang w:val="zh-TW" w:eastAsia="zh-TW"/>
              </w:rPr>
              <w:drawing>
                <wp:anchor behindDoc="0" distT="0" distB="0" distL="114935" distR="114935" simplePos="0" locked="0" layoutInCell="0" allowOverlap="1" relativeHeight="13">
                  <wp:simplePos x="0" y="0"/>
                  <wp:positionH relativeFrom="column">
                    <wp:posOffset>3094990</wp:posOffset>
                  </wp:positionH>
                  <wp:positionV relativeFrom="paragraph">
                    <wp:posOffset>445135</wp:posOffset>
                  </wp:positionV>
                  <wp:extent cx="2700020" cy="3749040"/>
                  <wp:effectExtent l="0" t="0" r="0" b="0"/>
                  <wp:wrapSquare wrapText="bothSides"/>
                  <wp:docPr id="6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0" t="-7" r="-10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20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  <w:t>=</w:t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</w:tc>
      </w:tr>
    </w:tbl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</w:pP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u w:val="single"/>
        </w:rPr>
        <w:t>居家氧氣裝置標準作業規範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一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AUNW00/AUPW00-A028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color w:val="FF0000"/>
          <w:sz w:val="28"/>
        </w:rPr>
        <w:t xml:space="preserve">7 </w:t>
      </w:r>
      <w:r>
        <w:rPr>
          <w:rFonts w:eastAsia="標楷體" w:cs="標楷體" w:ascii="標楷體" w:hAnsi="標楷體"/>
          <w:sz w:val="28"/>
        </w:rPr>
        <w:t xml:space="preserve">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color w:val="FF0000"/>
          <w:sz w:val="28"/>
        </w:rPr>
        <w:t>7-1</w:t>
      </w:r>
      <w:r>
        <w:rPr>
          <w:rFonts w:eastAsia="標楷體" w:cs="標楷體" w:ascii="標楷體" w:hAnsi="標楷體"/>
          <w:sz w:val="28"/>
        </w:rPr>
        <w:t xml:space="preserve">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848"/>
        <w:gridCol w:w="2907"/>
        <w:gridCol w:w="2353"/>
        <w:gridCol w:w="3708"/>
        <w:gridCol w:w="12"/>
      </w:tblGrid>
      <w:tr>
        <w:trPr/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業 目 的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適 用 範 圍</w:t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 xml:space="preserve">使 用 器 材 、 </w:t>
            </w:r>
            <w:r>
              <w:rPr>
                <w:rFonts w:eastAsia="標楷體"/>
                <w:sz w:val="28"/>
              </w:rPr>
              <w:t>工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t>具</w:t>
            </w:r>
            <w:r>
              <w:rPr>
                <w:rFonts w:eastAsia="Times New Roman"/>
                <w:sz w:val="28"/>
              </w:rPr>
              <w:t xml:space="preserve"> </w:t>
            </w:r>
          </w:p>
        </w:tc>
      </w:tr>
      <w:tr>
        <w:trPr>
          <w:trHeight w:val="5325" w:hRule="atLeast"/>
        </w:trPr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pacing w:lineRule="auto" w:line="36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降低肺動脈壓：對合併患有肺高壓症</w:t>
            </w:r>
            <w:r>
              <w:rPr>
                <w:rFonts w:eastAsia="標楷體" w:cs="標楷體"/>
                <w:color w:val="000000"/>
              </w:rPr>
              <w:br/>
              <w:t xml:space="preserve">    </w:t>
            </w:r>
            <w:r>
              <w:rPr>
                <w:rFonts w:cs="標楷體" w:eastAsia="標楷體"/>
                <w:color w:val="000000"/>
              </w:rPr>
              <w:t>的病人，可預防或延遲心肺症的發</w:t>
            </w:r>
            <w:r>
              <w:rPr>
                <w:rFonts w:eastAsia="標楷體" w:cs="標楷體"/>
                <w:color w:val="000000"/>
              </w:rPr>
              <w:br/>
              <w:t xml:space="preserve">    </w:t>
            </w:r>
            <w:r>
              <w:rPr>
                <w:rFonts w:cs="標楷體" w:eastAsia="標楷體"/>
                <w:color w:val="000000"/>
              </w:rPr>
              <w:t>生。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36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預防夜間低血氧的發生。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360"/>
              <w:rPr>
                <w:rFonts w:eastAsia="標楷體"/>
              </w:rPr>
            </w:pPr>
            <w:r>
              <w:rPr>
                <w:rFonts w:cs="標楷體" w:eastAsia="標楷體"/>
                <w:color w:val="000000"/>
              </w:rPr>
              <w:t>降低心臟與呼吸肌所作的功。</w:t>
            </w: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36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日常生活、行動範圍及社會生活範圍</w:t>
            </w:r>
            <w:r>
              <w:rPr>
                <w:rFonts w:eastAsia="標楷體" w:cs="標楷體"/>
                <w:color w:val="000000"/>
              </w:rPr>
              <w:br/>
              <w:t xml:space="preserve">    </w:t>
            </w:r>
            <w:r>
              <w:rPr>
                <w:rFonts w:cs="標楷體" w:eastAsia="標楷體"/>
                <w:color w:val="000000"/>
              </w:rPr>
              <w:t>的擴大。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360"/>
              <w:rPr>
                <w:rFonts w:eastAsia="標楷體"/>
              </w:rPr>
            </w:pPr>
            <w:r>
              <w:rPr>
                <w:rFonts w:cs="標楷體" w:eastAsia="標楷體"/>
                <w:color w:val="000000"/>
              </w:rPr>
              <w:t>精神及生理狀態的改善。</w:t>
            </w: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36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提高存活率。</w:t>
            </w:r>
          </w:p>
          <w:p>
            <w:pPr>
              <w:pStyle w:val="Normal"/>
              <w:spacing w:lineRule="auto" w:line="36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rFonts w:cs="標楷體" w:eastAsia="標楷體"/>
              </w:rPr>
              <w:t>需居家照護病患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＊收費項目名稱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氧氣</w:t>
            </w:r>
          </w:p>
          <w:p>
            <w:pPr>
              <w:pStyle w:val="Normal"/>
              <w:spacing w:lineRule="exact" w:line="320"/>
              <w:ind w:firstLine="360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eastAsia="標楷體"/>
              </w:rPr>
              <w:t>氧氣濃度分析器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＊收費項目編號</w:t>
            </w:r>
          </w:p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1.</w:t>
            </w:r>
            <w:r>
              <w:rPr/>
              <w:t xml:space="preserve"> </w:t>
            </w:r>
            <w:r>
              <w:rPr>
                <w:rFonts w:eastAsia="標楷體"/>
              </w:rPr>
              <w:t>57004C</w:t>
            </w:r>
          </w:p>
          <w:p>
            <w:pPr>
              <w:pStyle w:val="Normal"/>
              <w:spacing w:lineRule="auto" w:line="360"/>
              <w:ind w:firstLine="360"/>
              <w:rPr/>
            </w:pPr>
            <w:r>
              <w:rPr>
                <w:rFonts w:eastAsia="標楷體"/>
              </w:rPr>
              <w:t xml:space="preserve">2. </w:t>
            </w:r>
            <w:r>
              <w:rPr>
                <w:rFonts w:eastAsia="標楷體"/>
              </w:rPr>
              <w:t>57014B</w:t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rFonts w:cs="標楷體" w:eastAsia="標楷體"/>
              </w:rPr>
              <w:t>居家氧氣製造機</w:t>
            </w:r>
          </w:p>
          <w:p>
            <w:pPr>
              <w:pStyle w:val="Style13"/>
              <w:spacing w:lineRule="auto" w:line="36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  </w:t>
            </w:r>
          </w:p>
          <w:p>
            <w:pPr>
              <w:pStyle w:val="Style13"/>
              <w:spacing w:lineRule="auto" w:line="36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Style13"/>
              <w:spacing w:lineRule="auto" w:line="360"/>
              <w:ind w:firstLine="96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  <w:lang w:val="zh-TW" w:eastAsia="zh-TW"/>
              </w:rPr>
              <w:drawing>
                <wp:inline distT="0" distB="0" distL="0" distR="0">
                  <wp:extent cx="2430145" cy="3380105"/>
                  <wp:effectExtent l="0" t="0" r="0" b="0"/>
                  <wp:docPr id="7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13" t="-10" r="-13" b="-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145" cy="338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755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/>
      </w:pPr>
      <w:r>
        <w:br w:type="page"/>
      </w:r>
      <w:r>
        <w:rPr>
          <w:rFonts w:eastAsia="標楷體"/>
          <w:sz w:val="32"/>
          <w:u w:val="single"/>
        </w:rPr>
        <w:t>居家氧氣裝置標準作業規範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AUNW00/AUPW00-A028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7-2   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5880"/>
        <w:gridCol w:w="348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壹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執行前</w:t>
            </w:r>
          </w:p>
          <w:p>
            <w:pPr>
              <w:pStyle w:val="Normal"/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一</w:t>
            </w:r>
            <w:r>
              <w:rPr>
                <w:rFonts w:eastAsia="標楷體"/>
              </w:rPr>
              <w:t xml:space="preserve">. </w:t>
            </w:r>
            <w:r>
              <w:rPr>
                <w:rFonts w:eastAsia="標楷體"/>
              </w:rPr>
              <w:t>依</w:t>
            </w:r>
            <w:hyperlink r:id="rId4">
              <w:r>
                <w:rPr>
                  <w:rStyle w:val="InternetLink"/>
                  <w:rFonts w:eastAsia="標楷體"/>
                  <w:u w:val="single"/>
                </w:rPr>
                <w:t>處理醫囑標準作業規範</w:t>
              </w:r>
              <w:r>
                <w:rPr>
                  <w:rStyle w:val="InternetLink"/>
                  <w:rFonts w:eastAsia="標楷體"/>
                  <w:u w:val="single"/>
                </w:rPr>
                <w:t>(N26001)</w:t>
              </w:r>
            </w:hyperlink>
            <w:r>
              <w:rPr>
                <w:rFonts w:eastAsia="標楷體"/>
              </w:rPr>
              <w:t>醫囑執行及處理</w:t>
            </w:r>
          </w:p>
          <w:p>
            <w:pPr>
              <w:pStyle w:val="Normal"/>
              <w:ind w:left="480" w:hanging="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一</w:t>
            </w:r>
            <w:r>
              <w:rPr>
                <w:rFonts w:eastAsia="標楷體"/>
              </w:rPr>
              <w:t>)</w:t>
            </w:r>
            <w:r>
              <w:rPr>
                <w:rFonts w:cs="標楷體" w:eastAsia="標楷體"/>
              </w:rPr>
              <w:t>確認醫囑</w:t>
            </w:r>
          </w:p>
          <w:p>
            <w:pPr>
              <w:pStyle w:val="Normal"/>
              <w:ind w:left="960" w:hanging="0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cs="標楷體" w:eastAsia="標楷體"/>
              </w:rPr>
              <w:t>治療的目地</w:t>
            </w:r>
          </w:p>
          <w:p>
            <w:pPr>
              <w:pStyle w:val="Normal"/>
              <w:ind w:left="960" w:hanging="0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cs="標楷體" w:eastAsia="標楷體"/>
              </w:rPr>
              <w:t>治療的形式</w:t>
            </w:r>
          </w:p>
          <w:p>
            <w:pPr>
              <w:pStyle w:val="Normal"/>
              <w:ind w:left="960" w:hanging="0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  <w:r>
              <w:rPr>
                <w:rFonts w:cs="標楷體" w:eastAsia="標楷體"/>
              </w:rPr>
              <w:t>治療頻率</w:t>
            </w:r>
          </w:p>
          <w:p>
            <w:pPr>
              <w:pStyle w:val="Normal"/>
              <w:spacing w:lineRule="atLeast" w:line="320"/>
              <w:ind w:firstLine="96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4.</w:t>
            </w:r>
            <w:r>
              <w:rPr>
                <w:rFonts w:cs="標楷體" w:eastAsia="標楷體"/>
              </w:rPr>
              <w:t>氧氣濃度</w:t>
            </w:r>
          </w:p>
          <w:p>
            <w:pPr>
              <w:pStyle w:val="Normal"/>
              <w:spacing w:lineRule="atLeast" w:line="320"/>
              <w:ind w:firstLine="96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/>
            </w:pPr>
            <w:r>
              <w:rPr>
                <w:rFonts w:cs="標楷體" w:eastAsia="標楷體"/>
              </w:rPr>
              <w:t>二</w:t>
            </w:r>
            <w:r>
              <w:rPr>
                <w:rFonts w:eastAsia="標楷體"/>
              </w:rPr>
              <w:t>.</w:t>
            </w:r>
            <w:r>
              <w:rPr>
                <w:rFonts w:cs="標楷體" w:eastAsia="標楷體"/>
              </w:rPr>
              <w:t>檢閱病歷</w:t>
            </w: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瞭解適用對象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ind w:firstLine="48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一</w:t>
            </w:r>
            <w:r>
              <w:rPr>
                <w:rFonts w:eastAsia="標楷體"/>
              </w:rPr>
              <w:t>)</w:t>
            </w:r>
            <w:r>
              <w:rPr>
                <w:rFonts w:cs="標楷體" w:eastAsia="標楷體"/>
              </w:rPr>
              <w:t>確認有關數據</w:t>
            </w:r>
          </w:p>
          <w:p>
            <w:pPr>
              <w:pStyle w:val="Normal"/>
              <w:ind w:left="960" w:hanging="0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cs="標楷體" w:eastAsia="標楷體"/>
              </w:rPr>
              <w:t>病史及身體檢查</w:t>
            </w:r>
          </w:p>
          <w:p>
            <w:pPr>
              <w:pStyle w:val="Normal"/>
              <w:ind w:left="960" w:hanging="0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cs="標楷體" w:eastAsia="標楷體"/>
              </w:rPr>
              <w:t>住院診斷</w:t>
            </w:r>
          </w:p>
          <w:p>
            <w:pPr>
              <w:pStyle w:val="Normal"/>
              <w:ind w:left="960" w:hanging="0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  <w:r>
              <w:rPr>
                <w:rFonts w:cs="標楷體" w:eastAsia="標楷體"/>
              </w:rPr>
              <w:t>病程記錄</w:t>
            </w:r>
          </w:p>
          <w:p>
            <w:pPr>
              <w:pStyle w:val="Normal"/>
              <w:ind w:left="960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ind w:left="960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ind w:firstLine="48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二</w:t>
            </w:r>
            <w:r>
              <w:rPr>
                <w:rFonts w:eastAsia="標楷體"/>
              </w:rPr>
              <w:t>)</w:t>
            </w:r>
            <w:r>
              <w:rPr>
                <w:rFonts w:cs="標楷體" w:eastAsia="標楷體"/>
              </w:rPr>
              <w:t>檢閱相關數據</w:t>
            </w:r>
          </w:p>
          <w:p>
            <w:pPr>
              <w:pStyle w:val="Normal"/>
              <w:ind w:left="960" w:hanging="0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cs="標楷體" w:eastAsia="標楷體"/>
              </w:rPr>
              <w:t>動脈血氣體分析</w:t>
            </w:r>
          </w:p>
          <w:p>
            <w:pPr>
              <w:pStyle w:val="Normal"/>
              <w:ind w:left="1410" w:hanging="450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cs="標楷體" w:eastAsia="標楷體"/>
              </w:rPr>
              <w:t>經脈血氧飽合度監測、</w:t>
            </w:r>
          </w:p>
          <w:p>
            <w:pPr>
              <w:pStyle w:val="Normal"/>
              <w:ind w:left="1410" w:hanging="450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  <w:r>
              <w:rPr>
                <w:rFonts w:cs="標楷體" w:eastAsia="標楷體"/>
              </w:rPr>
              <w:t>心電圖</w:t>
            </w:r>
          </w:p>
          <w:p>
            <w:pPr>
              <w:pStyle w:val="Normal"/>
              <w:ind w:left="1080" w:hanging="120"/>
              <w:rPr>
                <w:rFonts w:eastAsia="標楷體"/>
              </w:rPr>
            </w:pPr>
            <w:r>
              <w:rPr>
                <w:rFonts w:eastAsia="標楷體"/>
              </w:rPr>
              <w:t>4</w:t>
            </w:r>
            <w:r>
              <w:rPr>
                <w:rFonts w:cs="標楷體" w:eastAsia="標楷體"/>
              </w:rPr>
              <w:t>睡眠或運動血氧飽合度評估</w:t>
            </w:r>
          </w:p>
          <w:p>
            <w:pPr>
              <w:pStyle w:val="Normal"/>
              <w:spacing w:lineRule="atLeas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320"/>
              <w:ind w:firstLine="1229"/>
              <w:rPr>
                <w:rFonts w:ascii="標楷體" w:hAnsi="標楷體" w:eastAsia="標楷體" w:cs="新細明體;PMingLiU"/>
              </w:rPr>
            </w:pPr>
            <w:r>
              <w:rPr>
                <w:rFonts w:eastAsia="標楷體" w:cs="新細明體;PMingLiU" w:ascii="標楷體" w:hAnsi="標楷體"/>
              </w:rPr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600" w:hanging="600"/>
              <w:rPr>
                <w:rFonts w:eastAsia="標楷體"/>
              </w:rPr>
            </w:pPr>
            <w:r>
              <w:rPr>
                <w:rFonts w:cs="標楷體" w:eastAsia="標楷體"/>
              </w:rPr>
              <w:t>一</w:t>
            </w:r>
            <w:r>
              <w:rPr>
                <w:rFonts w:eastAsia="標楷體"/>
              </w:rPr>
              <w:t>.</w:t>
            </w:r>
            <w:r>
              <w:rPr>
                <w:rFonts w:cs="標楷體" w:eastAsia="標楷體"/>
              </w:rPr>
              <w:t>治療的形式、頻率及氧氣濃度</w:t>
            </w:r>
            <w:r>
              <w:rPr>
                <w:rFonts w:eastAsia="標楷體"/>
              </w:rPr>
              <w:t>.</w:t>
            </w:r>
            <w:r>
              <w:rPr>
                <w:rFonts w:cs="標楷體" w:eastAsia="標楷體"/>
              </w:rPr>
              <w:t>必須遵照醫師的指示使用氧氣，如使用流量及使用時間，不可擅自停用，亦不可隨便更改流量，否則會影響到治療的效果。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cs="標楷體" w:eastAsia="標楷體"/>
              </w:rPr>
              <w:t>二</w:t>
            </w:r>
            <w:r>
              <w:rPr>
                <w:rFonts w:eastAsia="標楷體"/>
              </w:rPr>
              <w:t>.</w:t>
            </w:r>
            <w:r>
              <w:rPr>
                <w:rFonts w:cs="標楷體" w:eastAsia="標楷體"/>
              </w:rPr>
              <w:t>符合下列標準才是長期氧氣治療的適用對象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一</w:t>
            </w:r>
            <w:r>
              <w:rPr>
                <w:rFonts w:eastAsia="標楷體"/>
              </w:rPr>
              <w:t>)</w:t>
            </w:r>
            <w:r>
              <w:rPr>
                <w:rFonts w:cs="標楷體" w:eastAsia="標楷體"/>
              </w:rPr>
              <w:t>持續的氧氣治療：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br/>
            </w:r>
            <w:r>
              <w:rPr>
                <w:rFonts w:eastAsia="標楷體"/>
              </w:rPr>
              <w:t xml:space="preserve">     </w:t>
            </w:r>
            <w:r>
              <w:rPr>
                <w:rFonts w:eastAsia="標楷體"/>
              </w:rPr>
              <w:t xml:space="preserve"> 1.</w:t>
            </w:r>
            <w:r>
              <w:rPr>
                <w:rFonts w:cs="標楷體" w:eastAsia="標楷體"/>
              </w:rPr>
              <w:t>休息時，動脈血氧分壓低於</w:t>
            </w:r>
            <w:r>
              <w:rPr>
                <w:rFonts w:eastAsia="標楷體"/>
              </w:rPr>
              <w:t xml:space="preserve">55mmHg </w:t>
            </w:r>
            <w:r>
              <w:rPr>
                <w:rFonts w:cs="標楷體" w:eastAsia="標楷體"/>
              </w:rPr>
              <w:t>或血氧飽合度低於</w:t>
            </w:r>
            <w:r>
              <w:rPr>
                <w:rFonts w:eastAsia="標楷體"/>
              </w:rPr>
              <w:t>88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Times New Roman"/>
              </w:rPr>
              <w:t xml:space="preserve">       </w:t>
            </w:r>
            <w:r>
              <w:rPr>
                <w:rFonts w:cs="標楷體" w:eastAsia="標楷體"/>
              </w:rPr>
              <w:t>％。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br/>
            </w:r>
            <w:r>
              <w:rPr>
                <w:rFonts w:eastAsia="標楷體"/>
              </w:rPr>
              <w:t xml:space="preserve">     </w:t>
            </w:r>
            <w:r>
              <w:rPr>
                <w:rFonts w:eastAsia="標楷體"/>
              </w:rPr>
              <w:t xml:space="preserve"> 2.</w:t>
            </w:r>
            <w:r>
              <w:rPr>
                <w:rFonts w:cs="標楷體" w:eastAsia="標楷體"/>
              </w:rPr>
              <w:t>休息時，動脈血氧分壓介於</w:t>
            </w:r>
            <w:r>
              <w:rPr>
                <w:rFonts w:eastAsia="標楷體"/>
              </w:rPr>
              <w:t>55-59mmHg</w:t>
            </w:r>
            <w:r>
              <w:rPr>
                <w:rFonts w:cs="標楷體" w:eastAsia="標楷體"/>
              </w:rPr>
              <w:t>或血氧飽合度</w:t>
            </w:r>
            <w:r>
              <w:rPr>
                <w:rFonts w:eastAsia="標楷體"/>
              </w:rPr>
              <w:t>89</w:t>
            </w:r>
            <w:r>
              <w:rPr>
                <w:rFonts w:cs="標楷體" w:eastAsia="標楷體"/>
              </w:rPr>
              <w:t>％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cs="Times New Roman" w:eastAsia="Times New Roman"/>
              </w:rPr>
              <w:t xml:space="preserve">       </w:t>
            </w:r>
            <w:r>
              <w:rPr>
                <w:rFonts w:cs="標楷體" w:eastAsia="標楷體"/>
              </w:rPr>
              <w:t>以上，合併有鬱血性心衰竭、心電圖證實有心肺症、紅血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cs="Times New Roman" w:eastAsia="Times New Roman"/>
              </w:rPr>
              <w:t xml:space="preserve">       </w:t>
            </w:r>
            <w:r>
              <w:rPr>
                <w:rFonts w:cs="標楷體" w:eastAsia="標楷體"/>
              </w:rPr>
              <w:t>球增生症的情形。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br/>
            </w:r>
            <w:r>
              <w:rPr>
                <w:rFonts w:eastAsia="標楷體"/>
              </w:rPr>
              <w:t xml:space="preserve">     </w:t>
            </w:r>
            <w:r>
              <w:rPr>
                <w:rFonts w:eastAsia="標楷體"/>
              </w:rPr>
              <w:t xml:space="preserve"> 3.</w:t>
            </w:r>
            <w:r>
              <w:rPr>
                <w:rFonts w:cs="標楷體" w:eastAsia="標楷體"/>
              </w:rPr>
              <w:t>休息時，動脈血氧分壓大於</w:t>
            </w:r>
            <w:r>
              <w:rPr>
                <w:rFonts w:eastAsia="標楷體"/>
              </w:rPr>
              <w:t>59mmHg</w:t>
            </w:r>
            <w:r>
              <w:rPr>
                <w:rFonts w:cs="標楷體" w:eastAsia="標楷體"/>
              </w:rPr>
              <w:t>或血氧飽合度大於</w:t>
            </w:r>
          </w:p>
          <w:p>
            <w:pPr>
              <w:pStyle w:val="Normal"/>
              <w:spacing w:lineRule="exact" w:line="320"/>
              <w:ind w:firstLine="720"/>
              <w:rPr>
                <w:rFonts w:eastAsia="標楷體"/>
              </w:rPr>
            </w:pPr>
            <w:r>
              <w:rPr>
                <w:rFonts w:eastAsia="標楷體"/>
              </w:rPr>
              <w:t>89</w:t>
            </w:r>
            <w:r>
              <w:rPr>
                <w:rFonts w:cs="標楷體" w:eastAsia="標楷體"/>
              </w:rPr>
              <w:t>％，接受過其他保守療法失敗，且醫囑特別需要時。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br/>
            </w:r>
            <w:r>
              <w:rPr>
                <w:rFonts w:eastAsia="標楷體"/>
              </w:rPr>
              <w:t xml:space="preserve">     </w:t>
            </w:r>
            <w:r>
              <w:rPr>
                <w:rFonts w:eastAsia="標楷體"/>
              </w:rPr>
              <w:t xml:space="preserve"> 4.</w:t>
            </w:r>
            <w:r>
              <w:rPr>
                <w:rFonts w:cs="標楷體" w:eastAsia="標楷體"/>
              </w:rPr>
              <w:t>以上病人必須持續使用氧氣一天</w:t>
            </w:r>
            <w:r>
              <w:rPr>
                <w:rFonts w:eastAsia="標楷體"/>
              </w:rPr>
              <w:t>12</w:t>
            </w:r>
            <w:r>
              <w:rPr>
                <w:rFonts w:cs="標楷體" w:eastAsia="標楷體"/>
              </w:rPr>
              <w:t>至</w:t>
            </w:r>
            <w:r>
              <w:rPr>
                <w:rFonts w:eastAsia="標楷體"/>
              </w:rPr>
              <w:t>24</w:t>
            </w:r>
            <w:r>
              <w:rPr>
                <w:rFonts w:cs="標楷體" w:eastAsia="標楷體"/>
              </w:rPr>
              <w:t>小時，才能達到長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Times New Roman" w:eastAsia="Times New Roman"/>
              </w:rPr>
              <w:t xml:space="preserve">       </w:t>
            </w:r>
            <w:r>
              <w:rPr>
                <w:rFonts w:cs="標楷體" w:eastAsia="標楷體"/>
              </w:rPr>
              <w:t>期氧氣治療的目標</w:t>
            </w:r>
          </w:p>
          <w:p>
            <w:pPr>
              <w:pStyle w:val="Normal"/>
              <w:ind w:left="718" w:hanging="329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二</w:t>
            </w:r>
            <w:r>
              <w:rPr>
                <w:rFonts w:eastAsia="標楷體"/>
              </w:rPr>
              <w:t>)</w:t>
            </w:r>
            <w:r>
              <w:rPr>
                <w:rFonts w:cs="標楷體" w:eastAsia="標楷體"/>
              </w:rPr>
              <w:t>非持續的氧氣治療：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br/>
              <w:t>1.</w:t>
            </w:r>
            <w:r>
              <w:rPr>
                <w:rFonts w:cs="標楷體" w:eastAsia="標楷體"/>
              </w:rPr>
              <w:t>運動時，在低度運動時動脈血氧分壓低於</w:t>
            </w:r>
            <w:r>
              <w:rPr>
                <w:rFonts w:eastAsia="標楷體"/>
              </w:rPr>
              <w:t xml:space="preserve">55mmHg </w:t>
            </w:r>
            <w:r>
              <w:rPr>
                <w:rFonts w:cs="標楷體" w:eastAsia="標楷體"/>
              </w:rPr>
              <w:t>或血氧飽合度低於</w:t>
            </w:r>
            <w:r>
              <w:rPr>
                <w:rFonts w:eastAsia="標楷體"/>
              </w:rPr>
              <w:t>88</w:t>
            </w:r>
            <w:r>
              <w:rPr>
                <w:rFonts w:cs="標楷體" w:eastAsia="標楷體"/>
              </w:rPr>
              <w:t>％。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br/>
              <w:t>2.</w:t>
            </w:r>
            <w:r>
              <w:rPr>
                <w:rFonts w:cs="標楷體" w:eastAsia="標楷體"/>
              </w:rPr>
              <w:t>睡眠時，動脈血氧分壓低於</w:t>
            </w:r>
            <w:r>
              <w:rPr>
                <w:rFonts w:eastAsia="標楷體"/>
              </w:rPr>
              <w:t>55mmHg</w:t>
            </w:r>
            <w:r>
              <w:rPr>
                <w:rFonts w:cs="標楷體" w:eastAsia="標楷體"/>
              </w:rPr>
              <w:t>或血氧飽合度低於</w:t>
            </w:r>
            <w:r>
              <w:rPr>
                <w:rFonts w:eastAsia="標楷體"/>
              </w:rPr>
              <w:t>88</w:t>
            </w:r>
            <w:r>
              <w:rPr>
                <w:rFonts w:cs="標楷體" w:eastAsia="標楷體"/>
              </w:rPr>
              <w:t>％，並合併有慢性缺氧的併發症，如肺高壓症、日間嗜睡、心律不整等。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br/>
            </w:r>
            <w:r>
              <w:rPr>
                <w:rFonts w:cs="標楷體" w:eastAsia="標楷體"/>
              </w:rPr>
              <w:t>以上情形，病人不須要持續用氧，但在特殊狀況下必須用氧，至於氧氣流量、使用時間，則須另外評估</w:t>
            </w:r>
          </w:p>
        </w:tc>
      </w:tr>
      <w:tr>
        <w:trPr/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/>
      </w:pPr>
      <w:r>
        <w:br w:type="page"/>
      </w:r>
      <w:r>
        <w:rPr>
          <w:rFonts w:eastAsia="標楷體"/>
          <w:sz w:val="32"/>
          <w:u w:val="single"/>
        </w:rPr>
        <w:t>居家氧氣裝置標準作業規範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hanging="0"/>
        <w:rPr/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AUNW00/AUPW00-A028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7-3 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7020"/>
        <w:gridCol w:w="234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7076" w:hRule="atLeast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 w:cs="標楷體"/>
              </w:rPr>
            </w:pPr>
            <w:r>
              <w:rPr>
                <w:rFonts w:eastAsia="標楷體"/>
              </w:rPr>
              <w:t>三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依</w:t>
            </w:r>
            <w:hyperlink r:id="rId5">
              <w:r>
                <w:rPr>
                  <w:rStyle w:val="InternetLink"/>
                  <w:rFonts w:eastAsia="標楷體"/>
                  <w:u w:val="single"/>
                </w:rPr>
                <w:t>手部衛生感染管制作業要點</w:t>
              </w:r>
              <w:r>
                <w:rPr>
                  <w:rStyle w:val="InternetLink"/>
                  <w:rFonts w:eastAsia="標楷體"/>
                  <w:u w:val="single"/>
                </w:rPr>
                <w:t>(L05328)</w:t>
              </w:r>
            </w:hyperlink>
            <w:r>
              <w:rPr>
                <w:rFonts w:eastAsia="標楷體"/>
              </w:rPr>
              <w:t>執行洗手</w:t>
            </w:r>
          </w:p>
          <w:p>
            <w:pPr>
              <w:pStyle w:val="Normal"/>
              <w:rPr/>
            </w:pPr>
            <w:r>
              <w:rPr>
                <w:rFonts w:cs="標楷體" w:eastAsia="標楷體"/>
              </w:rPr>
              <w:t>四</w:t>
            </w:r>
            <w:r>
              <w:rPr>
                <w:rFonts w:eastAsia="標楷體"/>
              </w:rPr>
              <w:t>.</w:t>
            </w:r>
            <w:r>
              <w:rPr>
                <w:rFonts w:cs="標楷體" w:eastAsia="標楷體"/>
              </w:rPr>
              <w:t>準備用物</w:t>
            </w:r>
            <w:r>
              <w:rPr>
                <w:rFonts w:eastAsia="標楷體"/>
              </w:rPr>
              <w:t>:(</w:t>
            </w:r>
            <w:r>
              <w:rPr>
                <w:rFonts w:cs="標楷體" w:eastAsia="標楷體"/>
              </w:rPr>
              <w:t>附圖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ind w:left="720" w:hanging="0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cs="標楷體" w:eastAsia="標楷體"/>
              </w:rPr>
              <w:t>氧氣濃縮機</w:t>
            </w:r>
          </w:p>
          <w:p>
            <w:pPr>
              <w:pStyle w:val="Normal"/>
              <w:ind w:left="1170" w:hanging="450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cs="標楷體" w:eastAsia="標楷體"/>
              </w:rPr>
              <w:t>潮濕瓶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視病人情況需要</w:t>
            </w:r>
            <w:r>
              <w:rPr>
                <w:rFonts w:eastAsia="標楷體" w:cs="標楷體"/>
              </w:rPr>
              <w:t>)</w:t>
            </w:r>
          </w:p>
          <w:p>
            <w:pPr>
              <w:pStyle w:val="Normal"/>
              <w:ind w:left="1170" w:hanging="450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  <w:r>
              <w:rPr>
                <w:rFonts w:cs="標楷體" w:eastAsia="標楷體"/>
              </w:rPr>
              <w:t>鼻</w:t>
            </w:r>
            <w:r>
              <w:rPr>
                <w:rFonts w:cs="標楷體" w:eastAsia="標楷體"/>
              </w:rPr>
              <w:t>導</w:t>
            </w:r>
            <w:r>
              <w:rPr>
                <w:rFonts w:cs="標楷體" w:eastAsia="標楷體"/>
              </w:rPr>
              <w:t>管</w:t>
            </w:r>
          </w:p>
          <w:p>
            <w:pPr>
              <w:pStyle w:val="Normal"/>
              <w:ind w:left="840" w:hanging="120"/>
              <w:rPr>
                <w:rFonts w:eastAsia="標楷體"/>
              </w:rPr>
            </w:pPr>
            <w:r>
              <w:rPr>
                <w:rFonts w:eastAsia="標楷體"/>
              </w:rPr>
              <w:t>4.</w:t>
            </w:r>
            <w:r>
              <w:rPr>
                <w:rFonts w:cs="標楷體" w:eastAsia="標楷體"/>
              </w:rPr>
              <w:t>蒸餾水；煮過的冷開水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視情況需要</w:t>
            </w:r>
            <w:r>
              <w:rPr>
                <w:rFonts w:eastAsia="標楷體" w:cs="標楷體"/>
              </w:rPr>
              <w:t>)</w:t>
            </w:r>
          </w:p>
          <w:p>
            <w:pPr>
              <w:pStyle w:val="Normal"/>
              <w:spacing w:lineRule="atLeas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cs="標楷體" w:eastAsia="標楷體"/>
              </w:rPr>
              <w:t>五</w:t>
            </w:r>
            <w:r>
              <w:rPr>
                <w:rFonts w:eastAsia="標楷體"/>
              </w:rPr>
              <w:t>.</w:t>
            </w:r>
            <w:r>
              <w:rPr>
                <w:rFonts w:cs="標楷體" w:eastAsia="標楷體"/>
              </w:rPr>
              <w:t>使用前準備</w:t>
            </w:r>
          </w:p>
          <w:p>
            <w:pPr>
              <w:pStyle w:val="Normal"/>
              <w:ind w:left="720" w:hanging="0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cs="標楷體" w:eastAsia="標楷體"/>
              </w:rPr>
              <w:t>將機器接上適當電源</w:t>
            </w:r>
          </w:p>
          <w:p>
            <w:pPr>
              <w:pStyle w:val="Normal"/>
              <w:ind w:left="720" w:hanging="0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cs="標楷體" w:eastAsia="標楷體"/>
              </w:rPr>
              <w:t>接好潮濕瓶接頭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視情況需要</w:t>
            </w:r>
            <w:r>
              <w:rPr>
                <w:rFonts w:eastAsia="標楷體" w:cs="標楷體"/>
              </w:rPr>
              <w:t>)</w:t>
            </w:r>
          </w:p>
          <w:p>
            <w:pPr>
              <w:pStyle w:val="Normal"/>
              <w:ind w:left="960" w:hanging="240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  <w:r>
              <w:rPr>
                <w:rFonts w:cs="標楷體" w:eastAsia="標楷體"/>
              </w:rPr>
              <w:t>將蒸餾水或煮過的冷開水加至適當水位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視情況需要</w:t>
            </w:r>
            <w:r>
              <w:rPr>
                <w:rFonts w:eastAsia="標楷體" w:cs="標楷體"/>
              </w:rPr>
              <w:t>)</w:t>
            </w:r>
          </w:p>
          <w:p>
            <w:pPr>
              <w:pStyle w:val="Normal"/>
              <w:ind w:left="960" w:hanging="240"/>
              <w:rPr/>
            </w:pPr>
            <w:r>
              <w:rPr>
                <w:rFonts w:eastAsia="標楷體"/>
              </w:rPr>
              <w:t>4.</w:t>
            </w:r>
            <w:r>
              <w:rPr>
                <w:rFonts w:cs="標楷體" w:eastAsia="標楷體"/>
              </w:rPr>
              <w:t>確定氧氣流量是否順暢。</w:t>
            </w: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註</w:t>
            </w:r>
            <w:r>
              <w:rPr>
                <w:rFonts w:eastAsia="標楷體"/>
              </w:rPr>
              <w:t>1)</w:t>
            </w:r>
          </w:p>
          <w:p>
            <w:pPr>
              <w:pStyle w:val="Normal"/>
              <w:spacing w:lineRule="atLeast" w:line="320"/>
              <w:ind w:right="276" w:firstLine="7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5.</w:t>
            </w:r>
            <w:r>
              <w:rPr>
                <w:rFonts w:cs="標楷體" w:eastAsia="標楷體"/>
              </w:rPr>
              <w:t>協助病人將鼻管戴好</w:t>
            </w:r>
          </w:p>
          <w:p>
            <w:pPr>
              <w:pStyle w:val="Normal"/>
              <w:spacing w:lineRule="atLeast" w:line="320"/>
              <w:ind w:right="276" w:hanging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320"/>
              <w:ind w:right="276" w:hanging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  <w:kern w:val="2"/>
              </w:rPr>
            </w:pPr>
            <w:r>
              <w:rPr>
                <w:rFonts w:eastAsia="標楷體"/>
                <w:kern w:val="2"/>
              </w:rPr>
            </w:r>
          </w:p>
        </w:tc>
        <w:tc>
          <w:tcPr>
            <w:tcW w:w="6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附圖一</w:t>
            </w:r>
          </w:p>
          <w:p>
            <w:pPr>
              <w:pStyle w:val="Normal"/>
              <w:spacing w:lineRule="atLeast" w:line="32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drawing>
                <wp:inline distT="0" distB="0" distL="0" distR="0">
                  <wp:extent cx="1525905" cy="1795780"/>
                  <wp:effectExtent l="0" t="0" r="0" b="0"/>
                  <wp:docPr id="8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31" t="-26" r="-31" b="-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905" cy="179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drawing>
                <wp:inline distT="0" distB="0" distL="0" distR="0">
                  <wp:extent cx="968375" cy="1509395"/>
                  <wp:effectExtent l="0" t="0" r="0" b="0"/>
                  <wp:docPr id="9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23" t="-15" r="-23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375" cy="150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tLeas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註</w:t>
            </w:r>
            <w:r>
              <w:rPr>
                <w:rFonts w:eastAsia="標楷體"/>
              </w:rPr>
              <w:t xml:space="preserve">1) </w:t>
            </w:r>
            <w:r>
              <w:rPr>
                <w:rFonts w:cs="標楷體" w:eastAsia="標楷體"/>
              </w:rPr>
              <w:t>如設定流量、確定氧氣流量是否順暢，若感覺不到氧氣</w:t>
            </w:r>
            <w:r>
              <w:rPr>
                <w:rFonts w:eastAsia="標楷體"/>
              </w:rPr>
              <w:t>,</w:t>
            </w:r>
            <w:r>
              <w:rPr>
                <w:rFonts w:cs="標楷體" w:eastAsia="標楷體"/>
              </w:rPr>
              <w:t>可將鼻管放入水中</w:t>
            </w:r>
            <w:r>
              <w:rPr>
                <w:rFonts w:eastAsia="標楷體"/>
              </w:rPr>
              <w:t>,</w:t>
            </w:r>
            <w:r>
              <w:rPr>
                <w:rFonts w:cs="標楷體" w:eastAsia="標楷體"/>
              </w:rPr>
              <w:t>看潮濕瓶是否有冒泡，或將鼻管對著臉頰感覺是否有流量</w:t>
            </w:r>
            <w:r>
              <w:rPr>
                <w:rFonts w:eastAsia="標楷體"/>
              </w:rPr>
              <w:t>,</w:t>
            </w:r>
            <w:r>
              <w:rPr>
                <w:rFonts w:cs="標楷體" w:eastAsia="標楷體"/>
              </w:rPr>
              <w:t>若無請檢查潮濕瓶</w:t>
            </w:r>
            <w:r>
              <w:rPr>
                <w:rFonts w:eastAsia="標楷體"/>
              </w:rPr>
              <w:t>,</w:t>
            </w:r>
            <w:r>
              <w:rPr>
                <w:rFonts w:cs="標楷體" w:eastAsia="標楷體"/>
              </w:rPr>
              <w:t>是否按照螺紋旋緊。</w:t>
            </w:r>
          </w:p>
          <w:p>
            <w:pPr>
              <w:pStyle w:val="Style13"/>
              <w:spacing w:lineRule="exact" w:line="2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7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br w:type="page"/>
      </w:r>
      <w:r>
        <w:rPr>
          <w:rFonts w:eastAsia="標楷體"/>
          <w:sz w:val="32"/>
          <w:u w:val="single"/>
        </w:rPr>
        <w:t>居家氧氣裝置標準作業規範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AUNW00/AUPW00-A028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7-4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6153"/>
        <w:gridCol w:w="3207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9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6792" w:hRule="atLeast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貳</w:t>
            </w:r>
          </w:p>
        </w:tc>
        <w:tc>
          <w:tcPr>
            <w:tcW w:w="6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320"/>
              <w:ind w:right="276" w:hanging="0"/>
              <w:jc w:val="both"/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執行中</w:t>
            </w:r>
          </w:p>
          <w:p>
            <w:pPr>
              <w:pStyle w:val="Normal"/>
              <w:numPr>
                <w:ilvl w:val="0"/>
                <w:numId w:val="6"/>
              </w:numPr>
              <w:spacing w:lineRule="atLeast" w:line="320"/>
              <w:ind w:left="456" w:right="276" w:hanging="456"/>
              <w:jc w:val="both"/>
              <w:rPr/>
            </w:pPr>
            <w:r>
              <w:rPr>
                <w:rFonts w:eastAsia="標楷體"/>
                <w:kern w:val="0"/>
                <w:sz w:val="23"/>
                <w:szCs w:val="23"/>
              </w:rPr>
              <w:t>依</w:t>
            </w:r>
            <w:hyperlink r:id="rId8">
              <w:r>
                <w:rPr>
                  <w:rStyle w:val="InternetLink"/>
                  <w:rFonts w:eastAsia="標楷體"/>
                  <w:kern w:val="0"/>
                  <w:sz w:val="23"/>
                  <w:szCs w:val="23"/>
                  <w:u w:val="single"/>
                </w:rPr>
                <w:t>病人安全作業管理準則</w:t>
              </w:r>
              <w:r>
                <w:rPr>
                  <w:rStyle w:val="InternetLink"/>
                  <w:rFonts w:eastAsia="標楷體"/>
                  <w:kern w:val="0"/>
                  <w:sz w:val="23"/>
                  <w:szCs w:val="23"/>
                  <w:u w:val="single"/>
                </w:rPr>
                <w:t>(L03507)</w:t>
              </w:r>
            </w:hyperlink>
            <w:r>
              <w:rPr>
                <w:rFonts w:eastAsia="標楷體"/>
                <w:kern w:val="0"/>
                <w:sz w:val="23"/>
                <w:szCs w:val="23"/>
              </w:rPr>
              <w:t>執行病人辨識</w:t>
            </w:r>
          </w:p>
          <w:p>
            <w:pPr>
              <w:pStyle w:val="Normal"/>
              <w:spacing w:lineRule="exact" w:line="320"/>
              <w:textAlignment w:val="baseline"/>
              <w:rPr/>
            </w:pPr>
            <w:r>
              <w:rPr>
                <w:rFonts w:eastAsia="標楷體"/>
                <w:kern w:val="0"/>
                <w:sz w:val="23"/>
                <w:szCs w:val="23"/>
              </w:rPr>
              <w:t>二、</w:t>
            </w:r>
            <w:r>
              <w:rPr>
                <w:rFonts w:eastAsia="標楷體"/>
                <w:kern w:val="0"/>
              </w:rPr>
              <w:t>向病人和家屬說明使用此儀器目的及過程。</w:t>
            </w:r>
          </w:p>
          <w:p>
            <w:pPr>
              <w:pStyle w:val="Normal"/>
              <w:spacing w:lineRule="atLeast" w:line="320"/>
              <w:ind w:right="276" w:hanging="0"/>
              <w:jc w:val="both"/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三、</w:t>
            </w:r>
            <w:r>
              <w:rPr>
                <w:rFonts w:eastAsia="標楷體"/>
                <w:kern w:val="0"/>
              </w:rPr>
              <w:t>操作步驟依使用機型操作說明書或操作手冊執行。</w:t>
            </w:r>
          </w:p>
          <w:p>
            <w:pPr>
              <w:pStyle w:val="Normal"/>
              <w:spacing w:lineRule="atLeast" w:line="320"/>
              <w:ind w:right="276" w:hanging="0"/>
              <w:jc w:val="both"/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四</w:t>
            </w:r>
            <w:r>
              <w:rPr>
                <w:rFonts w:cs="標楷體" w:eastAsia="標楷體"/>
              </w:rPr>
              <w:t>、操作步驟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1230" w:leader="none"/>
              </w:tabs>
              <w:spacing w:lineRule="atLeast" w:line="320"/>
              <w:ind w:left="1230" w:right="276" w:hanging="720"/>
              <w:jc w:val="both"/>
              <w:rPr/>
            </w:pPr>
            <w:r>
              <w:rPr>
                <w:rFonts w:cs="標楷體" w:eastAsia="標楷體"/>
              </w:rPr>
              <w:t>打開機器開關</w:t>
            </w: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附圖三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spacing w:lineRule="atLeast" w:line="320"/>
              <w:ind w:left="1200" w:right="276" w:hanging="0"/>
              <w:jc w:val="both"/>
              <w:rPr/>
            </w:pPr>
            <w:r>
              <w:rPr>
                <w:rFonts w:cs="標楷體" w:eastAsia="標楷體"/>
              </w:rPr>
              <w:t>開機後，會看到紅色警報指示燈亮及聽到響聲，電腦自我偵測</w:t>
            </w:r>
            <w:r>
              <w:rPr>
                <w:rFonts w:eastAsia="標楷體"/>
              </w:rPr>
              <w:t>3-5</w:t>
            </w:r>
            <w:r>
              <w:rPr>
                <w:rFonts w:cs="標楷體" w:eastAsia="標楷體"/>
              </w:rPr>
              <w:t>秒後，自動紅燈熄滅及停止聲響，然後聽到馬達運轉之</w:t>
            </w:r>
            <w:r>
              <w:rPr>
                <w:rFonts w:eastAsia="標楷體"/>
              </w:rPr>
              <w:t>“</w:t>
            </w:r>
            <w:r>
              <w:rPr>
                <w:rFonts w:cs="標楷體" w:eastAsia="標楷體"/>
              </w:rPr>
              <w:t>鳴</w:t>
            </w:r>
            <w:r>
              <w:rPr>
                <w:rFonts w:eastAsia="標楷體"/>
              </w:rPr>
              <w:t>…</w:t>
            </w:r>
            <w:r>
              <w:rPr>
                <w:rFonts w:eastAsia="標楷體"/>
              </w:rPr>
              <w:t>.</w:t>
            </w:r>
            <w:r>
              <w:rPr>
                <w:rFonts w:cs="標楷體" w:eastAsia="標楷體"/>
              </w:rPr>
              <w:t>鳴</w:t>
            </w:r>
            <w:r>
              <w:rPr>
                <w:rFonts w:eastAsia="標楷體"/>
              </w:rPr>
              <w:t>”</w:t>
            </w:r>
            <w:r>
              <w:rPr>
                <w:rFonts w:cs="標楷體" w:eastAsia="標楷體"/>
              </w:rPr>
              <w:t>聲及每隔</w:t>
            </w:r>
            <w:r>
              <w:rPr>
                <w:rFonts w:eastAsia="標楷體"/>
              </w:rPr>
              <w:t>5-9</w:t>
            </w:r>
            <w:r>
              <w:rPr>
                <w:rFonts w:cs="標楷體" w:eastAsia="標楷體"/>
              </w:rPr>
              <w:t>秒進空氣，排氮氣的機器閥動作聲及潮濕瓶內冒泡的水聲。</w:t>
            </w: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此為正常之聲請勿誤會機器故障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1230" w:leader="none"/>
              </w:tabs>
              <w:spacing w:lineRule="atLeast" w:line="320"/>
              <w:ind w:left="1230" w:right="276" w:hanging="720"/>
              <w:jc w:val="both"/>
              <w:rPr/>
            </w:pPr>
            <w:r>
              <w:rPr>
                <w:rFonts w:cs="標楷體" w:eastAsia="標楷體"/>
              </w:rPr>
              <w:t>調整流量</w:t>
            </w: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請依照醫師指示</w:t>
            </w:r>
            <w:r>
              <w:rPr>
                <w:rFonts w:eastAsia="標楷體"/>
              </w:rPr>
              <w:t>)(</w:t>
            </w:r>
            <w:r>
              <w:rPr>
                <w:rFonts w:cs="標楷體" w:eastAsia="標楷體"/>
              </w:rPr>
              <w:t>附圖四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spacing w:lineRule="atLeast" w:line="320"/>
              <w:ind w:right="276" w:firstLine="1229"/>
              <w:jc w:val="both"/>
              <w:rPr>
                <w:rFonts w:eastAsia="標楷體"/>
              </w:rPr>
            </w:pPr>
            <w:r>
              <w:rPr>
                <w:rFonts w:cs="標楷體" w:eastAsia="標楷體"/>
              </w:rPr>
              <w:t>逆轉：增加流量</w:t>
            </w:r>
          </w:p>
          <w:p>
            <w:pPr>
              <w:pStyle w:val="Normal"/>
              <w:spacing w:lineRule="atLeast" w:line="320"/>
              <w:ind w:right="276" w:firstLine="1229"/>
              <w:jc w:val="both"/>
              <w:rPr>
                <w:rFonts w:eastAsia="標楷體"/>
              </w:rPr>
            </w:pPr>
            <w:r>
              <w:rPr>
                <w:rFonts w:cs="標楷體" w:eastAsia="標楷體"/>
              </w:rPr>
              <w:t>正轉：減少流量</w:t>
            </w:r>
          </w:p>
          <w:p>
            <w:pPr>
              <w:pStyle w:val="Normal"/>
              <w:spacing w:lineRule="atLeas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69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cs="標楷體" w:eastAsia="標楷體"/>
              </w:rPr>
              <w:t>附圖三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       </w:t>
            </w:r>
            <w:r>
              <w:rPr>
                <w:rFonts w:eastAsia="標楷體"/>
              </w:rPr>
              <w:drawing>
                <wp:inline distT="0" distB="0" distL="0" distR="0">
                  <wp:extent cx="1525905" cy="1795780"/>
                  <wp:effectExtent l="0" t="0" r="0" b="0"/>
                  <wp:docPr id="10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-31" t="-26" r="-31" b="-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905" cy="179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709295" cy="1754505"/>
                  <wp:effectExtent l="0" t="0" r="0" b="0"/>
                  <wp:docPr id="11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20" t="-7" r="-20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75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rFonts w:eastAsia="標楷體"/>
              </w:rPr>
            </w:pPr>
            <w:r>
              <mc:AlternateContent>
                <mc:Choice Requires="wpg">
                  <w:drawing>
                    <wp:anchor behindDoc="0" distT="0" distB="0" distL="114935" distR="114935" simplePos="0" locked="0" layoutInCell="0" allowOverlap="1" relativeHeight="9">
                      <wp:simplePos x="0" y="0"/>
                      <wp:positionH relativeFrom="margin">
                        <wp:posOffset>5120005</wp:posOffset>
                      </wp:positionH>
                      <wp:positionV relativeFrom="paragraph">
                        <wp:posOffset>2379980</wp:posOffset>
                      </wp:positionV>
                      <wp:extent cx="2914650" cy="1918970"/>
                      <wp:effectExtent l="0" t="0" r="5715" b="0"/>
                      <wp:wrapNone/>
                      <wp:docPr id="12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14560" cy="1918800"/>
                                <a:chOff x="0" y="0"/>
                                <a:chExt cx="2914560" cy="1918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" descr=""/>
                                <pic:cNvPicPr/>
                              </pic:nvPicPr>
                              <pic:blipFill>
                                <a:blip r:embed="rId11"/>
                                <a:stretch/>
                              </pic:blipFill>
                              <pic:spPr>
                                <a:xfrm>
                                  <a:off x="0" y="0"/>
                                  <a:ext cx="1752480" cy="191880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spPr>
                                <a:xfrm>
                                  <a:off x="1309320" y="75600"/>
                                  <a:ext cx="1605240" cy="417240"/>
                                </a:xfrm>
                                <a:prstGeom prst="wedgeRoundRectCallout">
                                  <a:avLst>
                                    <a:gd name="adj1" fmla="val -101384"/>
                                    <a:gd name="adj2" fmla="val 76092"/>
                                    <a:gd name="adj3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ff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rPr/>
                                    </w:pPr>
                                    <w:r>
                                      <w:rPr>
                                        <w:kern w:val="2"/>
                                        <w:sz w:val="24"/>
                                        <w:szCs w:val="24"/>
                                        <w:rFonts w:ascii="Times New Roman" w:hAnsi="Times New Roman" w:eastAsia="標楷體" w:cs="Times New Roman"/>
                                        <w:color w:val="FF0000"/>
                                        <w:lang w:val="en-US" w:eastAsia="zh-TW" w:bidi="ar-SA"/>
                                      </w:rPr>
                                      <w:t>請依照醫師指示調整流量</w:t>
                                    </w: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style="position:absolute;margin-left:403.15pt;margin-top:187.4pt;width:229.5pt;height:151.1pt" coordorigin="8063,3748" coordsize="4590,3022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_0" stroked="f" o:allowincell="f" style="position:absolute;left:8063;top:3748;width:2759;height:3021;mso-wrap-style:none;v-text-anchor:middle;mso-position-horizontal-relative:margin" type="_x0000_t75">
                        <v:imagedata r:id="rId11" o:detectmouseclick="t"/>
                        <v:stroke color="#3465a4" joinstyle="round" endcap="flat"/>
                        <w10:wrap type="none"/>
                      </v:shape>
                      <v:shapetype id="_x0000_t62" coordsize="21600,21600" o:spt="62" adj="3600,13500,-4500" path="m0@31qy@37@38l@9,l@18@26l@10,l@32,qx@39@37l21600@13l@20@28l21600@14l21600@33qy@40@41l@10,21600l@22@30l@9,21600l@31,21600qx@38@40l0@14l@16@24l0@13xe">
                        <v:stroke joinstyle="miter"/>
                        <v:formulas>
                          <v:f eqn="val #2"/>
                          <v:f eqn="val #1"/>
                          <v:f eqn="sum 10800 @0 0"/>
                          <v:f eqn="sum 10800 @1 0"/>
                          <v:f eqn="abs @1"/>
                          <v:f eqn="abs @0"/>
                          <v:f eqn="sum @4 0 @5"/>
                          <v:f eqn="if @0 7 2"/>
                          <v:f eqn="if @0 10 5"/>
                          <v:f eqn="prod 5400 @7 3"/>
                          <v:f eqn="prod 5400 @8 3"/>
                          <v:f eqn="if @1 7 2"/>
                          <v:f eqn="if @1 10 5"/>
                          <v:f eqn="prod 5400 @11 3"/>
                          <v:f eqn="prod 5400 @12 3"/>
                          <v:f eqn="if @0 0 @2"/>
                          <v:f eqn="if @6 0 @15"/>
                          <v:f eqn="if @1 @9 @2"/>
                          <v:f eqn="if @6 @17 @9"/>
                          <v:f eqn="if @0 @2 width"/>
                          <v:f eqn="if @6 width @19"/>
                          <v:f eqn="if @1 @2 @9"/>
                          <v:f eqn="if @6 @21 @9"/>
                          <v:f eqn="if @0 @13 @3"/>
                          <v:f eqn="if @6 @13 @23"/>
                          <v:f eqn="if @1 0 @3"/>
                          <v:f eqn="if @6 @25 0"/>
                          <v:f eqn="if @0 @3 @13"/>
                          <v:f eqn="if @6 @13 @27"/>
                          <v:f eqn="if @1 @3 height"/>
                          <v:f eqn="if @6 @29 height"/>
                          <v:f eqn="val #0"/>
                          <v:f eqn="sum width 0 @31"/>
                          <v:f eqn="sum height 0 @31"/>
                          <v:f eqn="prod @31 2929 10000"/>
                          <v:f eqn="sum width 0 @34"/>
                          <v:f eqn="sum height 0 @34"/>
                          <v:f eqn="sum @31 0 0"/>
                          <v:f eqn="sum 0 @31 @31"/>
                          <v:f eqn="sum @31 @32 0"/>
                          <v:f eqn="sum 0 21600 @31"/>
                          <v:f eqn="sum @31 @33 0"/>
                        </v:formulas>
                        <v:path gradientshapeok="t" o:connecttype="rect" textboxrect="@34,@34,@35,@36"/>
                        <v:handles>
                          <v:h position="@2,@3"/>
                        </v:handles>
                      </v:shapetype>
                      <v:shape id="shape_0" fillcolor="white" stroked="t" o:allowincell="f" style="position:absolute;left:10125;top:3867;width:2527;height:656;mso-wrap-style:square;v-text-anchor:top;mso-position-horizontal-relative:margin" type="_x0000_t6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rPr/>
                              </w:pPr>
                              <w:r>
                                <w:rPr>
                                  <w:kern w:val="2"/>
                                  <w:sz w:val="24"/>
                                  <w:szCs w:val="24"/>
                                  <w:rFonts w:ascii="Times New Roman" w:hAnsi="Times New Roman" w:eastAsia="標楷體" w:cs="Times New Roman"/>
                                  <w:color w:val="FF0000"/>
                                  <w:lang w:val="en-US" w:eastAsia="zh-TW" w:bidi="ar-SA"/>
                                </w:rPr>
                                <w:t>請依照醫師指示調整流量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red" weight="9360" joinstyle="miter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rFonts w:cs="標楷體" w:eastAsia="標楷體"/>
              </w:rPr>
              <w:t>附圖四</w:t>
            </w:r>
          </w:p>
          <w:p>
            <w:pPr>
              <w:pStyle w:val="Normal"/>
              <w:ind w:firstLine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690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br w:type="page"/>
      </w:r>
      <w:r>
        <w:rPr>
          <w:rFonts w:eastAsia="標楷體"/>
          <w:sz w:val="32"/>
          <w:u w:val="single"/>
        </w:rPr>
        <w:t>居家氧氣裝置標準作業規範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AUNW00/AUPW00-A028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7-5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6153"/>
        <w:gridCol w:w="3207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9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6792" w:hRule="atLeast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叁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6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320"/>
              <w:ind w:right="276" w:hanging="0"/>
              <w:jc w:val="both"/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執行後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tLeas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依</w:t>
            </w:r>
            <w:hyperlink r:id="rId12">
              <w:r>
                <w:rPr>
                  <w:rStyle w:val="InternetLink"/>
                  <w:rFonts w:ascii="標楷體" w:hAnsi="標楷體" w:cs="標楷體" w:eastAsia="標楷體"/>
                  <w:u w:val="single"/>
                </w:rPr>
                <w:t>手部衛生感染管制作業要點</w:t>
              </w:r>
              <w:r>
                <w:rPr>
                  <w:rStyle w:val="InternetLink"/>
                  <w:rFonts w:eastAsia="標楷體" w:cs="標楷體" w:ascii="標楷體" w:hAnsi="標楷體"/>
                  <w:u w:val="single"/>
                </w:rPr>
                <w:t>(L05328)</w:t>
              </w:r>
            </w:hyperlink>
            <w:r>
              <w:rPr>
                <w:rFonts w:ascii="標楷體" w:hAnsi="標楷體" w:cs="標楷體" w:eastAsia="標楷體"/>
              </w:rPr>
              <w:t>執行洗手。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480"/>
                <w:tab w:val="left" w:pos="528" w:leader="none"/>
                <w:tab w:val="left" w:pos="1512" w:leader="none"/>
              </w:tabs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依</w:t>
            </w:r>
            <w:hyperlink r:id="rId13">
              <w:r>
                <w:rPr>
                  <w:rStyle w:val="InternetLink"/>
                  <w:rFonts w:ascii="標楷體" w:hAnsi="標楷體" w:cs="標楷體" w:eastAsia="標楷體"/>
                  <w:spacing w:val="3"/>
                  <w:kern w:val="0"/>
                  <w:u w:val="single"/>
                </w:rPr>
                <w:t>生物醫療廢棄物感染管制作業要點</w:t>
              </w:r>
              <w:r>
                <w:rPr>
                  <w:rStyle w:val="InternetLink"/>
                  <w:rFonts w:eastAsia="標楷體" w:cs="標楷體" w:ascii="標楷體" w:hAnsi="標楷體"/>
                  <w:spacing w:val="3"/>
                  <w:kern w:val="0"/>
                  <w:u w:val="single"/>
                </w:rPr>
                <w:t>(L05325)</w:t>
              </w:r>
            </w:hyperlink>
            <w:r>
              <w:rPr>
                <w:rFonts w:ascii="標楷體" w:hAnsi="標楷體" w:cs="標楷體" w:eastAsia="標楷體"/>
                <w:spacing w:val="3"/>
                <w:kern w:val="0"/>
              </w:rPr>
              <w:t>處理</w:t>
            </w:r>
            <w:r>
              <w:rPr>
                <w:rFonts w:ascii="標楷體" w:hAnsi="標楷體" w:cs="標楷體" w:eastAsia="標楷體"/>
              </w:rPr>
              <w:t>用物</w:t>
            </w:r>
            <w:r>
              <w:rPr>
                <w:rFonts w:ascii="標楷體" w:hAnsi="標楷體" w:cs="標楷體" w:eastAsia="標楷體"/>
                <w:spacing w:val="3"/>
                <w:kern w:val="0"/>
              </w:rPr>
              <w:t>。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480"/>
                <w:tab w:val="left" w:pos="528" w:leader="none"/>
                <w:tab w:val="left" w:pos="1512" w:leader="none"/>
              </w:tabs>
              <w:spacing w:lineRule="exact" w:line="320"/>
              <w:jc w:val="both"/>
              <w:rPr/>
            </w:pPr>
            <w:r>
              <w:rPr>
                <w:rFonts w:ascii="標楷體" w:hAnsi="標楷體" w:cs="標楷體" w:eastAsia="標楷體"/>
              </w:rPr>
              <w:t>依</w:t>
            </w:r>
            <w:hyperlink r:id="rId14">
              <w:r>
                <w:rPr>
                  <w:rStyle w:val="InternetLink"/>
                  <w:rFonts w:ascii="標楷體" w:hAnsi="標楷體" w:cs="標楷體" w:eastAsia="標楷體"/>
                  <w:u w:val="single"/>
                </w:rPr>
                <w:t>計價作業標準作業規範</w:t>
              </w:r>
              <w:r>
                <w:rPr>
                  <w:rStyle w:val="InternetLink"/>
                  <w:rFonts w:eastAsia="標楷體" w:cs="標楷體" w:ascii="標楷體" w:hAnsi="標楷體"/>
                  <w:u w:val="single"/>
                </w:rPr>
                <w:t>(</w:t>
              </w:r>
              <w:r>
                <w:rPr>
                  <w:rStyle w:val="InternetLink"/>
                  <w:rFonts w:eastAsia="標楷體" w:cs="標楷體" w:ascii="標楷體" w:hAnsi="標楷體"/>
                  <w:u w:val="single"/>
                </w:rPr>
                <w:t>N</w:t>
              </w:r>
              <w:r>
                <w:rPr>
                  <w:rStyle w:val="InternetLink"/>
                  <w:rFonts w:eastAsia="標楷體" w:cs="標楷體" w:ascii="標楷體" w:hAnsi="標楷體"/>
                  <w:u w:val="single"/>
                </w:rPr>
                <w:t>15002)</w:t>
              </w:r>
            </w:hyperlink>
            <w:r>
              <w:rPr>
                <w:rFonts w:ascii="標楷體" w:hAnsi="標楷體" w:cs="標楷體" w:eastAsia="標楷體"/>
              </w:rPr>
              <w:t>將治療項目及使用物料計價。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480"/>
                <w:tab w:val="left" w:pos="528" w:leader="none"/>
              </w:tabs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記錄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    </w:t>
            </w:r>
            <w:r>
              <w:rPr>
                <w:rFonts w:eastAsia="標楷體" w:cs="標楷體"/>
              </w:rPr>
              <w:t>1.</w:t>
            </w:r>
            <w:r>
              <w:rPr>
                <w:rFonts w:cs="標楷體" w:eastAsia="標楷體"/>
              </w:rPr>
              <w:t>日期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Times New Roman" w:eastAsia="Times New Roman"/>
              </w:rPr>
              <w:t xml:space="preserve">        </w:t>
            </w:r>
            <w:r>
              <w:rPr>
                <w:rFonts w:eastAsia="標楷體" w:cs="標楷體"/>
              </w:rPr>
              <w:t>2.</w:t>
            </w:r>
            <w:r>
              <w:rPr>
                <w:rFonts w:cs="標楷體" w:eastAsia="標楷體"/>
              </w:rPr>
              <w:t>時間</w:t>
            </w:r>
          </w:p>
          <w:p>
            <w:pPr>
              <w:pStyle w:val="Normal"/>
              <w:tabs>
                <w:tab w:val="clear" w:pos="480"/>
                <w:tab w:val="left" w:pos="1644" w:leader="none"/>
              </w:tabs>
              <w:spacing w:lineRule="exact" w:line="320"/>
              <w:rPr>
                <w:rFonts w:eastAsia="標楷體"/>
              </w:rPr>
            </w:pPr>
            <w:r>
              <w:rPr>
                <w:rFonts w:cs="Times New Roman" w:eastAsia="Times New Roman"/>
              </w:rPr>
              <w:t xml:space="preserve">        </w:t>
            </w:r>
            <w:r>
              <w:rPr>
                <w:rFonts w:eastAsia="標楷體" w:cs="標楷體"/>
              </w:rPr>
              <w:t>3.</w:t>
            </w:r>
            <w:r>
              <w:rPr>
                <w:rFonts w:cs="標楷體" w:eastAsia="標楷體"/>
              </w:rPr>
              <w:t>生命徵象</w:t>
            </w:r>
          </w:p>
          <w:p>
            <w:pPr>
              <w:pStyle w:val="Normal"/>
              <w:tabs>
                <w:tab w:val="clear" w:pos="480"/>
                <w:tab w:val="left" w:pos="1361" w:leader="none"/>
              </w:tabs>
              <w:spacing w:lineRule="exact" w:line="320"/>
              <w:rPr>
                <w:rFonts w:eastAsia="標楷體"/>
              </w:rPr>
            </w:pPr>
            <w:r>
              <w:rPr>
                <w:rFonts w:cs="Times New Roman" w:eastAsia="Times New Roman"/>
              </w:rPr>
              <w:t xml:space="preserve">        </w:t>
            </w:r>
            <w:r>
              <w:rPr>
                <w:rFonts w:eastAsia="標楷體" w:cs="標楷體"/>
              </w:rPr>
              <w:t>4.</w:t>
            </w:r>
            <w:r>
              <w:rPr>
                <w:rFonts w:cs="標楷體" w:eastAsia="標楷體"/>
              </w:rPr>
              <w:t>異常徵兆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Times New Roman" w:eastAsia="Times New Roman"/>
              </w:rPr>
              <w:t xml:space="preserve">        </w:t>
            </w:r>
            <w:r>
              <w:rPr>
                <w:rFonts w:eastAsia="標楷體" w:cs="標楷體"/>
              </w:rPr>
              <w:t>5.</w:t>
            </w:r>
            <w:r>
              <w:rPr>
                <w:rFonts w:cs="標楷體" w:eastAsia="標楷體"/>
              </w:rPr>
              <w:t>簽名</w:t>
            </w:r>
          </w:p>
          <w:p>
            <w:pPr>
              <w:pStyle w:val="Normal"/>
              <w:spacing w:lineRule="atLeas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528" w:hanging="528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69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690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 w:before="240" w:after="120"/>
        <w:jc w:val="center"/>
        <w:rPr/>
      </w:pPr>
      <w:r>
        <w:rPr>
          <w:rFonts w:eastAsia="標楷體"/>
          <w:sz w:val="32"/>
          <w:u w:val="single"/>
        </w:rPr>
        <w:t>居家氧氣裝置標準作業規範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三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630" w:firstLine="1680"/>
        <w:rPr/>
      </w:pPr>
      <w:r>
        <w:rPr>
          <w:rFonts w:ascii="標楷體" w:hAnsi="標楷體" w:cs="標楷體" w:eastAsia="標楷體"/>
          <w:sz w:val="28"/>
        </w:rPr>
        <w:t xml:space="preserve">                                                           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AUNW00/AUPW00-A028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7-6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2442"/>
        <w:gridCol w:w="5118"/>
        <w:gridCol w:w="3720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 xml:space="preserve">異 常 狀 況    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發 生 原 因</w:t>
            </w:r>
          </w:p>
        </w:tc>
        <w:tc>
          <w:tcPr>
            <w:tcW w:w="8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處 理 對 策</w:t>
            </w:r>
          </w:p>
        </w:tc>
      </w:tr>
      <w:tr>
        <w:trPr>
          <w:trHeight w:val="5436" w:hRule="atLeast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斷電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Style13"/>
              <w:numPr>
                <w:ilvl w:val="0"/>
                <w:numId w:val="5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感覺不到氧氣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1230" w:leader="none"/>
              </w:tabs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cs="標楷體" w:eastAsia="標楷體"/>
              </w:rPr>
              <w:t>插頭脫落</w:t>
            </w:r>
          </w:p>
          <w:p>
            <w:pPr>
              <w:pStyle w:val="Normal"/>
              <w:tabs>
                <w:tab w:val="clear" w:pos="480"/>
                <w:tab w:val="left" w:pos="1230" w:leader="none"/>
              </w:tabs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cs="標楷體" w:eastAsia="標楷體"/>
              </w:rPr>
              <w:t>該區停電</w:t>
            </w:r>
          </w:p>
          <w:p>
            <w:pPr>
              <w:pStyle w:val="Normal"/>
              <w:tabs>
                <w:tab w:val="clear" w:pos="480"/>
                <w:tab w:val="left" w:pos="1230" w:leader="none"/>
              </w:tabs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30" w:leader="none"/>
              </w:tabs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30" w:leader="none"/>
              </w:tabs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30" w:leader="none"/>
              </w:tabs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cs="標楷體" w:eastAsia="標楷體"/>
              </w:rPr>
              <w:t>接頭鬆脫</w:t>
            </w:r>
          </w:p>
          <w:p>
            <w:pPr>
              <w:pStyle w:val="Normal"/>
              <w:tabs>
                <w:tab w:val="clear" w:pos="480"/>
                <w:tab w:val="left" w:pos="1230" w:leader="none"/>
              </w:tabs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cs="標楷體" w:eastAsia="標楷體"/>
              </w:rPr>
              <w:t>流量未開</w:t>
            </w:r>
          </w:p>
          <w:p>
            <w:pPr>
              <w:pStyle w:val="Normal"/>
              <w:tabs>
                <w:tab w:val="clear" w:pos="480"/>
                <w:tab w:val="left" w:pos="1230" w:leader="none"/>
              </w:tabs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  <w:r>
              <w:rPr>
                <w:rFonts w:cs="標楷體" w:eastAsia="標楷體"/>
              </w:rPr>
              <w:t>斷電</w:t>
            </w:r>
          </w:p>
        </w:tc>
        <w:tc>
          <w:tcPr>
            <w:tcW w:w="8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1230" w:leader="none"/>
              </w:tabs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cs="標楷體" w:eastAsia="標楷體"/>
              </w:rPr>
              <w:t>檢查插頭是否脫落</w:t>
            </w:r>
          </w:p>
          <w:p>
            <w:pPr>
              <w:pStyle w:val="Normal"/>
              <w:tabs>
                <w:tab w:val="clear" w:pos="480"/>
                <w:tab w:val="left" w:pos="1230" w:leader="none"/>
              </w:tabs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cs="標楷體" w:eastAsia="標楷體"/>
              </w:rPr>
              <w:t>檢查該區插座是否停電</w:t>
            </w:r>
          </w:p>
          <w:p>
            <w:pPr>
              <w:pStyle w:val="Normal"/>
              <w:tabs>
                <w:tab w:val="clear" w:pos="480"/>
                <w:tab w:val="left" w:pos="1230" w:leader="none"/>
              </w:tabs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  <w:r>
              <w:rPr>
                <w:rFonts w:cs="標楷體" w:eastAsia="標楷體"/>
              </w:rPr>
              <w:t>檢查機器的背後，電源線附近白色按鈕是否上升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 xml:space="preserve">(PS. </w:t>
            </w:r>
            <w:r>
              <w:rPr>
                <w:rFonts w:cs="標楷體" w:eastAsia="標楷體"/>
              </w:rPr>
              <w:t>機器打開後，音響警示器持續鳴叫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320"/>
              <w:rPr>
                <w:rFonts w:eastAsia="標楷體"/>
              </w:rPr>
            </w:pPr>
            <w:r>
              <w:rPr>
                <w:rFonts w:eastAsia="標楷體" w:cs="標楷體"/>
              </w:rPr>
              <w:t>1.</w:t>
            </w:r>
            <w:r>
              <w:rPr>
                <w:rFonts w:cs="標楷體" w:eastAsia="標楷體"/>
              </w:rPr>
              <w:t>先將鼻管放入水中</w:t>
            </w:r>
            <w:r>
              <w:rPr>
                <w:rFonts w:eastAsia="標楷體"/>
              </w:rPr>
              <w:t>,</w:t>
            </w:r>
            <w:r>
              <w:rPr>
                <w:rFonts w:cs="標楷體" w:eastAsia="標楷體"/>
              </w:rPr>
              <w:t>看潮濕瓶是否有冒泡，或將鼻管對著臉頰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cs="標楷體" w:eastAsia="標楷體"/>
              </w:rPr>
              <w:t>感覺是否有流量</w:t>
            </w:r>
          </w:p>
          <w:p>
            <w:pPr>
              <w:pStyle w:val="Normal"/>
              <w:spacing w:lineRule="atLeast" w:line="320"/>
              <w:rPr>
                <w:rFonts w:eastAsia="標楷體"/>
              </w:rPr>
            </w:pPr>
            <w:r>
              <w:rPr>
                <w:rFonts w:eastAsia="標楷體" w:cs="標楷體"/>
              </w:rPr>
              <w:t>2.</w:t>
            </w:r>
            <w:r>
              <w:rPr>
                <w:rFonts w:cs="標楷體" w:eastAsia="標楷體"/>
              </w:rPr>
              <w:t>無請檢查潮濕瓶</w:t>
            </w:r>
            <w:r>
              <w:rPr>
                <w:rFonts w:eastAsia="標楷體"/>
              </w:rPr>
              <w:t>,</w:t>
            </w:r>
            <w:r>
              <w:rPr>
                <w:rFonts w:cs="標楷體" w:eastAsia="標楷體"/>
              </w:rPr>
              <w:t>是否按照螺紋旋緊。</w:t>
            </w:r>
          </w:p>
          <w:p>
            <w:pPr>
              <w:pStyle w:val="Normal"/>
              <w:tabs>
                <w:tab w:val="clear" w:pos="480"/>
                <w:tab w:val="left" w:pos="1230" w:leader="none"/>
              </w:tabs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  <w:r>
              <w:rPr>
                <w:rFonts w:cs="標楷體" w:eastAsia="標楷體"/>
              </w:rPr>
              <w:t>檢查插頭是否脫落</w:t>
            </w:r>
          </w:p>
          <w:p>
            <w:pPr>
              <w:pStyle w:val="Normal"/>
              <w:tabs>
                <w:tab w:val="clear" w:pos="480"/>
                <w:tab w:val="left" w:pos="1230" w:leader="none"/>
              </w:tabs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4..</w:t>
            </w:r>
            <w:r>
              <w:rPr>
                <w:rFonts w:cs="標楷體" w:eastAsia="標楷體"/>
              </w:rPr>
              <w:t>檢查該區插座是否停電</w:t>
            </w:r>
          </w:p>
          <w:p>
            <w:pPr>
              <w:pStyle w:val="Normal"/>
              <w:spacing w:lineRule="atLeast" w:line="320"/>
              <w:rPr>
                <w:rFonts w:eastAsia="標楷體"/>
              </w:rPr>
            </w:pPr>
            <w:r>
              <w:rPr>
                <w:rFonts w:eastAsia="標楷體"/>
              </w:rPr>
              <w:t>5.</w:t>
            </w:r>
            <w:r>
              <w:rPr>
                <w:rFonts w:cs="標楷體" w:eastAsia="標楷體"/>
              </w:rPr>
              <w:t>檢查機器的背後，電源線附近白色按鈕是否上升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4990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w:br w:type="page"/>
      </w:r>
    </w:p>
    <w:p>
      <w:pPr>
        <w:pStyle w:val="Normal"/>
        <w:spacing w:lineRule="exact" w:line="320" w:before="240" w:after="120"/>
        <w:jc w:val="center"/>
        <w:rPr/>
      </w:pPr>
      <w:r>
        <w:rPr>
          <w:rFonts w:eastAsia="標楷體"/>
          <w:sz w:val="32"/>
          <w:u w:val="single"/>
        </w:rPr>
        <w:t>居家氧氣裝置標準作業規範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四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firstLine="3520"/>
        <w:rPr/>
      </w:pPr>
      <w:r>
        <w:rPr>
          <w:rFonts w:ascii="標楷體" w:hAnsi="標楷體" w:cs="標楷體" w:eastAsia="標楷體"/>
          <w:sz w:val="32"/>
        </w:rPr>
        <w:t xml:space="preserve">     </w:t>
      </w:r>
      <w:r>
        <w:rPr>
          <w:rFonts w:ascii="標楷體" w:hAnsi="標楷體" w:cs="標楷體" w:eastAsia="標楷體"/>
          <w:sz w:val="28"/>
        </w:rPr>
        <w:t xml:space="preserve">                                                        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AUNW00/AUPW00-A028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7-7             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28"/>
        <w:gridCol w:w="2880"/>
        <w:gridCol w:w="3950"/>
      </w:tblGrid>
      <w:tr>
        <w:trPr>
          <w:trHeight w:val="860" w:hRule="atLeast"/>
          <w:cantSplit w:val="true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參考資料</w:t>
            </w:r>
            <w:r>
              <w:rPr>
                <w:rFonts w:eastAsia="標楷體" w:ascii="標楷體" w:hAnsi="標楷體"/>
              </w:rPr>
              <w:t>: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Basic Clinical LAB Competencies For Respiratory Care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Egan's Fundamentals of Respiratory Care, 8th Edition</w:t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 w:cs="標楷體"/>
                <w:color w:val="000000"/>
                <w:sz w:val="24"/>
              </w:rPr>
            </w:pPr>
            <w:r>
              <w:rPr>
                <w:rFonts w:eastAsia="標楷體" w:cs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72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</w:rPr>
      </w:pPr>
      <w:r>
        <w:rPr>
          <w:rFonts w:eastAsia="標楷體"/>
        </w:rPr>
      </w:r>
    </w:p>
    <w:sectPr>
      <w:type w:val="nextPage"/>
      <w:pgSz w:orient="landscape" w:w="16838" w:h="11906"/>
      <w:pgMar w:left="1418" w:right="1418" w:gutter="0" w:header="0" w:top="1418" w:footer="0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Unicode MS">
    <w:charset w:val="88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標楷體">
    <w:charset w:val="88"/>
    <w:family w:val="script"/>
    <w:pitch w:val="default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新細明體">
    <w:altName w:val="PMingLiU"/>
    <w:charset w:val="8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</w:lvl>
  </w:abstractNum>
  <w:abstractNum w:abstractNumId="3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56" w:hanging="456"/>
      </w:pPr>
      <w:rPr>
        <w:sz w:val="23"/>
        <w:rFonts w:ascii="Times New Roman" w:hAnsi="Times New Roman" w:cs="Times New Roman"/>
        <w:color w:val="FF0000"/>
      </w:rPr>
    </w:lvl>
  </w:abstractNum>
  <w:abstractNum w:abstractNumId="4">
    <w:lvl w:ilvl="0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>
        <w:sz w:val="24"/>
        <w:rFonts w:ascii="標楷體" w:hAnsi="標楷體" w:eastAsia="標楷體"/>
      </w:rPr>
    </w:lvl>
  </w:abstractNum>
  <w:abstractNum w:abstractNumId="6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56" w:hanging="456"/>
      </w:pPr>
      <w:rPr/>
    </w:lvl>
  </w:abstractNum>
  <w:abstractNum w:abstractNumId="7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8">
    <w:lvl w:ilvl="0">
      <w:start w:val="1"/>
      <w:numFmt w:val="taiwaneseCountingThousand"/>
      <w:lvlText w:val="%1."/>
      <w:lvlJc w:val="left"/>
      <w:pPr>
        <w:tabs>
          <w:tab w:val="num" w:pos="405"/>
        </w:tabs>
        <w:ind w:left="405" w:hanging="405"/>
      </w:pPr>
      <w:rPr>
        <w:rFonts w:ascii="標楷體" w:hAnsi="標楷體" w:cs="Times New Roman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TextBody"/>
    <w:qFormat/>
    <w:pPr>
      <w:widowControl/>
      <w:numPr>
        <w:ilvl w:val="0"/>
        <w:numId w:val="1"/>
      </w:numPr>
      <w:spacing w:before="100" w:after="100"/>
      <w:outlineLvl w:val="0"/>
    </w:pPr>
    <w:rPr>
      <w:rFonts w:ascii="Arial Unicode MS" w:hAnsi="Arial Unicode MS" w:eastAsia="Arial Unicode MS" w:cs="新細明體;PMingLiU"/>
      <w:b/>
      <w:bCs/>
      <w:kern w:val="2"/>
      <w:sz w:val="48"/>
      <w:szCs w:val="48"/>
    </w:rPr>
  </w:style>
  <w:style w:type="paragraph" w:styleId="Heading2">
    <w:name w:val="Heading 2"/>
    <w:basedOn w:val="Normal"/>
    <w:next w:val="TextBody"/>
    <w:qFormat/>
    <w:pPr>
      <w:widowControl/>
      <w:numPr>
        <w:ilvl w:val="1"/>
        <w:numId w:val="1"/>
      </w:numPr>
      <w:spacing w:before="100" w:after="100"/>
      <w:outlineLvl w:val="1"/>
    </w:pPr>
    <w:rPr>
      <w:rFonts w:ascii="Arial Unicode MS" w:hAnsi="Arial Unicode MS" w:eastAsia="Arial Unicode MS" w:cs="新細明體;PMingLiU"/>
      <w:b/>
      <w:bCs/>
      <w:kern w:val="0"/>
      <w:sz w:val="36"/>
      <w:szCs w:val="36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3z0">
    <w:name w:val="WW8Num3z0"/>
    <w:qFormat/>
    <w:rPr>
      <w:rFonts w:ascii="Times New Roman" w:hAnsi="Times New Roman" w:cs="Times New Roman"/>
      <w:color w:val="FF0000"/>
      <w:sz w:val="23"/>
    </w:rPr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標楷體" w:hAnsi="標楷體" w:eastAsia="標楷體" w:cs="標楷體"/>
    </w:rPr>
  </w:style>
  <w:style w:type="character" w:styleId="WW8Num5z0">
    <w:name w:val="WW8Num5z0"/>
    <w:qFormat/>
    <w:rPr/>
  </w:style>
  <w:style w:type="character" w:styleId="WW8Num5z1">
    <w:name w:val="WW8Num5z1"/>
    <w:qFormat/>
    <w:rPr>
      <w:color w:val="000000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標楷體" w:hAnsi="標楷體" w:eastAsia="標楷體"/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標楷體" w:hAnsi="標楷體" w:cs="Times New Roman"/>
    </w:rPr>
  </w:style>
  <w:style w:type="character" w:styleId="Style12">
    <w:name w:val="預設段落字型"/>
    <w:qFormat/>
    <w:rPr/>
  </w:style>
  <w:style w:type="character" w:styleId="PageNumber">
    <w:name w:val="Page Number"/>
    <w:basedOn w:val="Style12"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exact" w:line="320"/>
    </w:pPr>
    <w:rPr>
      <w:rFonts w:ascii="標楷體" w:hAnsi="標楷體" w:eastAsia="標楷體"/>
      <w:sz w:val="28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" w:cs="Arial Unicode MS"/>
      <w:color w:val="000000"/>
      <w:kern w:val="0"/>
      <w:sz w:val="28"/>
      <w:szCs w:val="28"/>
    </w:rPr>
  </w:style>
  <w:style w:type="paragraph" w:styleId="TextBodyIndent">
    <w:name w:val="Body Text Indent"/>
    <w:basedOn w:val="Normal"/>
    <w:pPr>
      <w:spacing w:lineRule="exact" w:line="400"/>
      <w:ind w:left="392" w:hanging="392"/>
    </w:pPr>
    <w:rPr>
      <w:rFonts w:ascii="標楷體" w:hAnsi="標楷體" w:eastAsia="標楷體"/>
      <w:sz w:val="28"/>
    </w:rPr>
  </w:style>
  <w:style w:type="paragraph" w:styleId="Style13">
    <w:name w:val="註解文字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png"/><Relationship Id="rId4" Type="http://schemas.openxmlformats.org/officeDocument/2006/relationships/hyperlink" Target="http://lnkwww.cgmh.org.tw/webwork/non/non_log.asp?serialno=01319&amp;nsno=N26001" TargetMode="External"/><Relationship Id="rId5" Type="http://schemas.openxmlformats.org/officeDocument/2006/relationships/hyperlink" Target="http://cghasp.cgmh.org.tw/rule/rule_10_04/070320004_upload_pdf.pdf" TargetMode="External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hyperlink" Target="http://lnkwww.cgmh.org.tw/webwork/non/non_log.asp?serialno=01274&amp;nsno=N11071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hyperlink" Target="http://cghasp.cgmh.org.tw/rule/rule_10_04/070320004_upload_pdf.pdf" TargetMode="External"/><Relationship Id="rId13" Type="http://schemas.openxmlformats.org/officeDocument/2006/relationships/hyperlink" Target="http://cghasp.cgmh.org.tw/rule/rule_10_04/070319028_upload_pdf.pdf" TargetMode="External"/><Relationship Id="rId14" Type="http://schemas.openxmlformats.org/officeDocument/2006/relationships/hyperlink" Target="http://lnkwww.cgmh.org.tw/webwork/non/non_log.asp?serialno=01122&amp;nsno=N15002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2019-04-25T15:06:00Z</dcterms:created>
  <dc:creator>CGMH</dc:creator>
  <dc:description/>
  <cp:keywords/>
  <dc:language>zh-TW</dc:language>
  <cp:lastModifiedBy>User</cp:lastModifiedBy>
  <cp:lastPrinted>2009-01-13T09:32:00Z</cp:lastPrinted>
  <dcterms:modified xsi:type="dcterms:W3CDTF">2019-11-26T21:33:00Z</dcterms:modified>
  <cp:revision>8</cp:revision>
  <dc:subject/>
  <dc:title>最大吸氣壓最大吐氣壓技術評核表標準作業規範(一)</dc:title>
</cp:coreProperties>
</file>