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  <w:lang w:val="zh-TW" w:eastAsia="zh-TW"/>
        </w:rPr>
        <mc:AlternateContent>
          <mc:Choice Requires="wpg">
            <w:drawing>
              <wp:inline distT="0" distB="0" distL="0" distR="0">
                <wp:extent cx="8800465" cy="801560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560" cy="8015760"/>
                          <a:chOff x="0" y="0"/>
                          <a:chExt cx="8800560" cy="80157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5760"/>
                            <a:ext cx="88005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37320" y="0"/>
                            <a:ext cx="34383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452120" y="0"/>
                            <a:ext cx="42411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50720" y="2513880"/>
                            <a:ext cx="8124840" cy="298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92.95pt;height:631.15pt" coordorigin="0,0" coordsize="13859,12623">
                <v:rect id="shape_0" stroked="f" o:allowincell="f" style="position:absolute;left:0;top:9;width:13858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531;top:0;width:5414;height:3614;mso-wrap-style:none;v-text-anchor:middle;mso-position-horizontal-relative:char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7011;top:0;width:6678;height:3614;mso-wrap-style:none;v-text-anchor:middle;mso-position-horizontal-relative:char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710;top:3959;width:12794;height:4694;mso-wrap-style:none;v-text-anchor:middle;mso-position-horizontal-relative:char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34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氣囊漏氣測試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34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氣囊漏氣測試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A013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A013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107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07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17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一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氣囊漏氣測試標準作業規範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一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13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5-1 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68"/>
        <w:gridCol w:w="3373"/>
        <w:gridCol w:w="2747"/>
        <w:gridCol w:w="3774"/>
      </w:tblGrid>
      <w:tr>
        <w:trPr/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作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業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目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的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適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用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範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圍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及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執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行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人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員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使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用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器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工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具</w:t>
            </w:r>
          </w:p>
        </w:tc>
      </w:tr>
      <w:tr>
        <w:trPr>
          <w:trHeight w:val="5325" w:hRule="atLeast"/>
        </w:trPr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ind w:left="360" w:right="142" w:hanging="36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壹、</w:t>
            </w:r>
            <w:r>
              <w:rPr>
                <w:rFonts w:eastAsia="標楷體"/>
              </w:rPr>
              <w:t>評估氣管插管病人拔管後，是否可</w:t>
            </w:r>
          </w:p>
          <w:p>
            <w:pPr>
              <w:pStyle w:val="Normal"/>
              <w:spacing w:lineRule="auto" w:line="276"/>
              <w:ind w:left="360" w:right="142" w:hanging="360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能發生喉頭水腫或上呼吸道阻塞問題。</w:t>
            </w:r>
          </w:p>
          <w:p>
            <w:pPr>
              <w:pStyle w:val="Normal"/>
              <w:spacing w:lineRule="auto" w:line="276"/>
              <w:ind w:left="360" w:right="142" w:hanging="36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  <w:r>
              <w:rPr>
                <w:rFonts w:eastAsia="標楷體"/>
              </w:rPr>
              <w:t>、藉由氣囊漏氣測試之評估，進而降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低重新插管的傷害。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eastAsia="標楷體"/>
              </w:rPr>
              <w:t>適用範圍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/>
              </w:rPr>
            </w:pPr>
            <w:r>
              <w:rPr>
                <w:rFonts w:eastAsia="標楷體"/>
              </w:rPr>
              <w:t>有氣管插管準備拔管病人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6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eastAsia="標楷體"/>
              </w:rPr>
              <w:t>適用執行人員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/>
              </w:rPr>
            </w:pPr>
            <w:r>
              <w:rPr>
                <w:rFonts w:eastAsia="標楷體"/>
              </w:rPr>
              <w:t>呼吸治療師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left="482" w:hanging="48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呼吸器</w:t>
            </w:r>
          </w:p>
          <w:p>
            <w:pPr>
              <w:pStyle w:val="Normal"/>
              <w:numPr>
                <w:ilvl w:val="0"/>
                <w:numId w:val="3"/>
              </w:numPr>
              <w:ind w:left="482" w:hanging="48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甦醒球</w:t>
            </w:r>
          </w:p>
          <w:p>
            <w:pPr>
              <w:pStyle w:val="Normal"/>
              <w:numPr>
                <w:ilvl w:val="0"/>
                <w:numId w:val="3"/>
              </w:numPr>
              <w:ind w:left="482" w:hanging="48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聽診器</w:t>
            </w:r>
          </w:p>
          <w:p>
            <w:pPr>
              <w:pStyle w:val="Normal"/>
              <w:numPr>
                <w:ilvl w:val="0"/>
                <w:numId w:val="3"/>
              </w:numPr>
              <w:ind w:left="482" w:hanging="48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抽痰相關設備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氣囊漏氣測試標準作業規範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13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5-2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2340"/>
        <w:gridCol w:w="354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  <w:t>執行前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一、</w:t>
            </w:r>
            <w:r>
              <w:rPr>
                <w:rFonts w:cs="標楷體" w:eastAsia="標楷體"/>
              </w:rPr>
              <w:t>辨識</w:t>
            </w:r>
            <w:r>
              <w:rPr>
                <w:rFonts w:cs="標楷體" w:eastAsia="標楷體"/>
              </w:rPr>
              <w:t>病人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二、自我介紹及說明檢查目的和過程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三、洗手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四、</w:t>
            </w:r>
            <w:r>
              <w:rPr>
                <w:rFonts w:cs="標楷體" w:eastAsia="標楷體"/>
              </w:rPr>
              <w:t>以無菌技術抽痰及排除呼吸道分泌物，</w:t>
            </w:r>
            <w:r>
              <w:rPr>
                <w:rFonts w:cs="標楷體" w:eastAsia="標楷體"/>
              </w:rPr>
              <w:t>執行過程保持清潔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五、測量方式有兩種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/>
                <w:sz w:val="28"/>
                <w:szCs w:val="28"/>
                <w:vertAlign w:val="superscript"/>
              </w:rPr>
              <w:t xml:space="preserve"> 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定量氣囊漏氣測試</w:t>
            </w:r>
          </w:p>
          <w:p>
            <w:pPr>
              <w:pStyle w:val="Normal"/>
              <w:ind w:left="396" w:hanging="0"/>
              <w:rPr>
                <w:rFonts w:eastAsia="標楷體"/>
              </w:rPr>
            </w:pPr>
            <w:r>
              <w:rPr>
                <w:rFonts w:eastAsia="標楷體"/>
              </w:rPr>
              <w:t>（二）</w:t>
            </w:r>
            <w:r>
              <w:rPr>
                <w:rFonts w:ascii="標楷體" w:hAnsi="標楷體" w:cs="標楷體" w:eastAsia="標楷體"/>
              </w:rPr>
              <w:t>定性氣囊漏氣測試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執行中</w:t>
            </w:r>
          </w:p>
          <w:p>
            <w:pPr>
              <w:pStyle w:val="Normal"/>
              <w:snapToGrid w:val="false"/>
              <w:spacing w:lineRule="auto" w:line="276"/>
              <w:rPr>
                <w:rFonts w:eastAsia="標楷體"/>
                <w:sz w:val="28"/>
                <w:szCs w:val="28"/>
                <w:vertAlign w:val="superscript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</w:rPr>
              <w:t>執行定量氣囊漏氣測試</w:t>
            </w:r>
          </w:p>
          <w:p>
            <w:pPr>
              <w:pStyle w:val="Normal"/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標楷體"/>
              </w:rPr>
              <w:t>（一）調整呼吸器模式為容積通氣模式</w:t>
            </w:r>
            <w:r>
              <w:rPr>
                <w:rFonts w:eastAsia="標楷體"/>
              </w:rPr>
              <w:t>(VC- A/C)</w:t>
            </w:r>
          </w:p>
          <w:p>
            <w:pPr>
              <w:pStyle w:val="Normal"/>
              <w:snapToGrid w:val="false"/>
              <w:spacing w:lineRule="auto" w:line="276"/>
              <w:ind w:left="763" w:hanging="763"/>
              <w:rPr/>
            </w:pPr>
            <w:r>
              <w:rPr>
                <w:rFonts w:eastAsia="標楷體"/>
              </w:rPr>
              <w:t>（二）調整</w:t>
            </w:r>
            <w:r>
              <w:rPr>
                <w:rFonts w:eastAsia="標楷體"/>
              </w:rPr>
              <w:t>setV</w:t>
            </w:r>
            <w:r>
              <w:rPr>
                <w:rFonts w:eastAsia="標楷體"/>
                <w:vertAlign w:val="subscript"/>
              </w:rPr>
              <w:t>T</w:t>
            </w:r>
            <w:r>
              <w:rPr>
                <w:rFonts w:eastAsia="標楷體"/>
              </w:rPr>
              <w:t>為</w:t>
            </w:r>
            <w:r>
              <w:rPr>
                <w:rFonts w:eastAsia="標楷體"/>
              </w:rPr>
              <w:t>IBW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>10 ml / kg</w:t>
            </w:r>
            <w:r>
              <w:rPr>
                <w:rFonts w:eastAsia="標楷體"/>
              </w:rPr>
              <w:t>。氣囊放氣前測量呼吸器吸氣與吐氣容積，容積相差需在</w:t>
            </w:r>
            <w:r>
              <w:rPr>
                <w:rFonts w:eastAsia="標楷體"/>
              </w:rPr>
              <w:t>20 ml</w:t>
            </w:r>
            <w:r>
              <w:rPr>
                <w:rFonts w:eastAsia="標楷體"/>
              </w:rPr>
              <w:t>以內。</w:t>
            </w:r>
          </w:p>
          <w:p>
            <w:pPr>
              <w:pStyle w:val="Normal"/>
              <w:snapToGrid w:val="false"/>
              <w:spacing w:lineRule="auto" w:line="276"/>
              <w:ind w:left="763" w:hanging="763"/>
              <w:rPr>
                <w:rFonts w:eastAsia="標楷體"/>
              </w:rPr>
            </w:pPr>
            <w:r>
              <w:rPr>
                <w:rFonts w:eastAsia="標楷體"/>
              </w:rPr>
              <w:t>（三）調整</w:t>
            </w:r>
            <w:r>
              <w:rPr>
                <w:rFonts w:eastAsia="標楷體"/>
              </w:rPr>
              <w:t>RR</w:t>
            </w:r>
            <w:r>
              <w:rPr>
                <w:rFonts w:eastAsia="標楷體"/>
              </w:rPr>
              <w:t>為</w:t>
            </w:r>
            <w:r>
              <w:rPr>
                <w:rFonts w:eastAsia="標楷體"/>
              </w:rPr>
              <w:t xml:space="preserve">15 </w:t>
            </w:r>
            <w:r>
              <w:rPr>
                <w:rFonts w:eastAsia="標楷體"/>
              </w:rPr>
              <w:t>次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分，</w:t>
            </w:r>
            <w:r>
              <w:rPr>
                <w:rFonts w:eastAsia="標楷體"/>
              </w:rPr>
              <w:t>PEEP</w:t>
            </w:r>
            <w:r>
              <w:rPr>
                <w:rFonts w:eastAsia="標楷體"/>
              </w:rPr>
              <w:t>調整為</w:t>
            </w:r>
            <w:r>
              <w:rPr>
                <w:rFonts w:eastAsia="標楷體"/>
              </w:rPr>
              <w:t>0 cmH2O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napToGrid w:val="false"/>
              <w:spacing w:lineRule="auto" w:line="276"/>
              <w:ind w:left="763" w:hanging="763"/>
              <w:rPr>
                <w:rFonts w:eastAsia="標楷體"/>
              </w:rPr>
            </w:pPr>
            <w:r>
              <w:rPr>
                <w:rFonts w:eastAsia="標楷體"/>
              </w:rPr>
              <w:t>（四）以</w:t>
            </w:r>
            <w:r>
              <w:rPr>
                <w:rFonts w:eastAsia="標楷體"/>
              </w:rPr>
              <w:t>10ml</w:t>
            </w:r>
            <w:r>
              <w:rPr>
                <w:rFonts w:eastAsia="標楷體"/>
              </w:rPr>
              <w:t>空針，緩慢將氣囊空氣完全放氣。</w:t>
            </w:r>
          </w:p>
          <w:p>
            <w:pPr>
              <w:pStyle w:val="Normal"/>
              <w:snapToGrid w:val="false"/>
              <w:spacing w:lineRule="auto" w:line="276"/>
              <w:ind w:left="763" w:hanging="763"/>
              <w:rPr>
                <w:rFonts w:eastAsia="標楷體"/>
              </w:rPr>
            </w:pPr>
            <w:r>
              <w:rPr>
                <w:rFonts w:eastAsia="標楷體"/>
              </w:rPr>
              <w:t>（五）觀察病人呼吸狀況，當呼吸平穩時，觀察連續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次的吐氣容積，取最小</w:t>
            </w:r>
            <w:r>
              <w:rPr>
                <w:rFonts w:eastAsia="標楷體"/>
              </w:rPr>
              <w:t>3</w:t>
            </w:r>
            <w:r>
              <w:rPr>
                <w:rFonts w:eastAsia="標楷體"/>
              </w:rPr>
              <w:t>次數值的平均值，做為氣囊漏氣後的</w:t>
            </w:r>
            <w:r>
              <w:rPr>
                <w:rFonts w:eastAsia="標楷體"/>
              </w:rPr>
              <w:t>measure V</w:t>
            </w:r>
            <w:r>
              <w:rPr>
                <w:rFonts w:eastAsia="標楷體"/>
                <w:vertAlign w:val="subscript"/>
              </w:rPr>
              <w:t>T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napToGrid w:val="false"/>
              <w:ind w:right="113" w:hanging="0"/>
              <w:rPr/>
            </w:pPr>
            <w:r>
              <w:rPr>
                <w:rFonts w:eastAsia="標楷體"/>
              </w:rPr>
              <w:t>（六）將氣囊回充</w:t>
            </w:r>
            <w:r>
              <w:rPr>
                <w:rFonts w:eastAsia="標楷體"/>
              </w:rPr>
              <w:t>至適當的</w:t>
            </w:r>
            <w:r>
              <w:rPr>
                <w:rFonts w:eastAsia="標楷體"/>
              </w:rPr>
              <w:t>氣囊壓力</w:t>
            </w:r>
          </w:p>
          <w:p>
            <w:pPr>
              <w:pStyle w:val="Normal"/>
              <w:snapToGrid w:val="false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  <w:t>（七）調整回原使用的呼吸器模式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（八）執行過程中需注意病人生命徵象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eastAsia="標楷體"/>
              </w:rPr>
              <w:t>一</w:t>
            </w:r>
            <w:r>
              <w:rPr>
                <w:rFonts w:ascii="標楷體" w:hAnsi="標楷體" w:cs="標楷體" w:eastAsia="標楷體"/>
              </w:rPr>
              <w:t>、執行技術前要先幫病人抽痰後才可執行（包含口鼻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</w:rPr>
            </w:pPr>
            <w:r>
              <w:rPr>
                <w:rFonts w:eastAsia="Times New Roman"/>
                <w:kern w:val="0"/>
              </w:rPr>
              <w:t xml:space="preserve">    </w:t>
            </w:r>
            <w:r>
              <w:rPr>
                <w:rFonts w:eastAsia="標楷體"/>
                <w:kern w:val="0"/>
              </w:rPr>
              <w:t>(</w:t>
            </w:r>
            <w:r>
              <w:rPr>
                <w:rFonts w:eastAsia="標楷體"/>
              </w:rPr>
              <w:t>若病人疑似開放性肺結核或飛沫或空氣傳染者，執行人員須配戴</w:t>
            </w:r>
            <w:r>
              <w:rPr>
                <w:rFonts w:eastAsia="標楷體"/>
              </w:rPr>
              <w:t>N95</w:t>
            </w:r>
            <w:r>
              <w:rPr>
                <w:rFonts w:eastAsia="標楷體"/>
              </w:rPr>
              <w:t>口罩，避免感染。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>
                <w:rFonts w:eastAsia="標楷體"/>
                <w:kern w:val="0"/>
              </w:rPr>
              <w:t>二、執行定量氣囊漏氣測試注意事項</w:t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（一）評估病人的狀態</w:t>
            </w:r>
          </w:p>
          <w:p>
            <w:pPr>
              <w:pStyle w:val="Normal"/>
              <w:autoSpaceDE w:val="false"/>
              <w:ind w:left="480" w:firstLine="360"/>
              <w:rPr/>
            </w:pPr>
            <w:r>
              <w:rPr>
                <w:rFonts w:eastAsia="標楷體"/>
                <w:kern w:val="0"/>
              </w:rPr>
              <w:t>1.</w:t>
            </w:r>
            <w:r>
              <w:rPr>
                <w:rFonts w:eastAsia="標楷體"/>
                <w:kern w:val="0"/>
              </w:rPr>
              <w:t>呼吸器設定模式已為較低的支持模式</w:t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>
                <w:rFonts w:eastAsia="Times New Roman"/>
                <w:kern w:val="0"/>
              </w:rPr>
              <w:t xml:space="preserve"> </w:t>
            </w:r>
            <w:r>
              <w:rPr>
                <w:rFonts w:eastAsia="Times New Roman"/>
                <w:kern w:val="0"/>
              </w:rPr>
              <w:t xml:space="preserve">     </w:t>
            </w:r>
            <w:r>
              <w:rPr>
                <w:rFonts w:eastAsia="Times New Roman"/>
                <w:kern w:val="0"/>
              </w:rPr>
              <w:t xml:space="preserve"> </w:t>
            </w:r>
            <w:r>
              <w:rPr>
                <w:rFonts w:eastAsia="標楷體"/>
                <w:kern w:val="0"/>
              </w:rPr>
              <w:t>2.</w:t>
            </w:r>
            <w:r>
              <w:rPr>
                <w:rFonts w:eastAsia="標楷體"/>
                <w:kern w:val="0"/>
              </w:rPr>
              <w:t>適當的氧合</w:t>
            </w:r>
            <w:r>
              <w:rPr>
                <w:rFonts w:eastAsia="標楷體"/>
                <w:kern w:val="0"/>
              </w:rPr>
              <w:t>(</w:t>
            </w:r>
            <w:r>
              <w:rPr>
                <w:rFonts w:eastAsia="標楷體"/>
                <w:kern w:val="0"/>
              </w:rPr>
              <w:t>如</w:t>
            </w:r>
            <w:r>
              <w:rPr>
                <w:rFonts w:eastAsia="標楷體"/>
                <w:kern w:val="0"/>
              </w:rPr>
              <w:t>:FiO2 &lt; 50%</w:t>
            </w:r>
            <w:r>
              <w:rPr>
                <w:rFonts w:eastAsia="標楷體"/>
                <w:kern w:val="0"/>
              </w:rPr>
              <w:t>，</w:t>
            </w:r>
            <w:r>
              <w:rPr>
                <w:rFonts w:eastAsia="標楷體"/>
                <w:kern w:val="0"/>
              </w:rPr>
              <w:t>SpO2&gt;90%)</w:t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>
                <w:rFonts w:eastAsia="Times New Roman"/>
                <w:kern w:val="0"/>
              </w:rPr>
              <w:t xml:space="preserve">  </w:t>
            </w:r>
            <w:r>
              <w:rPr>
                <w:rFonts w:eastAsia="Times New Roman"/>
                <w:kern w:val="0"/>
              </w:rPr>
              <w:t xml:space="preserve">     </w:t>
            </w:r>
            <w:r>
              <w:rPr>
                <w:rFonts w:eastAsia="標楷體"/>
                <w:kern w:val="0"/>
              </w:rPr>
              <w:t>3.</w:t>
            </w:r>
            <w:r>
              <w:rPr>
                <w:rFonts w:eastAsia="標楷體"/>
                <w:kern w:val="0"/>
              </w:rPr>
              <w:t>血液動力學穩定</w:t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（二）搖高床頭，採取半坐臥姿</w:t>
            </w:r>
          </w:p>
          <w:p>
            <w:pPr>
              <w:pStyle w:val="Normal"/>
              <w:spacing w:lineRule="atLeast" w:line="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（三）執行無菌技術抽痰</w:t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kern w:val="0"/>
              </w:rPr>
              <w:t xml:space="preserve"> </w:t>
            </w:r>
            <w:r>
              <w:rPr>
                <w:rFonts w:eastAsia="標楷體" w:cs="標楷體" w:ascii="標楷體" w:hAnsi="標楷體"/>
                <w:kern w:val="0"/>
              </w:rPr>
              <w:t>(</w:t>
            </w:r>
            <w:r>
              <w:rPr>
                <w:rFonts w:ascii="標楷體" w:hAnsi="標楷體" w:cs="標楷體" w:eastAsia="標楷體"/>
                <w:kern w:val="0"/>
              </w:rPr>
              <w:t>四</w:t>
            </w:r>
            <w:r>
              <w:rPr>
                <w:rFonts w:eastAsia="標楷體" w:cs="標楷體" w:ascii="標楷體" w:hAnsi="標楷體"/>
                <w:kern w:val="0"/>
              </w:rPr>
              <w:t>)</w:t>
            </w:r>
            <w:r>
              <w:rPr>
                <w:rFonts w:ascii="標楷體" w:hAnsi="標楷體" w:cs="標楷體" w:eastAsia="標楷體"/>
              </w:rPr>
              <w:t>執行氣囊漏氣測試時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VC- A/C</w:t>
            </w:r>
            <w:r>
              <w:rPr>
                <w:rFonts w:eastAsia="標楷體" w:cs="標楷體" w:ascii="標楷體" w:hAnsi="標楷體"/>
                <w:color w:val="000000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mode</w:t>
            </w:r>
            <w:r>
              <w:rPr>
                <w:rFonts w:ascii="標楷體" w:hAnsi="標楷體" w:cs="標楷體" w:eastAsia="標楷體"/>
              </w:rPr>
              <w:t>的</w:t>
            </w:r>
            <w:r>
              <w:rPr>
                <w:rFonts w:eastAsia="標楷體" w:cs="標楷體" w:ascii="標楷體" w:hAnsi="標楷體"/>
              </w:rPr>
              <w:t>auto flow</w:t>
            </w:r>
          </w:p>
          <w:p>
            <w:pPr>
              <w:pStyle w:val="Normal"/>
              <w:spacing w:lineRule="atLeast" w:line="0"/>
              <w:ind w:firstLine="600"/>
              <w:rPr>
                <w:rFonts w:ascii="標楷體" w:hAnsi="標楷體" w:eastAsia="標楷體" w:cs="Arial"/>
                <w:shd w:fill="FFFFFF" w:val="clear"/>
              </w:rPr>
            </w:pPr>
            <w:r>
              <w:rPr>
                <w:rFonts w:ascii="標楷體" w:hAnsi="標楷體" w:cs="標楷體" w:eastAsia="標楷體"/>
              </w:rPr>
              <w:t>模式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Leak compensation</w:t>
            </w:r>
            <w:r>
              <w:rPr>
                <w:rFonts w:ascii="標楷體" w:hAnsi="標楷體" w:cs="標楷體" w:eastAsia="標楷體"/>
              </w:rPr>
              <w:t>或是</w:t>
            </w:r>
            <w:r>
              <w:rPr>
                <w:rFonts w:ascii="標楷體" w:hAnsi="標楷體" w:cs="Arial" w:eastAsia="標楷體"/>
                <w:shd w:fill="FFFFFF" w:val="clear"/>
              </w:rPr>
              <w:t>自動管路補償</w:t>
            </w:r>
          </w:p>
          <w:p>
            <w:pPr>
              <w:pStyle w:val="Normal"/>
              <w:spacing w:lineRule="atLeast" w:line="0"/>
              <w:ind w:firstLine="600"/>
              <w:rPr>
                <w:rFonts w:ascii="標楷體" w:hAnsi="標楷體" w:eastAsia="標楷體"/>
              </w:rPr>
            </w:pPr>
            <w:r>
              <w:rPr>
                <w:rFonts w:ascii="標楷體" w:hAnsi="標楷體" w:cs="Arial" w:eastAsia="標楷體"/>
                <w:shd w:fill="FFFFFF" w:val="clear"/>
              </w:rPr>
              <w:t>（</w:t>
            </w:r>
            <w:r>
              <w:rPr>
                <w:rFonts w:eastAsia="標楷體" w:cs="Arial" w:ascii="標楷體" w:hAnsi="標楷體"/>
                <w:shd w:fill="FFFFFF" w:val="clear"/>
              </w:rPr>
              <w:t>automatic tube compensation</w:t>
            </w:r>
            <w:r>
              <w:rPr>
                <w:rFonts w:ascii="標楷體" w:hAnsi="標楷體" w:cs="Arial" w:eastAsia="標楷體"/>
                <w:shd w:fill="FFFFFF" w:val="clear"/>
              </w:rPr>
              <w:t>，</w:t>
            </w:r>
            <w:r>
              <w:rPr>
                <w:rFonts w:eastAsia="標楷體" w:cs="Arial" w:ascii="標楷體" w:hAnsi="標楷體"/>
                <w:shd w:fill="FFFFFF" w:val="clear"/>
              </w:rPr>
              <w:t>ATC</w:t>
            </w:r>
            <w:r>
              <w:rPr>
                <w:rFonts w:ascii="標楷體" w:hAnsi="標楷體" w:cs="Arial" w:eastAsia="標楷體"/>
                <w:shd w:fill="FFFFFF" w:val="clear"/>
              </w:rPr>
              <w:t>）</w:t>
            </w:r>
            <w:r>
              <w:rPr>
                <w:rFonts w:ascii="標楷體" w:hAnsi="標楷體" w:cs="標楷體" w:eastAsia="標楷體"/>
              </w:rPr>
              <w:t>應予關閉。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107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氣囊漏氣測試標準作業規範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13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5-3   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2340"/>
        <w:gridCol w:w="3632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作  業  說  明</w:t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参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/>
            </w:pP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九</w:t>
            </w:r>
            <w:r>
              <w:rPr>
                <w:rFonts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計算</w:t>
            </w:r>
            <w:r>
              <w:rPr>
                <w:rFonts w:ascii="標楷體" w:hAnsi="標楷體" w:cs="標楷體" w:eastAsia="標楷體"/>
                <w:b/>
              </w:rPr>
              <w:t>定量</w:t>
            </w:r>
            <w:r>
              <w:rPr>
                <w:rFonts w:ascii="標楷體" w:hAnsi="標楷體" w:cs="標楷體" w:eastAsia="標楷體"/>
              </w:rPr>
              <w:t>氣囊漏氣容積</w:t>
            </w:r>
          </w:p>
          <w:p>
            <w:pPr>
              <w:pStyle w:val="Normal"/>
              <w:snapToGrid w:val="false"/>
              <w:spacing w:lineRule="atLeast" w:line="240"/>
              <w:ind w:firstLine="36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漏氣容積比率（</w:t>
            </w:r>
            <w:r>
              <w:rPr>
                <w:rFonts w:eastAsia="標楷體" w:cs="標楷體" w:ascii="標楷體" w:hAnsi="標楷體"/>
              </w:rPr>
              <w:t>CLV%</w:t>
            </w:r>
            <w:r>
              <w:rPr>
                <w:rFonts w:ascii="標楷體" w:hAnsi="標楷體" w:cs="標楷體" w:eastAsia="標楷體"/>
              </w:rPr>
              <w:t>；</w:t>
            </w:r>
            <w:r>
              <w:rPr>
                <w:rFonts w:eastAsia="標楷體" w:cs="標楷體" w:ascii="標楷體" w:hAnsi="標楷體"/>
              </w:rPr>
              <w:t>cuff leak volume %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napToGrid w:val="false"/>
              <w:spacing w:lineRule="atLeas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＝（</w:t>
            </w:r>
            <w:r>
              <w:rPr>
                <w:rFonts w:eastAsia="標楷體" w:cs="標楷體" w:ascii="標楷體" w:hAnsi="標楷體"/>
                <w:sz w:val="28"/>
              </w:rPr>
              <w:t>set V</w:t>
            </w:r>
            <w:r>
              <w:rPr>
                <w:rFonts w:eastAsia="標楷體" w:cs="標楷體" w:ascii="標楷體" w:hAnsi="標楷體"/>
                <w:sz w:val="28"/>
                <w:vertAlign w:val="subscript"/>
              </w:rPr>
              <w:t>T</w:t>
            </w:r>
            <w:r>
              <w:rPr>
                <w:rFonts w:eastAsia="標楷體" w:cs="標楷體" w:ascii="標楷體" w:hAnsi="標楷體"/>
                <w:sz w:val="28"/>
              </w:rPr>
              <w:t xml:space="preserve"> </w:t>
            </w:r>
            <w:r>
              <w:rPr>
                <w:rFonts w:ascii="標楷體" w:hAnsi="標楷體" w:cs="標楷體" w:eastAsia="標楷體"/>
                <w:sz w:val="28"/>
              </w:rPr>
              <w:t xml:space="preserve">－ </w:t>
            </w:r>
            <w:r>
              <w:rPr>
                <w:rFonts w:eastAsia="標楷體" w:cs="標楷體" w:ascii="標楷體" w:hAnsi="標楷體"/>
                <w:sz w:val="28"/>
              </w:rPr>
              <w:t>measure V</w:t>
            </w:r>
            <w:r>
              <w:rPr>
                <w:rFonts w:eastAsia="標楷體" w:cs="標楷體" w:ascii="標楷體" w:hAnsi="標楷體"/>
                <w:sz w:val="28"/>
                <w:vertAlign w:val="subscript"/>
              </w:rPr>
              <w:t>T</w:t>
            </w:r>
            <w:r>
              <w:rPr>
                <w:rFonts w:ascii="標楷體" w:hAnsi="標楷體" w:cs="標楷體" w:eastAsia="標楷體"/>
                <w:sz w:val="28"/>
              </w:rPr>
              <w:t>）</w:t>
            </w:r>
            <w:r>
              <w:rPr>
                <w:rFonts w:eastAsia="標楷體" w:cs="標楷體" w:ascii="標楷體" w:hAnsi="標楷體"/>
                <w:sz w:val="28"/>
              </w:rPr>
              <w:t>÷ set V</w:t>
            </w:r>
            <w:r>
              <w:rPr>
                <w:rFonts w:eastAsia="標楷體" w:cs="標楷體" w:ascii="標楷體" w:hAnsi="標楷體"/>
                <w:sz w:val="28"/>
                <w:vertAlign w:val="subscript"/>
              </w:rPr>
              <w:t xml:space="preserve">T </w:t>
            </w:r>
            <w:r>
              <w:rPr>
                <w:rFonts w:eastAsia="標楷體" w:cs="標楷體" w:ascii="標楷體" w:hAnsi="標楷體"/>
                <w:sz w:val="28"/>
              </w:rPr>
              <w:t>× 100</w:t>
            </w:r>
            <w:r>
              <w:rPr>
                <w:rFonts w:ascii="標楷體" w:hAnsi="標楷體" w:cs="標楷體" w:eastAsia="標楷體"/>
                <w:sz w:val="28"/>
              </w:rPr>
              <w:t>％</w:t>
            </w:r>
          </w:p>
          <w:p>
            <w:pPr>
              <w:pStyle w:val="Normal"/>
              <w:snapToGrid w:val="false"/>
              <w:spacing w:lineRule="atLeast" w:line="240"/>
              <w:jc w:val="both"/>
              <w:rPr/>
            </w:pPr>
            <w:r>
              <w:rPr>
                <w:rFonts w:ascii="標楷體" w:hAnsi="標楷體" w:cs="標楷體" w:eastAsia="標楷體"/>
              </w:rPr>
              <w:t>＝（</w:t>
            </w:r>
            <w:r>
              <w:rPr>
                <w:rFonts w:eastAsia="標楷體" w:cs="標楷體" w:ascii="標楷體" w:hAnsi="標楷體"/>
              </w:rPr>
              <w:t>cuff leak volume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eastAsia="標楷體" w:cs="標楷體" w:ascii="標楷體" w:hAnsi="標楷體"/>
              </w:rPr>
              <w:t>÷ set V</w:t>
            </w:r>
            <w:r>
              <w:rPr>
                <w:rFonts w:eastAsia="標楷體" w:cs="標楷體" w:ascii="標楷體" w:hAnsi="標楷體"/>
                <w:vertAlign w:val="subscript"/>
              </w:rPr>
              <w:t>T</w:t>
            </w:r>
            <w:r>
              <w:rPr>
                <w:rFonts w:eastAsia="標楷體" w:cs="標楷體" w:ascii="標楷體" w:hAnsi="標楷體"/>
              </w:rPr>
              <w:t xml:space="preserve"> × 100</w:t>
            </w:r>
            <w:r>
              <w:rPr>
                <w:rFonts w:ascii="標楷體" w:hAnsi="標楷體" w:cs="標楷體" w:eastAsia="標楷體"/>
              </w:rPr>
              <w:t>％</w:t>
            </w:r>
          </w:p>
          <w:p>
            <w:pPr>
              <w:pStyle w:val="Normal"/>
              <w:snapToGrid w:val="false"/>
              <w:spacing w:lineRule="atLeast" w:line="24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判讀：漏氣容積比率 ＜</w:t>
            </w:r>
            <w:r>
              <w:rPr>
                <w:rFonts w:eastAsia="標楷體" w:cs="標楷體" w:ascii="標楷體" w:hAnsi="標楷體"/>
              </w:rPr>
              <w:t>15</w:t>
            </w:r>
            <w:r>
              <w:rPr>
                <w:rFonts w:ascii="標楷體" w:hAnsi="標楷體" w:cs="標楷體" w:eastAsia="標楷體"/>
              </w:rPr>
              <w:t>％ 或氣囊漏氣容積＜</w:t>
            </w:r>
            <w:r>
              <w:rPr>
                <w:rFonts w:eastAsia="標楷體" w:cs="標楷體" w:ascii="標楷體" w:hAnsi="標楷體"/>
              </w:rPr>
              <w:t>110 ml</w:t>
            </w:r>
            <w:r>
              <w:rPr>
                <w:rFonts w:ascii="標楷體" w:hAnsi="標楷體" w:cs="標楷體" w:eastAsia="標楷體"/>
              </w:rPr>
              <w:t>，表示出現喉頭水腫的機率會較高。</w:t>
            </w:r>
          </w:p>
          <w:p>
            <w:pPr>
              <w:pStyle w:val="Normal"/>
              <w:snapToGrid w:val="false"/>
              <w:spacing w:lineRule="atLeast" w:line="240"/>
              <w:ind w:left="840" w:hanging="840"/>
              <w:rPr>
                <w:rFonts w:ascii="標楷體" w:hAnsi="標楷體" w:eastAsia="標楷體" w:cs="標楷體"/>
                <w:sz w:val="28"/>
                <w:szCs w:val="28"/>
                <w:vertAlign w:val="superscript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  <w:vertAlign w:val="superscript"/>
              </w:rPr>
            </w:r>
          </w:p>
          <w:p>
            <w:pPr>
              <w:pStyle w:val="Normal"/>
              <w:snapToGrid w:val="false"/>
              <w:spacing w:lineRule="atLeast" w:line="240"/>
              <w:ind w:left="720" w:hanging="720"/>
              <w:jc w:val="both"/>
              <w:rPr/>
            </w:pP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、執行定性氣囊漏氣測試</w:t>
            </w:r>
          </w:p>
          <w:p>
            <w:pPr>
              <w:pStyle w:val="Normal"/>
              <w:snapToGrid w:val="false"/>
              <w:spacing w:lineRule="atLeast" w:line="240"/>
              <w:ind w:left="720" w:hanging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聽診器放在頸部氣管處，將人工甦醒器</w:t>
            </w:r>
            <w:r>
              <w:rPr>
                <w:rFonts w:eastAsia="標楷體" w:cs="標楷體" w:ascii="標楷體" w:hAnsi="標楷體"/>
              </w:rPr>
              <w:t>(Ambu)</w:t>
            </w:r>
            <w:r>
              <w:rPr>
                <w:rFonts w:ascii="標楷體" w:hAnsi="標楷體" w:cs="標楷體" w:eastAsia="標楷體"/>
              </w:rPr>
              <w:t>接於</w:t>
            </w:r>
          </w:p>
          <w:p>
            <w:pPr>
              <w:pStyle w:val="Normal"/>
              <w:snapToGrid w:val="false"/>
              <w:spacing w:lineRule="atLeast" w:line="240"/>
              <w:ind w:left="720" w:hanging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氣管內管並擠壓數次，以聽診氣管內管周圍的空氣</w:t>
            </w:r>
          </w:p>
          <w:p>
            <w:pPr>
              <w:pStyle w:val="Normal"/>
              <w:snapToGrid w:val="false"/>
              <w:spacing w:lineRule="atLeast" w:line="240"/>
              <w:ind w:left="720" w:hanging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流動聲音。依照漏氣聲音之大小，分類如下：</w:t>
            </w:r>
          </w:p>
          <w:p>
            <w:pPr>
              <w:pStyle w:val="Normal"/>
              <w:snapToGrid w:val="false"/>
              <w:spacing w:lineRule="atLeas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</w:t>
            </w:r>
            <w:r>
              <w:rPr>
                <w:rFonts w:eastAsia="標楷體" w:cs="標楷體" w:ascii="標楷體" w:hAnsi="標楷體"/>
              </w:rPr>
              <w:t>significant leak</w:t>
            </w:r>
            <w:r>
              <w:rPr>
                <w:rFonts w:ascii="標楷體" w:hAnsi="標楷體" w:cs="標楷體" w:eastAsia="標楷體"/>
              </w:rPr>
              <w:t>：不用聽診器聽診，可聽到漏氣聲</w:t>
            </w:r>
          </w:p>
          <w:p>
            <w:pPr>
              <w:pStyle w:val="Normal"/>
              <w:snapToGrid w:val="false"/>
              <w:spacing w:lineRule="atLeas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</w:t>
            </w:r>
            <w:r>
              <w:rPr>
                <w:rFonts w:eastAsia="標楷體" w:cs="標楷體" w:ascii="標楷體" w:hAnsi="標楷體"/>
              </w:rPr>
              <w:t>mild leak</w:t>
            </w:r>
            <w:r>
              <w:rPr>
                <w:rFonts w:ascii="標楷體" w:hAnsi="標楷體" w:cs="標楷體" w:eastAsia="標楷體"/>
              </w:rPr>
              <w:t>：用聽診器聽診，才可聽到漏氣聲</w:t>
            </w:r>
          </w:p>
          <w:p>
            <w:pPr>
              <w:pStyle w:val="Normal"/>
              <w:snapToGrid w:val="false"/>
              <w:spacing w:lineRule="atLeast" w:line="240"/>
              <w:jc w:val="both"/>
              <w:rPr/>
            </w:pPr>
            <w:r>
              <w:rPr>
                <w:rFonts w:ascii="標楷體" w:hAnsi="標楷體" w:cs="標楷體" w:eastAsia="標楷體"/>
              </w:rPr>
              <w:t>（三）</w:t>
            </w:r>
            <w:r>
              <w:rPr>
                <w:rFonts w:eastAsia="標楷體" w:cs="標楷體" w:ascii="標楷體" w:hAnsi="標楷體"/>
              </w:rPr>
              <w:t>no leak</w:t>
            </w:r>
            <w:r>
              <w:rPr>
                <w:rFonts w:ascii="標楷體" w:hAnsi="標楷體" w:cs="標楷體" w:eastAsia="標楷體"/>
              </w:rPr>
              <w:t>：使用聽診器聽診未聽到漏氣聲</w:t>
            </w:r>
          </w:p>
          <w:p>
            <w:pPr>
              <w:pStyle w:val="Normal"/>
              <w:snapToGrid w:val="false"/>
              <w:spacing w:lineRule="atLeas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ascii="標楷體" w:hAnsi="標楷體" w:cs="標楷體" w:eastAsia="標楷體"/>
              </w:rPr>
              <w:t>判讀：</w:t>
            </w:r>
            <w:r>
              <w:rPr>
                <w:rFonts w:eastAsia="標楷體" w:cs="標楷體" w:ascii="標楷體" w:hAnsi="標楷體"/>
              </w:rPr>
              <w:t>no leak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eastAsia="標楷體" w:cs="標楷體" w:ascii="標楷體" w:hAnsi="標楷體"/>
              </w:rPr>
              <w:t>mild leak</w:t>
            </w:r>
            <w:r>
              <w:rPr>
                <w:rFonts w:ascii="標楷體" w:hAnsi="標楷體" w:cs="標楷體" w:eastAsia="標楷體"/>
              </w:rPr>
              <w:t>，表示出現喉頭水腫</w:t>
            </w:r>
          </w:p>
          <w:p>
            <w:pPr>
              <w:pStyle w:val="Normal"/>
              <w:snapToGrid w:val="false"/>
              <w:spacing w:lineRule="atLeast" w:line="240"/>
              <w:ind w:firstLine="7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的機率會較高。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執行後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將病人恢復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洗手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結束測量並將所測得的值紀錄在電子紀錄表上</w:t>
            </w:r>
          </w:p>
          <w:p>
            <w:pPr>
              <w:pStyle w:val="Normal"/>
              <w:spacing w:lineRule="atLeast" w:line="240"/>
              <w:jc w:val="both"/>
              <w:rPr>
                <w:rFonts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四、計價</w:t>
            </w:r>
            <w:r>
              <w:rPr>
                <w:rFonts w:eastAsia="標楷體" w:cs="標楷體" w:ascii="標楷體" w:hAnsi="標楷體"/>
              </w:rPr>
              <w:t xml:space="preserve">: </w:t>
            </w:r>
            <w:r>
              <w:rPr>
                <w:rFonts w:cs="標楷體" w:eastAsia="標楷體"/>
              </w:rPr>
              <w:t>全階呼吸量測定（</w:t>
            </w:r>
            <w:r>
              <w:rPr>
                <w:rFonts w:eastAsia="標楷體"/>
              </w:rPr>
              <w:t>17017B</w:t>
            </w:r>
            <w:r>
              <w:rPr>
                <w:rFonts w:cs="標楷體" w:eastAsia="標楷體"/>
              </w:rPr>
              <w:t>）</w:t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480" w:hanging="480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ascii="標楷體" w:hAnsi="標楷體" w:cs="標楷體" w:eastAsia="標楷體"/>
                <w:kern w:val="0"/>
              </w:rPr>
              <w:t>、</w:t>
            </w:r>
            <w:r>
              <w:rPr>
                <w:rFonts w:ascii="標楷體" w:hAnsi="標楷體" w:cs="標楷體" w:eastAsia="標楷體"/>
                <w:kern w:val="0"/>
              </w:rPr>
              <w:t>舉例</w:t>
            </w:r>
          </w:p>
          <w:p>
            <w:pPr>
              <w:pStyle w:val="Normal"/>
              <w:autoSpaceDE w:val="false"/>
              <w:ind w:left="480" w:hanging="480"/>
              <w:rPr>
                <w:rFonts w:ascii="標楷體" w:hAnsi="標楷體" w:eastAsia="標楷體" w:cs="標楷體"/>
                <w:kern w:val="0"/>
              </w:rPr>
            </w:pPr>
            <w:r>
              <w:rPr/>
              <w:drawing>
                <wp:inline distT="0" distB="0" distL="0" distR="0">
                  <wp:extent cx="3514725" cy="628015"/>
                  <wp:effectExtent l="0" t="0" r="0" b="0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8" t="-34" r="-8" b="19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auto" w:line="276"/>
              <w:ind w:left="374" w:right="113" w:hanging="374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 xml:space="preserve">   </w:t>
            </w:r>
            <w:r>
              <w:rPr>
                <w:rFonts w:ascii="標楷體" w:hAnsi="標楷體" w:cs="標楷體" w:eastAsia="標楷體"/>
                <w:kern w:val="0"/>
              </w:rPr>
              <w:t>漏氣容積比率，可用於潮氣量較小的病人，例如：兒科或單肺的病人。</w:t>
            </w:r>
          </w:p>
          <w:p>
            <w:pPr>
              <w:pStyle w:val="Normal"/>
              <w:snapToGrid w:val="false"/>
              <w:spacing w:lineRule="auto" w:line="276"/>
              <w:ind w:left="374" w:right="113" w:hanging="374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  <w:p>
            <w:pPr>
              <w:pStyle w:val="Normal"/>
              <w:snapToGrid w:val="false"/>
              <w:spacing w:lineRule="auto" w:line="276"/>
              <w:ind w:left="254" w:right="113" w:hanging="254"/>
              <w:jc w:val="both"/>
              <w:rPr/>
            </w:pPr>
            <w:r>
              <w:rPr>
                <w:rFonts w:ascii="標楷體" w:hAnsi="標楷體" w:cs="標楷體" w:eastAsia="標楷體"/>
                <w:kern w:val="0"/>
              </w:rPr>
              <w:t>四</w:t>
            </w:r>
            <w:r>
              <w:rPr>
                <w:rFonts w:ascii="標楷體" w:hAnsi="標楷體" w:cs="標楷體" w:eastAsia="標楷體"/>
                <w:kern w:val="0"/>
              </w:rPr>
              <w:t>、執行時，應注意影響判讀結果的因素，如下：</w:t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/>
            </w:pPr>
            <w:r>
              <w:rPr>
                <w:rFonts w:ascii="標楷體" w:hAnsi="標楷體" w:cs="標楷體" w:eastAsia="標楷體"/>
                <w:kern w:val="0"/>
              </w:rPr>
              <w:t>（</w:t>
            </w:r>
            <w:r>
              <w:rPr>
                <w:rFonts w:ascii="標楷體" w:hAnsi="標楷體" w:cs="標楷體" w:eastAsia="標楷體"/>
                <w:kern w:val="0"/>
              </w:rPr>
              <w:t>一</w:t>
            </w:r>
            <w:r>
              <w:rPr>
                <w:rFonts w:ascii="標楷體" w:hAnsi="標楷體" w:cs="標楷體" w:eastAsia="標楷體"/>
                <w:kern w:val="0"/>
              </w:rPr>
              <w:t>）</w:t>
            </w:r>
            <w:r>
              <w:rPr>
                <w:rFonts w:ascii="標楷體" w:hAnsi="標楷體" w:cs="標楷體" w:eastAsia="標楷體"/>
                <w:kern w:val="0"/>
              </w:rPr>
              <w:t>氣管插管的管徑大小</w:t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/>
            </w:pPr>
            <w:r>
              <w:rPr>
                <w:rFonts w:ascii="標楷體" w:hAnsi="標楷體" w:cs="標楷體" w:eastAsia="標楷體"/>
                <w:kern w:val="0"/>
              </w:rPr>
              <w:t>（</w:t>
            </w:r>
            <w:r>
              <w:rPr>
                <w:rFonts w:ascii="標楷體" w:hAnsi="標楷體" w:cs="標楷體" w:eastAsia="標楷體"/>
                <w:kern w:val="0"/>
              </w:rPr>
              <w:t>二</w:t>
            </w:r>
            <w:r>
              <w:rPr>
                <w:rFonts w:ascii="標楷體" w:hAnsi="標楷體" w:cs="標楷體" w:eastAsia="標楷體"/>
                <w:kern w:val="0"/>
              </w:rPr>
              <w:t>）</w:t>
            </w:r>
            <w:r>
              <w:rPr>
                <w:rFonts w:ascii="標楷體" w:hAnsi="標楷體" w:cs="標楷體" w:eastAsia="標楷體"/>
                <w:kern w:val="0"/>
              </w:rPr>
              <w:t>氣囊周圍痰液聚積，</w:t>
            </w:r>
            <w:r>
              <w:rPr>
                <w:rFonts w:ascii="標楷體" w:hAnsi="標楷體" w:cs="標楷體" w:eastAsia="標楷體"/>
                <w:kern w:val="0"/>
              </w:rPr>
              <w:t>也</w:t>
            </w:r>
            <w:r>
              <w:rPr>
                <w:rFonts w:ascii="標楷體" w:hAnsi="標楷體" w:cs="標楷體" w:eastAsia="標楷體"/>
                <w:kern w:val="0"/>
              </w:rPr>
              <w:t>會影響氣囊周圍的通道</w:t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</w:rPr>
            </w:pPr>
            <w:r>
              <w:rPr>
                <w:rFonts w:ascii="標楷體" w:hAnsi="標楷體" w:cs="標楷體" w:eastAsia="標楷體"/>
                <w:kern w:val="0"/>
              </w:rPr>
              <w:t>（</w:t>
            </w:r>
            <w:r>
              <w:rPr>
                <w:rFonts w:ascii="標楷體" w:hAnsi="標楷體" w:cs="標楷體" w:eastAsia="標楷體"/>
                <w:kern w:val="0"/>
              </w:rPr>
              <w:t>三</w:t>
            </w:r>
            <w:r>
              <w:rPr>
                <w:rFonts w:ascii="標楷體" w:hAnsi="標楷體" w:cs="標楷體" w:eastAsia="標楷體"/>
                <w:kern w:val="0"/>
              </w:rPr>
              <w:t>）</w:t>
            </w:r>
            <w:r>
              <w:rPr>
                <w:rFonts w:ascii="標楷體" w:hAnsi="標楷體" w:cs="標楷體" w:eastAsia="標楷體"/>
                <w:kern w:val="0"/>
              </w:rPr>
              <w:t>病人的咳嗽反射情況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i/>
                <w:i/>
              </w:rPr>
            </w:pPr>
            <w:r>
              <w:rPr>
                <w:rFonts w:eastAsia="標楷體" w:ascii="標楷體" w:hAnsi="標楷體"/>
                <w:i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氣囊漏氣測試標準作業規範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三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eastAsia="標楷體"/>
        </w:rPr>
        <w:t>編</w:t>
      </w:r>
      <w:r>
        <w:rPr>
          <w:rFonts w:eastAsia="Times New Roman"/>
        </w:rPr>
        <w:t xml:space="preserve">   </w:t>
      </w:r>
      <w:r>
        <w:rPr>
          <w:rFonts w:eastAsia="標楷體"/>
        </w:rPr>
        <w:t>號：</w:t>
      </w:r>
      <w:r>
        <w:rPr>
          <w:rFonts w:eastAsia="標楷體"/>
        </w:rPr>
        <w:t>AUNW00/AUPW00-A0</w:t>
      </w:r>
      <w:r>
        <w:rPr>
          <w:rFonts w:eastAsia="標楷體"/>
        </w:rPr>
        <w:t>13</w:t>
      </w:r>
    </w:p>
    <w:p>
      <w:pPr>
        <w:pStyle w:val="Normal"/>
        <w:spacing w:lineRule="exact" w:line="320" w:before="0" w:after="120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5</w:t>
      </w:r>
      <w:r>
        <w:rPr>
          <w:rFonts w:eastAsia="標楷體"/>
          <w:sz w:val="28"/>
        </w:rPr>
        <w:t xml:space="preserve">                                                                        </w:t>
      </w:r>
      <w:r>
        <w:rPr>
          <w:rFonts w:ascii="標楷體" w:hAnsi="標楷體" w:eastAsia="標楷體"/>
          <w:sz w:val="28"/>
        </w:rPr>
        <w:t>頁   數：</w:t>
      </w:r>
      <w:r>
        <w:rPr>
          <w:rFonts w:eastAsia="標楷體" w:ascii="標楷體" w:hAnsi="標楷體"/>
          <w:sz w:val="28"/>
        </w:rPr>
        <w:t>5-4</w:t>
      </w:r>
      <w:r>
        <w:rPr>
          <w:rFonts w:eastAsia="標楷體"/>
          <w:sz w:val="28"/>
        </w:rPr>
        <w:t xml:space="preserve">   </w:t>
      </w:r>
      <w:r>
        <w:rPr/>
        <w:t xml:space="preserve">  </w:t>
      </w:r>
    </w:p>
    <w:tbl>
      <w:tblPr>
        <w:tblW w:w="1377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568"/>
        <w:gridCol w:w="2977"/>
        <w:gridCol w:w="3685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異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常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狀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況</w:t>
            </w:r>
            <w:r>
              <w:rPr>
                <w:rFonts w:eastAsia="Times New Roman"/>
              </w:rPr>
              <w:t xml:space="preserve">    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發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因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處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理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對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策</w:t>
            </w:r>
          </w:p>
        </w:tc>
      </w:tr>
      <w:tr>
        <w:trPr>
          <w:trHeight w:val="2591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480" w:hanging="480"/>
              <w:rPr/>
            </w:pP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、氣囊放氣前測量呼吸器吸氣與吐氣容積，容積相差大於</w:t>
            </w:r>
            <w:r>
              <w:rPr>
                <w:rFonts w:eastAsia="標楷體"/>
              </w:rPr>
              <w:t>20 ml</w:t>
            </w:r>
            <w:r>
              <w:rPr>
                <w:rFonts w:eastAsia="標楷體"/>
              </w:rPr>
              <w:t>。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713" w:hanging="713"/>
              <w:rPr/>
            </w:pPr>
            <w:r>
              <w:rPr>
                <w:rFonts w:eastAsia="標楷體"/>
              </w:rPr>
              <w:t>（一）</w:t>
            </w:r>
            <w:r>
              <w:rPr>
                <w:rFonts w:eastAsia="標楷體"/>
              </w:rPr>
              <w:t>呼吸器管路或各個接頭未密合造成</w:t>
            </w:r>
            <w:r>
              <w:rPr>
                <w:rFonts w:eastAsia="標楷體"/>
              </w:rPr>
              <w:t>漏</w:t>
            </w:r>
            <w:r>
              <w:rPr>
                <w:rFonts w:eastAsia="標楷體"/>
              </w:rPr>
              <w:t>氣或呼吸器未進行</w:t>
            </w:r>
            <w:r>
              <w:rPr>
                <w:rFonts w:eastAsia="標楷體"/>
              </w:rPr>
              <w:t>flow sensor</w:t>
            </w:r>
            <w:r>
              <w:rPr>
                <w:rFonts w:eastAsia="標楷體"/>
              </w:rPr>
              <w:t>校正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檢查呼吸器管路與接頭處，若確認無漏氣，則呼吸器進行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flow sensor</w:t>
            </w:r>
            <w:r>
              <w:rPr>
                <w:rFonts w:eastAsia="標楷體"/>
              </w:rPr>
              <w:t>校正。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11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氣囊漏氣測試標準作業規範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 xml:space="preserve">)     </w:t>
      </w:r>
      <w:r>
        <w:rPr>
          <w:rFonts w:eastAsia="標楷體" w:ascii="標楷體" w:hAnsi="標楷體"/>
          <w:sz w:val="28"/>
        </w:rPr>
        <w:t xml:space="preserve">                                                                                    </w:t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13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5-5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948"/>
        <w:gridCol w:w="2340"/>
        <w:gridCol w:w="3774"/>
      </w:tblGrid>
      <w:tr>
        <w:trPr>
          <w:trHeight w:val="860" w:hRule="atLeast"/>
          <w:cantSplit w:val="true"/>
        </w:trPr>
        <w:tc>
          <w:tcPr>
            <w:tcW w:w="14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icheading"/>
              <w:spacing w:lineRule="exact" w:line="320" w:before="100" w:after="10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ascii="標楷體" w:hAnsi="標楷體" w:eastAsia="標楷體"/>
                <w:color w:val="000000"/>
                <w:sz w:val="24"/>
              </w:rPr>
              <w:t>參考資料</w:t>
            </w:r>
            <w:r>
              <w:rPr>
                <w:rFonts w:eastAsia="標楷體" w:ascii="標楷體" w:hAnsi="標楷體"/>
                <w:color w:val="000000"/>
                <w:sz w:val="24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  <w:t>Management of the Mechanically Ventilated Patient, 2nd Edition By Lynelle N.B. Pierce, RN, MS, CCRN ,2007</w:t>
            </w:r>
          </w:p>
          <w:p>
            <w:pPr>
              <w:pStyle w:val="Normal"/>
              <w:numPr>
                <w:ilvl w:val="0"/>
                <w:numId w:val="2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Style w:val="Title"/>
                <w:rFonts w:eastAsia="標楷體" w:cs="標楷體" w:ascii="標楷體" w:hAnsi="標楷體"/>
                <w:color w:val="0D0D0D"/>
              </w:rPr>
              <w:t>A Practical Guide to Mechanical Ventilation,</w:t>
            </w:r>
            <w:r>
              <w:rPr>
                <w:rStyle w:val="Infolabel"/>
                <w:rFonts w:eastAsia="標楷體" w:cs="標楷體" w:ascii="標楷體" w:hAnsi="標楷體"/>
                <w:color w:val="0D0D0D"/>
              </w:rPr>
              <w:t>Editors(s):</w:t>
            </w:r>
            <w:r>
              <w:rPr>
                <w:rFonts w:eastAsia="標楷體" w:cs="標楷體" w:ascii="標楷體" w:hAnsi="標楷體"/>
                <w:color w:val="0D0D0D"/>
              </w:rPr>
              <w:t xml:space="preserve">Jonathon D. Truwit  Scott K. Epstein </w:t>
            </w:r>
            <w:r>
              <w:rPr>
                <w:rStyle w:val="Infolabel"/>
                <w:rFonts w:eastAsia="標楷體" w:cs="標楷體" w:ascii="標楷體" w:hAnsi="標楷體"/>
                <w:color w:val="0D0D0D"/>
              </w:rPr>
              <w:t>First published:</w:t>
            </w:r>
            <w:r>
              <w:rPr>
                <w:rStyle w:val="Infovalue"/>
                <w:rFonts w:eastAsia="標楷體" w:cs="標楷體" w:ascii="標楷體" w:hAnsi="標楷體"/>
                <w:color w:val="0D0D0D"/>
              </w:rPr>
              <w:t>31 March 2011</w:t>
            </w:r>
          </w:p>
          <w:p>
            <w:pPr>
              <w:pStyle w:val="Normal"/>
              <w:numPr>
                <w:ilvl w:val="0"/>
                <w:numId w:val="2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  <w:shd w:fill="FFFFFF" w:val="clear"/>
              </w:rPr>
              <w:t>Respiratory Care: Patient Assessment and Care Plan Development is included in the 2015 edition</w:t>
            </w:r>
          </w:p>
          <w:p>
            <w:pPr>
              <w:pStyle w:val="Normal"/>
              <w:numPr>
                <w:ilvl w:val="0"/>
                <w:numId w:val="2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  <w:t>Egan's Fundamentals of Respiratory Care, 11th Edition 2017</w:t>
            </w:r>
          </w:p>
          <w:p>
            <w:pPr>
              <w:pStyle w:val="Normal"/>
              <w:numPr>
                <w:ilvl w:val="0"/>
                <w:numId w:val="2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  <w:t>Uptodate</w:t>
            </w:r>
          </w:p>
          <w:p>
            <w:pPr>
              <w:pStyle w:val="Header"/>
              <w:rPr>
                <w:rFonts w:ascii="標楷體" w:hAnsi="標楷體" w:eastAsia="標楷體" w:cs="標楷體"/>
                <w:color w:val="0D0D0D"/>
                <w:sz w:val="24"/>
                <w:szCs w:val="24"/>
                <w:lang w:val="en-US" w:eastAsia="zh-TW"/>
              </w:rPr>
            </w:pPr>
            <w:r>
              <w:rPr>
                <w:rFonts w:eastAsia="標楷體" w:cs="標楷體" w:ascii="標楷體" w:hAnsi="標楷體"/>
                <w:color w:val="0D0D0D"/>
                <w:sz w:val="24"/>
                <w:szCs w:val="24"/>
                <w:lang w:val="en-US" w:eastAsia="zh-TW"/>
              </w:rPr>
            </w:r>
          </w:p>
          <w:p>
            <w:pPr>
              <w:pStyle w:val="Header"/>
              <w:rPr>
                <w:rFonts w:ascii="標楷體" w:hAnsi="標楷體" w:eastAsia="標楷體" w:cs="標楷體"/>
                <w:color w:val="0D0D0D"/>
                <w:sz w:val="24"/>
                <w:szCs w:val="24"/>
                <w:lang w:val="en-US" w:eastAsia="zh-TW"/>
              </w:rPr>
            </w:pPr>
            <w:r>
              <w:rPr>
                <w:rFonts w:eastAsia="標楷體" w:cs="標楷體" w:ascii="標楷體" w:hAnsi="標楷體"/>
                <w:color w:val="0D0D0D"/>
                <w:sz w:val="24"/>
                <w:szCs w:val="24"/>
                <w:lang w:val="en-US" w:eastAsia="zh-TW"/>
              </w:rPr>
              <w:t>6. Intravenous injection of methylprednisolone reduces the incidence of postextubation stridor in intensive care</w:t>
            </w:r>
          </w:p>
          <w:p>
            <w:pPr>
              <w:pStyle w:val="Header"/>
              <w:ind w:firstLine="360"/>
              <w:rPr/>
            </w:pPr>
            <w:r>
              <w:rPr>
                <w:rFonts w:ascii="標楷體" w:hAnsi="標楷體" w:cs="標楷體" w:eastAsia="標楷體"/>
                <w:color w:val="0D0D0D"/>
                <w:sz w:val="24"/>
                <w:szCs w:val="24"/>
                <w:lang w:val="en-US" w:eastAsia="zh-TW"/>
              </w:rPr>
              <w:t xml:space="preserve"> </w:t>
            </w:r>
            <w:r>
              <w:rPr>
                <w:rFonts w:eastAsia="標楷體" w:cs="標楷體" w:ascii="標楷體" w:hAnsi="標楷體"/>
                <w:color w:val="0D0D0D"/>
                <w:sz w:val="24"/>
                <w:szCs w:val="24"/>
                <w:lang w:val="en-US" w:eastAsia="zh-TW"/>
              </w:rPr>
              <w:t>unit patients. C</w:t>
            </w:r>
            <w:r>
              <w:rPr>
                <w:rFonts w:eastAsia="標楷體" w:cs="Arial" w:ascii="標楷體" w:hAnsi="標楷體"/>
                <w:color w:val="0D0D0D"/>
                <w:sz w:val="24"/>
                <w:szCs w:val="24"/>
                <w:lang w:val="en-US" w:eastAsia="zh-TW"/>
              </w:rPr>
              <w:t>rit Care Med 2006 Vol. 34, No. 5.</w:t>
            </w:r>
          </w:p>
          <w:p>
            <w:pPr>
              <w:pStyle w:val="Header"/>
              <w:ind w:firstLine="360"/>
              <w:rPr>
                <w:rFonts w:ascii="標楷體" w:hAnsi="標楷體" w:eastAsia="標楷體" w:cs="Arial"/>
                <w:color w:val="0D0D0D"/>
                <w:sz w:val="24"/>
                <w:szCs w:val="24"/>
                <w:lang w:val="en-US" w:eastAsia="zh-TW"/>
              </w:rPr>
            </w:pPr>
            <w:r>
              <w:rPr>
                <w:rFonts w:eastAsia="標楷體" w:cs="Arial" w:ascii="標楷體" w:hAnsi="標楷體"/>
                <w:color w:val="0D0D0D"/>
                <w:sz w:val="24"/>
                <w:szCs w:val="24"/>
                <w:lang w:val="en-US" w:eastAsia="zh-TW"/>
              </w:rPr>
            </w:r>
          </w:p>
          <w:p>
            <w:pPr>
              <w:pStyle w:val="Web"/>
              <w:numPr>
                <w:ilvl w:val="0"/>
                <w:numId w:val="4"/>
              </w:numPr>
              <w:spacing w:lineRule="atLeast" w:line="0" w:before="0" w:after="0"/>
              <w:rPr/>
            </w:pPr>
            <w:r>
              <w:rPr>
                <w:rFonts w:eastAsia="標楷體" w:cs="Arial" w:ascii="標楷體" w:hAnsi="標楷體"/>
                <w:color w:val="0D0D0D"/>
              </w:rPr>
              <w:t>Gros A;</w:t>
            </w:r>
            <w:r>
              <w:rPr>
                <w:rFonts w:eastAsia="標楷體" w:cs="標楷體" w:ascii="標楷體" w:hAnsi="標楷體"/>
                <w:color w:val="0D0D0D"/>
              </w:rPr>
              <w:t>Intra-individual Variation of the Cuff-Leak Test as a Predictor of Post-Extubation Stridor.</w:t>
            </w:r>
          </w:p>
          <w:p>
            <w:pPr>
              <w:pStyle w:val="Web"/>
              <w:spacing w:lineRule="atLeast" w:line="0" w:before="0" w:after="0"/>
              <w:rPr>
                <w:rFonts w:ascii="標楷體" w:hAnsi="標楷體" w:eastAsia="標楷體" w:cs="Arial"/>
                <w:color w:val="0D0D0D"/>
              </w:rPr>
            </w:pPr>
            <w:r>
              <w:rPr>
                <w:rFonts w:ascii="標楷體" w:hAnsi="標楷體" w:cs="標楷體" w:eastAsia="標楷體"/>
                <w:color w:val="0D0D0D"/>
              </w:rPr>
              <w:t xml:space="preserve">   </w:t>
            </w:r>
            <w:hyperlink r:id="rId6">
              <w:r>
                <w:rPr>
                  <w:rStyle w:val="InternetLink"/>
                  <w:rFonts w:eastAsia="標楷體" w:cs="Arial" w:ascii="標楷體" w:hAnsi="標楷體"/>
                  <w:color w:val="0D0D0D"/>
                </w:rPr>
                <w:t>Respir Care.  2012; 57(12):2026-31</w:t>
              </w:r>
            </w:hyperlink>
          </w:p>
          <w:p>
            <w:pPr>
              <w:pStyle w:val="Normal"/>
              <w:spacing w:before="240" w:after="0"/>
              <w:ind w:left="360" w:hanging="0"/>
              <w:rPr>
                <w:rFonts w:ascii="標楷體" w:hAnsi="標楷體" w:eastAsia="標楷體" w:cs="Arial"/>
                <w:color w:val="0D0D0D"/>
              </w:rPr>
            </w:pPr>
            <w:r>
              <w:rPr>
                <w:rFonts w:eastAsia="標楷體" w:cs="Arial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sectPr>
      <w:footerReference w:type="default" r:id="rId7"/>
      <w:footerReference w:type="first" r:id="rId8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altName w:val="Calibri"/>
    <w:charset w:val="00"/>
    <w:family w:val="swiss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0970"/>
              <wp:effectExtent l="0" t="0" r="0" b="0"/>
              <wp:wrapSquare wrapText="largest"/>
              <wp:docPr id="8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1pt;mso-wrap-distance-left:0pt;mso-wrap-distance-right:0pt;mso-wrap-distance-top:0pt;mso-wrap-distance-bottom:0pt;margin-top:0.05pt;mso-position-vertical-relative:text;margin-left:347.5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rFonts w:ascii="Times New Roman" w:hAnsi="Times New Roman" w:eastAsia="標楷體" w:cs="Times New Roman"/>
        <w:color w:val="000000"/>
      </w:rPr>
    </w:lvl>
  </w:abstractNum>
  <w:abstractNum w:abstractNumId="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Arial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</w:abstractNum>
  <w:abstractNum w:abstractNumId="6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720"/>
      <w:outlineLvl w:val="1"/>
    </w:pPr>
    <w:rPr>
      <w:rFonts w:ascii="Calibri Light;Calibri" w:hAnsi="Calibri Light;Calibri" w:cs="Calibri Light;Calibri"/>
      <w:b/>
      <w:bCs/>
      <w:sz w:val="48"/>
      <w:szCs w:val="48"/>
      <w:lang w:val="zh-TW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720"/>
      <w:outlineLvl w:val="3"/>
    </w:pPr>
    <w:rPr>
      <w:rFonts w:ascii="Calibri Light;Calibri" w:hAnsi="Calibri Light;Calibri" w:cs="Calibri Light;Calibri"/>
      <w:sz w:val="36"/>
      <w:szCs w:val="36"/>
      <w:lang w:val="zh-TW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/>
    </w:rPr>
  </w:style>
  <w:style w:type="character" w:styleId="WW8Num6z0">
    <w:name w:val="WW8Num6z0"/>
    <w:qFormat/>
    <w:rPr/>
  </w:style>
  <w:style w:type="character" w:styleId="WW8Num8z0">
    <w:name w:val="WW8Num8z0"/>
    <w:qFormat/>
    <w:rPr>
      <w:rFonts w:ascii="Times New Roman" w:hAnsi="Times New Roman"/>
    </w:rPr>
  </w:style>
  <w:style w:type="character" w:styleId="WW8Num9z0">
    <w:name w:val="WW8Num9z0"/>
    <w:qFormat/>
    <w:rPr>
      <w:rFonts w:ascii="Times New Roman" w:hAnsi="Times New Roman" w:eastAsia="標楷體" w:cs="Times New Roman"/>
      <w:color w:val="000000"/>
      <w:sz w:val="24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cs="Arial"/>
    </w:rPr>
  </w:style>
  <w:style w:type="character" w:styleId="WW8Num12z0">
    <w:name w:val="WW8Num12z0"/>
    <w:qFormat/>
    <w:rPr>
      <w:rFonts w:ascii="Times New Roman" w:hAnsi="Times New Roman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8z0">
    <w:name w:val="WW8Num18z0"/>
    <w:qFormat/>
    <w:rPr>
      <w:rFonts w:ascii="Times New Roman" w:hAnsi="Times New Roman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標楷體" w:hAnsi="標楷體" w:eastAsia="標楷體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eastAsia="標楷體"/>
    </w:rPr>
  </w:style>
  <w:style w:type="character" w:styleId="WW8Num26z0">
    <w:name w:val="WW8Num26z0"/>
    <w:qFormat/>
    <w:rPr>
      <w:rFonts w:eastAsia="標楷體"/>
    </w:rPr>
  </w:style>
  <w:style w:type="character" w:styleId="WW8Num26z1">
    <w:name w:val="WW8Num26z1"/>
    <w:qFormat/>
    <w:rPr/>
  </w:style>
  <w:style w:type="character" w:styleId="WW8Num27z0">
    <w:name w:val="WW8Num27z0"/>
    <w:qFormat/>
    <w:rPr>
      <w:rFonts w:ascii="Times New Roman" w:hAnsi="Times New Roman"/>
    </w:rPr>
  </w:style>
  <w:style w:type="character" w:styleId="WW8Num27z1">
    <w:name w:val="WW8Num27z1"/>
    <w:qFormat/>
    <w:rPr>
      <w:rFonts w:ascii="Wingdings" w:hAnsi="Wingdings" w:eastAsia="標楷體" w:cs="Times New Roman"/>
    </w:rPr>
  </w:style>
  <w:style w:type="character" w:styleId="WW8Num27z2">
    <w:name w:val="WW8Num27z2"/>
    <w:qFormat/>
    <w:rPr/>
  </w:style>
  <w:style w:type="character" w:styleId="WW8Num28z0">
    <w:name w:val="WW8Num28z0"/>
    <w:qFormat/>
    <w:rPr>
      <w:rFonts w:ascii="標楷體" w:hAnsi="標楷體" w:cs="標楷體"/>
      <w:b/>
    </w:rPr>
  </w:style>
  <w:style w:type="character" w:styleId="WW8Num28z1">
    <w:name w:val="WW8Num28z1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Style11">
    <w:name w:val="預設段落字型"/>
    <w:qFormat/>
    <w:rPr/>
  </w:style>
  <w:style w:type="character" w:styleId="PageNumber">
    <w:name w:val="Page Number"/>
    <w:basedOn w:val="Style11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2">
    <w:name w:val="註解參照"/>
    <w:qFormat/>
    <w:rPr>
      <w:sz w:val="18"/>
      <w:szCs w:val="18"/>
    </w:rPr>
  </w:style>
  <w:style w:type="character" w:styleId="Title">
    <w:name w:val="title"/>
    <w:qFormat/>
    <w:rPr/>
  </w:style>
  <w:style w:type="character" w:styleId="Infolabel">
    <w:name w:val="info_label"/>
    <w:qFormat/>
    <w:rPr/>
  </w:style>
  <w:style w:type="character" w:styleId="Infovalue">
    <w:name w:val="info_value"/>
    <w:qFormat/>
    <w:rPr/>
  </w:style>
  <w:style w:type="character" w:styleId="Style13">
    <w:name w:val="頁首 字元"/>
    <w:qFormat/>
    <w:rPr>
      <w:kern w:val="2"/>
    </w:rPr>
  </w:style>
  <w:style w:type="character" w:styleId="2">
    <w:name w:val="標題 2 字元"/>
    <w:qFormat/>
    <w:rPr>
      <w:rFonts w:ascii="Calibri Light;Calibri" w:hAnsi="Calibri Light;Calibri" w:eastAsia="新細明體;PMingLiU" w:cs="Times New Roman"/>
      <w:b/>
      <w:bCs/>
      <w:kern w:val="2"/>
      <w:sz w:val="48"/>
      <w:szCs w:val="48"/>
    </w:rPr>
  </w:style>
  <w:style w:type="character" w:styleId="4">
    <w:name w:val="標題 4 字元"/>
    <w:qFormat/>
    <w:rPr>
      <w:rFonts w:ascii="Calibri Light;Calibri" w:hAnsi="Calibri Light;Calibri" w:eastAsia="新細明體;PMingLiU" w:cs="Times New Roman"/>
      <w:kern w:val="2"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  <w:lang w:val="zh-TW"/>
    </w:rPr>
  </w:style>
  <w:style w:type="paragraph" w:styleId="Style14">
    <w:name w:val="註解文字"/>
    <w:basedOn w:val="Normal"/>
    <w:qFormat/>
    <w:pPr/>
    <w:rPr/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Style15">
    <w:name w:val="清單段落"/>
    <w:basedOn w:val="Normal"/>
    <w:qFormat/>
    <w:pPr>
      <w:ind w:left="480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https://www.medscape.com/viewpublication/8621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417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2018-12-19T00:12:00Z</dcterms:created>
  <dc:creator>Huang</dc:creator>
  <dc:description/>
  <dc:language>zh-TW</dc:language>
  <cp:lastModifiedBy>User</cp:lastModifiedBy>
  <dcterms:modified xsi:type="dcterms:W3CDTF">2018-12-19T07:15:00Z</dcterms:modified>
  <cp:revision>11</cp:revision>
  <dc:subject/>
  <dc:title>執 行 項 目</dc:title>
</cp:coreProperties>
</file>