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eastAsia="Times New Roman"/>
          <w:sz w:val="32"/>
        </w:rPr>
        <w:t xml:space="preserve">   </w:t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3">
                <wp:simplePos x="0" y="0"/>
                <wp:positionH relativeFrom="column">
                  <wp:posOffset>0</wp:posOffset>
                </wp:positionH>
                <wp:positionV relativeFrom="paragraph">
                  <wp:posOffset>-495300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="200"/>
                              <w:rPr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-39pt;mso-position-vertical-relative:text;margin-left: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ind w:firstLine="200"/>
                        <w:rPr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column">
                  <wp:posOffset>338455</wp:posOffset>
                </wp:positionH>
                <wp:positionV relativeFrom="paragraph">
                  <wp:posOffset>-499745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rFonts w:ascii="標楷體" w:hAnsi="標楷體"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="2080"/>
                              <w:rPr>
                                <w:rFonts w:ascii="標楷體" w:hAnsi="標楷體" w:eastAsia="標楷體" w:cs="標楷體"/>
                                <w:sz w:val="52"/>
                              </w:rPr>
                            </w:pPr>
                            <w:r>
                              <w:rPr>
                                <w:rFonts w:ascii="標楷體" w:hAnsi="標楷體" w:cs="標楷體" w:eastAsia="標楷體"/>
                                <w:sz w:val="52"/>
                              </w:rPr>
                              <w:t>氣道氣囊壓力監測標準作業規範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-39.3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rPr>
                          <w:rFonts w:ascii="標楷體" w:hAnsi="標楷體" w:eastAsia="標楷體"/>
                          <w:sz w:val="52"/>
                        </w:rPr>
                      </w:pPr>
                      <w:r>
                        <w:rPr>
                          <w:rFonts w:eastAsia="標楷體" w:ascii="標楷體" w:hAnsi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ind w:firstLine="2080"/>
                        <w:rPr>
                          <w:rFonts w:ascii="標楷體" w:hAnsi="標楷體" w:eastAsia="標楷體" w:cs="標楷體"/>
                          <w:sz w:val="52"/>
                        </w:rPr>
                      </w:pPr>
                      <w:r>
                        <w:rPr>
                          <w:rFonts w:ascii="標楷體" w:hAnsi="標楷體" w:cs="標楷體" w:eastAsia="標楷體"/>
                          <w:sz w:val="52"/>
                        </w:rPr>
                        <w:t>氣道氣囊壓力監測標準作業規範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column">
                  <wp:posOffset>3886200</wp:posOffset>
                </wp:positionH>
                <wp:positionV relativeFrom="paragraph">
                  <wp:posOffset>-787400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A012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91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中華民國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107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6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-62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A012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91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中華民國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107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</w:t>
                      </w:r>
                      <w:r>
                        <w:rPr>
                          <w:rFonts w:eastAsia="標楷體"/>
                          <w:sz w:val="32"/>
                        </w:rPr>
                        <w:t>7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17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6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column">
                  <wp:posOffset>2514600</wp:posOffset>
                </wp:positionH>
                <wp:positionV relativeFrom="paragraph">
                  <wp:posOffset>-228600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18pt;mso-position-vertical-relative:text;margin-left:198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7">
                <wp:simplePos x="0" y="0"/>
                <wp:positionH relativeFrom="column">
                  <wp:posOffset>-104775</wp:posOffset>
                </wp:positionH>
                <wp:positionV relativeFrom="paragraph">
                  <wp:posOffset>71755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lineRule="exact" w:line="480"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lineRule="exact" w:line="480"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5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lineRule="exact" w:line="480"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lineRule="exact" w:line="480"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49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779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3779"/>
        <w:rPr>
          <w:rFonts w:eastAsia="標楷體"/>
          <w:sz w:val="32"/>
          <w:u w:val="single"/>
        </w:rPr>
      </w:pPr>
      <w:r>
        <w:rPr>
          <w:rFonts w:cs="標楷體" w:eastAsia="標楷體"/>
          <w:sz w:val="32"/>
          <w:u w:val="single"/>
        </w:rPr>
        <w:t>氣道氣囊壓力監測標準作業規範</w:t>
      </w:r>
      <w:r>
        <w:rPr>
          <w:rFonts w:eastAsia="標楷體"/>
          <w:sz w:val="32"/>
          <w:u w:val="single"/>
        </w:rPr>
        <w:t>(</w:t>
      </w:r>
      <w:r>
        <w:rPr>
          <w:rFonts w:cs="標楷體" w:eastAsia="標楷體"/>
          <w:sz w:val="32"/>
          <w:u w:val="single"/>
        </w:rPr>
        <w:t>一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cs="標楷體" w:eastAsia="標楷體"/>
        </w:rPr>
        <w:t>編</w:t>
      </w:r>
      <w:r>
        <w:rPr>
          <w:rFonts w:eastAsia="Times New Roman"/>
        </w:rPr>
        <w:t xml:space="preserve">  </w:t>
      </w:r>
      <w:r>
        <w:rPr>
          <w:rFonts w:cs="標楷體" w:eastAsia="標楷體"/>
        </w:rPr>
        <w:t>號：</w:t>
      </w:r>
      <w:r>
        <w:rPr>
          <w:rFonts w:eastAsia="標楷體"/>
        </w:rPr>
        <w:t>AUNW00/AUPW00-A012</w:t>
      </w:r>
    </w:p>
    <w:p>
      <w:pPr>
        <w:pStyle w:val="Normal"/>
        <w:spacing w:lineRule="exact" w:line="320" w:before="0" w:after="120"/>
        <w:jc w:val="both"/>
        <w:rPr/>
      </w:pPr>
      <w:r>
        <w:rPr>
          <w:rFonts w:cs="標楷體" w:eastAsia="標楷體"/>
          <w:sz w:val="28"/>
        </w:rPr>
        <w:t>總頁數：</w:t>
      </w:r>
      <w:r>
        <w:rPr>
          <w:rFonts w:eastAsia="標楷體"/>
          <w:sz w:val="28"/>
        </w:rPr>
        <w:t xml:space="preserve">5                                                        </w:t>
      </w:r>
      <w:r>
        <w:rPr>
          <w:rFonts w:eastAsia="標楷體"/>
          <w:sz w:val="28"/>
        </w:rPr>
        <w:t xml:space="preserve"> </w:t>
      </w:r>
      <w:r>
        <w:rPr>
          <w:rFonts w:eastAsia="標楷體"/>
          <w:sz w:val="28"/>
        </w:rPr>
        <w:t xml:space="preserve">     </w:t>
      </w:r>
      <w:r>
        <w:rPr>
          <w:rFonts w:cs="標楷體" w:eastAsia="標楷體"/>
          <w:sz w:val="28"/>
        </w:rPr>
        <w:t>頁</w:t>
      </w:r>
      <w:r>
        <w:rPr>
          <w:rFonts w:eastAsia="標楷體"/>
          <w:sz w:val="28"/>
        </w:rPr>
        <w:t xml:space="preserve">  </w:t>
      </w:r>
      <w:r>
        <w:rPr>
          <w:rFonts w:cs="標楷體" w:eastAsia="標楷體"/>
          <w:sz w:val="28"/>
        </w:rPr>
        <w:t>數：</w:t>
      </w:r>
      <w:r>
        <w:rPr>
          <w:rFonts w:eastAsia="標楷體"/>
          <w:sz w:val="28"/>
        </w:rPr>
        <w:t>5-1</w:t>
      </w:r>
      <w:r>
        <w:rPr/>
        <w:t xml:space="preserve">            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722"/>
        <w:gridCol w:w="4506"/>
        <w:gridCol w:w="2865"/>
        <w:gridCol w:w="3735"/>
      </w:tblGrid>
      <w:tr>
        <w:trPr/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目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的</w:t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適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用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範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圍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及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執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行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人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員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  <w:sz w:val="28"/>
              </w:rPr>
              <w:t>使</w:t>
            </w:r>
            <w:r>
              <w:rPr>
                <w:rFonts w:eastAsia="Times New Roman"/>
                <w:sz w:val="28"/>
              </w:rPr>
              <w:t xml:space="preserve">    </w:t>
            </w:r>
            <w:r>
              <w:rPr>
                <w:rFonts w:cs="標楷體" w:eastAsia="標楷體"/>
                <w:sz w:val="28"/>
              </w:rPr>
              <w:t>用</w:t>
            </w:r>
            <w:r>
              <w:rPr>
                <w:rFonts w:eastAsia="Times New Roman"/>
                <w:sz w:val="28"/>
              </w:rPr>
              <w:t xml:space="preserve">    </w:t>
            </w:r>
            <w:r>
              <w:rPr>
                <w:rFonts w:cs="標楷體" w:eastAsia="標楷體"/>
                <w:sz w:val="28"/>
              </w:rPr>
              <w:t>器</w:t>
            </w:r>
            <w:r>
              <w:rPr>
                <w:rFonts w:eastAsia="Times New Roman"/>
                <w:sz w:val="28"/>
              </w:rPr>
              <w:t xml:space="preserve">    </w:t>
            </w:r>
            <w:r>
              <w:rPr>
                <w:rFonts w:cs="標楷體" w:eastAsia="標楷體"/>
                <w:sz w:val="28"/>
              </w:rPr>
              <w:t>材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、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工</w:t>
            </w:r>
            <w:r>
              <w:rPr>
                <w:rFonts w:eastAsia="Times New Roman"/>
                <w:sz w:val="28"/>
              </w:rPr>
              <w:t xml:space="preserve">  </w:t>
            </w:r>
            <w:r>
              <w:rPr>
                <w:rFonts w:cs="標楷體" w:eastAsia="標楷體"/>
                <w:sz w:val="28"/>
              </w:rPr>
              <w:t>具</w:t>
            </w:r>
            <w:r>
              <w:rPr>
                <w:rFonts w:eastAsia="Times New Roman"/>
                <w:sz w:val="28"/>
              </w:rPr>
              <w:t xml:space="preserve"> </w:t>
            </w:r>
          </w:p>
        </w:tc>
      </w:tr>
      <w:tr>
        <w:trPr>
          <w:trHeight w:val="5325" w:hRule="atLeast"/>
        </w:trPr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ind w:left="480" w:hanging="480"/>
              <w:jc w:val="both"/>
              <w:rPr/>
            </w:pPr>
            <w:r>
              <w:rPr>
                <w:rFonts w:cs="標楷體" w:eastAsia="標楷體"/>
              </w:rPr>
              <w:t>壹、</w:t>
            </w:r>
            <w:r>
              <w:rPr>
                <w:rFonts w:cs="標楷體" w:eastAsia="標楷體"/>
              </w:rPr>
              <w:t>保持氣囊壓力小於氣道黏膜微血管的灌流壓</w:t>
            </w:r>
            <w:r>
              <w:rPr>
                <w:rFonts w:eastAsia="標楷體"/>
              </w:rPr>
              <w:t>15~22mmHg</w:t>
            </w:r>
            <w:r>
              <w:rPr>
                <w:rFonts w:cs="標楷體" w:eastAsia="標楷體"/>
              </w:rPr>
              <w:t>或</w:t>
            </w:r>
            <w:r>
              <w:rPr>
                <w:rFonts w:eastAsia="標楷體"/>
              </w:rPr>
              <w:t>20</w:t>
            </w:r>
            <w:r>
              <w:rPr>
                <w:rFonts w:eastAsia="標楷體"/>
              </w:rPr>
              <w:t>~30cmH</w:t>
            </w:r>
            <w:r>
              <w:rPr>
                <w:rFonts w:eastAsia="標楷體"/>
                <w:vertAlign w:val="subscript"/>
              </w:rPr>
              <w:t>2</w:t>
            </w:r>
            <w:r>
              <w:rPr>
                <w:rFonts w:eastAsia="標楷體"/>
              </w:rPr>
              <w:t>O</w:t>
            </w:r>
          </w:p>
          <w:p>
            <w:pPr>
              <w:pStyle w:val="Normal"/>
              <w:ind w:left="482" w:right="142" w:hanging="0"/>
              <w:rPr>
                <w:rFonts w:eastAsia="標楷體"/>
              </w:rPr>
            </w:pPr>
            <w:r>
              <w:rPr>
                <w:rFonts w:cs="標楷體" w:eastAsia="標楷體"/>
              </w:rPr>
              <w:t>，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cs="標楷體" w:eastAsia="標楷體"/>
              </w:rPr>
              <w:t>避免氣囊壓力過大造成氣道黏膜損傷。</w:t>
            </w:r>
          </w:p>
          <w:p>
            <w:pPr>
              <w:pStyle w:val="Normal"/>
              <w:spacing w:lineRule="auto" w:line="276"/>
              <w:ind w:right="142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uto" w:line="276"/>
              <w:ind w:left="480" w:hanging="480"/>
              <w:jc w:val="both"/>
              <w:rPr>
                <w:rFonts w:eastAsia="標楷體"/>
              </w:rPr>
            </w:pPr>
            <w:r>
              <w:rPr>
                <w:rFonts w:cs="標楷體" w:eastAsia="標楷體"/>
              </w:rPr>
              <w:t>貳、氣管內管或氣切管的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cs="標楷體" w:eastAsia="標楷體"/>
              </w:rPr>
              <w:t>氣囊可密封氣道預防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cs="標楷體" w:eastAsia="標楷體"/>
              </w:rPr>
              <w:t>與降低吸入性肺炎。</w:t>
            </w:r>
          </w:p>
          <w:p>
            <w:pPr>
              <w:pStyle w:val="Normal"/>
              <w:spacing w:lineRule="auto" w:line="276"/>
              <w:ind w:right="142" w:hanging="0"/>
              <w:jc w:val="both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uto" w:line="276"/>
              <w:ind w:left="480" w:hanging="480"/>
              <w:jc w:val="both"/>
              <w:rPr>
                <w:rFonts w:eastAsia="標楷體"/>
              </w:rPr>
            </w:pPr>
            <w:r>
              <w:rPr>
                <w:rFonts w:cs="標楷體" w:eastAsia="標楷體"/>
              </w:rPr>
              <w:t>叁、病患在使用呼吸器之</w:t>
            </w:r>
            <w:r>
              <w:rPr>
                <w:rFonts w:eastAsia="Times New Roman"/>
              </w:rPr>
              <w:t xml:space="preserve">    </w:t>
            </w:r>
            <w:r>
              <w:rPr>
                <w:rFonts w:cs="標楷體" w:eastAsia="標楷體"/>
              </w:rPr>
              <w:t>下可預防漏氣。</w:t>
            </w:r>
          </w:p>
          <w:p>
            <w:pPr>
              <w:pStyle w:val="Normal"/>
              <w:tabs>
                <w:tab w:val="clear" w:pos="480"/>
                <w:tab w:val="left" w:pos="180" w:leader="none"/>
              </w:tabs>
              <w:rPr>
                <w:rFonts w:eastAsia="標楷體"/>
              </w:rPr>
            </w:pPr>
            <w:r>
              <w:rPr>
                <w:rFonts w:eastAsia="標楷體"/>
              </w:rPr>
              <w:tab/>
            </w:r>
          </w:p>
        </w:tc>
        <w:tc>
          <w:tcPr>
            <w:tcW w:w="4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spacing w:lineRule="atLeast" w:line="240"/>
              <w:ind w:left="482" w:hanging="482"/>
              <w:rPr>
                <w:rFonts w:eastAsia="標楷體"/>
                <w:bCs/>
              </w:rPr>
            </w:pPr>
            <w:r>
              <w:rPr>
                <w:rFonts w:cs="標楷體" w:eastAsia="標楷體"/>
                <w:bCs/>
              </w:rPr>
              <w:t>適用範圍</w:t>
            </w:r>
          </w:p>
          <w:p>
            <w:pPr>
              <w:pStyle w:val="Normal"/>
              <w:spacing w:lineRule="atLeast" w:line="240"/>
              <w:ind w:left="482" w:hanging="0"/>
              <w:rPr>
                <w:rFonts w:eastAsia="標楷體" w:cs="標楷體"/>
                <w:bCs/>
              </w:rPr>
            </w:pPr>
            <w:r>
              <w:rPr>
                <w:rFonts w:cs="標楷體" w:eastAsia="標楷體"/>
                <w:bCs/>
              </w:rPr>
              <w:t>有人工氣道且有氣囊者。</w:t>
            </w:r>
          </w:p>
          <w:p>
            <w:pPr>
              <w:pStyle w:val="Normal"/>
              <w:spacing w:lineRule="atLeast" w:line="240"/>
              <w:ind w:left="482" w:hanging="0"/>
              <w:rPr>
                <w:rFonts w:eastAsia="標楷體" w:cs="標楷體"/>
                <w:bCs/>
              </w:rPr>
            </w:pPr>
            <w:r>
              <w:rPr>
                <w:rFonts w:eastAsia="標楷體" w:cs="標楷體"/>
                <w:bCs/>
              </w:rPr>
            </w:r>
          </w:p>
          <w:p>
            <w:pPr>
              <w:pStyle w:val="Normal"/>
              <w:numPr>
                <w:ilvl w:val="0"/>
                <w:numId w:val="5"/>
              </w:numPr>
              <w:spacing w:lineRule="atLeast" w:line="240"/>
              <w:ind w:left="482" w:hanging="482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適用執行人員</w:t>
            </w:r>
          </w:p>
          <w:p>
            <w:pPr>
              <w:pStyle w:val="Normal"/>
              <w:spacing w:lineRule="atLeast" w:line="240"/>
              <w:ind w:left="482" w:hanging="0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  <w:t>呼吸治療師</w:t>
            </w:r>
          </w:p>
          <w:p>
            <w:pPr>
              <w:pStyle w:val="Normal"/>
              <w:spacing w:lineRule="exact" w:line="320"/>
              <w:rPr>
                <w:rFonts w:eastAsia="標楷體"/>
                <w:bCs/>
              </w:rPr>
            </w:pPr>
            <w:r>
              <w:rPr>
                <w:rFonts w:eastAsia="標楷體"/>
                <w:bCs/>
              </w:rPr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spacing w:lineRule="atLeast" w:line="240"/>
              <w:ind w:left="482" w:hanging="482"/>
              <w:rPr>
                <w:rFonts w:eastAsia="標楷體"/>
              </w:rPr>
            </w:pPr>
            <w:r>
              <w:rPr>
                <w:rFonts w:cs="標楷體" w:eastAsia="標楷體"/>
              </w:rPr>
              <w:t>聽診器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tLeast" w:line="240"/>
              <w:ind w:left="482" w:hanging="482"/>
              <w:rPr>
                <w:rFonts w:eastAsia="標楷體"/>
              </w:rPr>
            </w:pPr>
            <w:r>
              <w:rPr>
                <w:rFonts w:cs="標楷體" w:eastAsia="標楷體"/>
                <w:color w:val="0D0D0D"/>
              </w:rPr>
              <w:t>無液壓力測量計</w:t>
            </w:r>
            <w:r>
              <w:rPr>
                <w:rFonts w:eastAsia="標楷體"/>
                <w:color w:val="0D0D0D"/>
              </w:rPr>
              <w:t>(Aneroid pressure manometer)</w:t>
            </w:r>
            <w:r>
              <w:rPr>
                <w:rFonts w:eastAsia="標楷體"/>
              </w:rPr>
              <w:t xml:space="preserve"> 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tLeast" w:line="240"/>
              <w:ind w:left="482" w:hanging="482"/>
              <w:rPr>
                <w:rFonts w:eastAsia="標楷體"/>
              </w:rPr>
            </w:pPr>
            <w:r>
              <w:rPr>
                <w:rFonts w:cs="標楷體" w:eastAsia="標楷體"/>
              </w:rPr>
              <w:t>空針</w:t>
            </w:r>
          </w:p>
          <w:p>
            <w:pPr>
              <w:pStyle w:val="Normal"/>
              <w:numPr>
                <w:ilvl w:val="0"/>
                <w:numId w:val="7"/>
              </w:numPr>
              <w:spacing w:lineRule="atLeast" w:line="240"/>
              <w:ind w:left="482" w:hanging="482"/>
              <w:rPr>
                <w:rFonts w:eastAsia="標楷體"/>
              </w:rPr>
            </w:pPr>
            <w:r>
              <w:rPr>
                <w:rFonts w:eastAsia="標楷體"/>
              </w:rPr>
              <w:t>Three way stopcock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  <w:lang w:val="zh-TW" w:eastAsia="zh-TW"/>
              </w:rPr>
            </w:pPr>
            <w:r>
              <w:rPr>
                <w:rFonts w:eastAsia="標楷體"/>
                <w:lang w:val="zh-TW" w:eastAsia="zh-TW"/>
              </w:rPr>
              <w:drawing>
                <wp:anchor behindDoc="1" distT="0" distB="0" distL="114935" distR="114935" simplePos="0" locked="0" layoutInCell="1" allowOverlap="1" relativeHeight="12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-1899920</wp:posOffset>
                  </wp:positionV>
                  <wp:extent cx="3028950" cy="2066925"/>
                  <wp:effectExtent l="0" t="0" r="0" b="0"/>
                  <wp:wrapNone/>
                  <wp:docPr id="6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9" r="-9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722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cs="標楷體" w:eastAsia="標楷體"/>
              </w:rPr>
              <w:t>公佈日期：</w:t>
            </w:r>
            <w:r>
              <w:rPr>
                <w:rFonts w:eastAsia="標楷體"/>
              </w:rPr>
              <w:t>91</w:t>
            </w:r>
            <w:r>
              <w:rPr>
                <w:rFonts w:cs="標楷體"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cs="標楷體" w:eastAsia="標楷體"/>
              </w:rPr>
              <w:t>月</w:t>
            </w:r>
          </w:p>
        </w:tc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修訂日期：</w:t>
            </w:r>
            <w:r>
              <w:rPr>
                <w:rFonts w:eastAsia="標楷體"/>
              </w:rPr>
              <w:t>107</w:t>
            </w:r>
            <w:r>
              <w:rPr>
                <w:rFonts w:cs="標楷體"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cs="標楷體" w:eastAsia="標楷體"/>
              </w:rPr>
              <w:t>月第</w:t>
            </w:r>
            <w:r>
              <w:rPr>
                <w:rFonts w:eastAsia="標楷體"/>
              </w:rPr>
              <w:t>6</w:t>
            </w:r>
            <w:r>
              <w:rPr>
                <w:rFonts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3779"/>
        <w:rPr>
          <w:rFonts w:eastAsia="標楷體"/>
          <w:sz w:val="32"/>
          <w:u w:val="single"/>
        </w:rPr>
      </w:pPr>
      <w:r>
        <w:rPr>
          <w:rFonts w:cs="標楷體" w:eastAsia="標楷體"/>
          <w:sz w:val="32"/>
          <w:u w:val="single"/>
        </w:rPr>
        <w:t>氣道氣囊壓力監測標準作業規範</w:t>
      </w:r>
      <w:r>
        <w:rPr>
          <w:rFonts w:eastAsia="標楷體"/>
          <w:sz w:val="32"/>
          <w:u w:val="single"/>
        </w:rPr>
        <w:t>(</w:t>
      </w:r>
      <w:r>
        <w:rPr>
          <w:rFonts w:cs="標楷體"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720"/>
        <w:rPr/>
      </w:pPr>
      <w:r>
        <w:rPr>
          <w:rFonts w:cs="標楷體" w:eastAsia="標楷體"/>
        </w:rPr>
        <w:t>編</w:t>
      </w:r>
      <w:r>
        <w:rPr>
          <w:rFonts w:eastAsia="Times New Roman"/>
        </w:rPr>
        <w:t xml:space="preserve">  </w:t>
      </w:r>
      <w:r>
        <w:rPr>
          <w:rFonts w:cs="標楷體" w:eastAsia="標楷體"/>
        </w:rPr>
        <w:t>號：</w:t>
      </w:r>
      <w:r>
        <w:rPr>
          <w:rFonts w:eastAsia="標楷體"/>
        </w:rPr>
        <w:t>AUNW00/AUPW00-A012</w:t>
      </w:r>
    </w:p>
    <w:p>
      <w:pPr>
        <w:pStyle w:val="Normal"/>
        <w:spacing w:lineRule="exact" w:line="320" w:before="0" w:after="120"/>
        <w:jc w:val="both"/>
        <w:rPr>
          <w:rFonts w:eastAsia="標楷體"/>
          <w:sz w:val="28"/>
        </w:rPr>
      </w:pPr>
      <w:r>
        <w:rPr>
          <w:rFonts w:cs="標楷體" w:eastAsia="標楷體"/>
          <w:sz w:val="28"/>
        </w:rPr>
        <w:t>總頁數：</w:t>
      </w:r>
      <w:r>
        <w:rPr>
          <w:rFonts w:eastAsia="標楷體"/>
          <w:sz w:val="28"/>
        </w:rPr>
        <w:t xml:space="preserve">5                                                              </w:t>
      </w:r>
      <w:r>
        <w:rPr>
          <w:rFonts w:cs="標楷體" w:eastAsia="標楷體"/>
          <w:sz w:val="28"/>
        </w:rPr>
        <w:t>頁</w:t>
      </w:r>
      <w:r>
        <w:rPr>
          <w:rFonts w:eastAsia="標楷體"/>
          <w:sz w:val="28"/>
        </w:rPr>
        <w:t xml:space="preserve">  </w:t>
      </w:r>
      <w:r>
        <w:rPr>
          <w:rFonts w:cs="標楷體" w:eastAsia="標楷體"/>
          <w:sz w:val="28"/>
        </w:rPr>
        <w:t>數：</w:t>
      </w:r>
      <w:r>
        <w:rPr>
          <w:rFonts w:eastAsia="標楷體"/>
          <w:sz w:val="28"/>
        </w:rPr>
        <w:t>5-2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6521"/>
        <w:gridCol w:w="3030"/>
        <w:gridCol w:w="3774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項次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或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注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意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事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壹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貳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76"/>
              <w:rPr>
                <w:rFonts w:eastAsia="標楷體"/>
              </w:rPr>
            </w:pPr>
            <w:r>
              <w:rPr>
                <w:rFonts w:cs="標楷體" w:eastAsia="標楷體"/>
              </w:rPr>
              <w:t>執行前：</w:t>
            </w:r>
          </w:p>
          <w:p>
            <w:pPr>
              <w:pStyle w:val="Normal"/>
              <w:spacing w:lineRule="auto" w:line="276"/>
              <w:rPr>
                <w:rFonts w:eastAsia="標楷體"/>
              </w:rPr>
            </w:pPr>
            <w:r>
              <w:rPr>
                <w:rFonts w:cs="標楷體" w:eastAsia="標楷體"/>
              </w:rPr>
              <w:t>一、</w:t>
            </w:r>
            <w:r>
              <w:rPr>
                <w:rFonts w:cs="標楷體" w:eastAsia="標楷體"/>
              </w:rPr>
              <w:t>辨識</w:t>
            </w:r>
            <w:r>
              <w:rPr>
                <w:rFonts w:cs="標楷體" w:eastAsia="標楷體"/>
              </w:rPr>
              <w:t>病人</w:t>
            </w:r>
          </w:p>
          <w:p>
            <w:pPr>
              <w:pStyle w:val="Normal"/>
              <w:spacing w:lineRule="auto" w:line="276"/>
              <w:rPr>
                <w:rFonts w:eastAsia="標楷體"/>
              </w:rPr>
            </w:pPr>
            <w:r>
              <w:rPr>
                <w:rFonts w:cs="標楷體" w:eastAsia="標楷體"/>
              </w:rPr>
              <w:t>二、自我介紹及說明檢查目的和過程</w:t>
            </w:r>
          </w:p>
          <w:p>
            <w:pPr>
              <w:pStyle w:val="Normal"/>
              <w:spacing w:lineRule="auto" w:line="276"/>
              <w:rPr>
                <w:rFonts w:eastAsia="標楷體"/>
              </w:rPr>
            </w:pPr>
            <w:r>
              <w:rPr>
                <w:rFonts w:cs="標楷體" w:eastAsia="標楷體"/>
              </w:rPr>
              <w:t>三、洗手</w:t>
            </w:r>
          </w:p>
          <w:p>
            <w:pPr>
              <w:pStyle w:val="Normal"/>
              <w:spacing w:lineRule="auto" w:line="276"/>
              <w:rPr>
                <w:rFonts w:eastAsia="標楷體"/>
              </w:rPr>
            </w:pPr>
            <w:r>
              <w:rPr>
                <w:rFonts w:cs="標楷體" w:eastAsia="標楷體"/>
              </w:rPr>
              <w:t>四、執行過程保持清潔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測量目標：</w:t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cs="標楷體" w:eastAsia="標楷體"/>
              </w:rPr>
              <w:t>一、氣囊壓力維持在可接受範圍：</w:t>
            </w:r>
            <w:r>
              <w:rPr>
                <w:rFonts w:eastAsia="標楷體"/>
              </w:rPr>
              <w:t>20~30cmH</w:t>
            </w:r>
            <w:r>
              <w:rPr>
                <w:rFonts w:eastAsia="標楷體"/>
                <w:vertAlign w:val="subscript"/>
              </w:rPr>
              <w:t>2</w:t>
            </w:r>
            <w:r>
              <w:rPr>
                <w:rFonts w:eastAsia="標楷體"/>
              </w:rPr>
              <w:t>O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cs="標楷體" w:eastAsia="標楷體"/>
              </w:rPr>
              <w:t>二、測量頻率</w:t>
            </w:r>
            <w:r>
              <w:rPr>
                <w:rFonts w:eastAsia="標楷體"/>
              </w:rPr>
              <w:t>:</w:t>
            </w:r>
            <w:r>
              <w:rPr>
                <w:rFonts w:cs="標楷體" w:eastAsia="標楷體"/>
              </w:rPr>
              <w:t>白班或必要時，調整氣囊壓力在可接受的</w:t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cs="標楷體" w:eastAsia="標楷體"/>
              </w:rPr>
              <w:t>範圍內。</w:t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napToGrid w:val="false"/>
              <w:spacing w:lineRule="auto" w:line="276"/>
              <w:ind w:left="720" w:hanging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tLeast" w:line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atLeast" w:line="0"/>
              <w:rPr>
                <w:rFonts w:eastAsia="標楷體"/>
              </w:rPr>
            </w:pPr>
            <w:r>
              <w:rPr>
                <w:rFonts w:eastAsia="標楷體"/>
              </w:rPr>
              <w:drawing>
                <wp:inline distT="0" distB="0" distL="0" distR="0">
                  <wp:extent cx="2989580" cy="2980690"/>
                  <wp:effectExtent l="0" t="0" r="0" b="0"/>
                  <wp:docPr id="7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8" t="-8" r="-8" b="-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9580" cy="298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exact" w:line="3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cs="標楷體" w:eastAsia="標楷體"/>
              </w:rPr>
              <w:t>公佈日期：</w:t>
            </w:r>
            <w:r>
              <w:rPr>
                <w:rFonts w:eastAsia="標楷體"/>
              </w:rPr>
              <w:t>91</w:t>
            </w:r>
            <w:r>
              <w:rPr>
                <w:rFonts w:cs="標楷體"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cs="標楷體" w:eastAsia="標楷體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修訂日期：</w:t>
            </w:r>
            <w:r>
              <w:rPr>
                <w:rFonts w:eastAsia="標楷體"/>
              </w:rPr>
              <w:t>107</w:t>
            </w:r>
            <w:r>
              <w:rPr>
                <w:rFonts w:cs="標楷體"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cs="標楷體" w:eastAsia="標楷體"/>
              </w:rPr>
              <w:t>月第</w:t>
            </w:r>
            <w:r>
              <w:rPr>
                <w:rFonts w:eastAsia="標楷體"/>
              </w:rPr>
              <w:t>6</w:t>
            </w:r>
            <w:r>
              <w:rPr>
                <w:rFonts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320"/>
        <w:rPr>
          <w:rFonts w:eastAsia="標楷體"/>
          <w:sz w:val="32"/>
          <w:u w:val="single"/>
        </w:rPr>
      </w:pPr>
      <w:r>
        <w:rPr>
          <w:rFonts w:cs="標楷體" w:eastAsia="標楷體"/>
          <w:sz w:val="32"/>
          <w:u w:val="single"/>
        </w:rPr>
        <w:t>氣道氣囊壓力監測標準作業規範</w:t>
      </w:r>
      <w:r>
        <w:rPr>
          <w:rFonts w:eastAsia="標楷體"/>
          <w:sz w:val="32"/>
          <w:u w:val="single"/>
        </w:rPr>
        <w:t>(</w:t>
      </w:r>
      <w:r>
        <w:rPr>
          <w:rFonts w:cs="標楷體" w:eastAsia="標楷體"/>
          <w:sz w:val="32"/>
          <w:u w:val="single"/>
        </w:rPr>
        <w:t>二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840"/>
        <w:rPr/>
      </w:pPr>
      <w:r>
        <w:rPr>
          <w:rFonts w:cs="標楷體" w:eastAsia="標楷體"/>
        </w:rPr>
        <w:t>編</w:t>
      </w:r>
      <w:r>
        <w:rPr>
          <w:rFonts w:eastAsia="Times New Roman"/>
        </w:rPr>
        <w:t xml:space="preserve">  </w:t>
      </w:r>
      <w:r>
        <w:rPr>
          <w:rFonts w:cs="標楷體" w:eastAsia="標楷體"/>
        </w:rPr>
        <w:t>號：</w:t>
      </w:r>
      <w:r>
        <w:rPr>
          <w:rFonts w:eastAsia="標楷體"/>
        </w:rPr>
        <w:t>AUNW00/AUPW00-A012</w:t>
      </w:r>
    </w:p>
    <w:p>
      <w:pPr>
        <w:pStyle w:val="Normal"/>
        <w:spacing w:lineRule="exact" w:line="320" w:before="0" w:after="120"/>
        <w:jc w:val="both"/>
        <w:rPr>
          <w:rFonts w:eastAsia="標楷體"/>
          <w:sz w:val="28"/>
        </w:rPr>
      </w:pPr>
      <w:r>
        <w:rPr>
          <w:rFonts w:cs="標楷體" w:eastAsia="標楷體"/>
          <w:sz w:val="28"/>
        </w:rPr>
        <w:t>總頁數：</w:t>
      </w:r>
      <w:r>
        <w:rPr>
          <w:rFonts w:eastAsia="標楷體"/>
          <w:sz w:val="28"/>
        </w:rPr>
        <w:t xml:space="preserve">5                                                           </w:t>
      </w:r>
      <w:r>
        <w:rPr>
          <w:rFonts w:eastAsia="標楷體"/>
          <w:sz w:val="28"/>
        </w:rPr>
        <w:t xml:space="preserve">  </w:t>
      </w:r>
      <w:r>
        <w:rPr>
          <w:rFonts w:eastAsia="標楷體"/>
          <w:sz w:val="28"/>
        </w:rPr>
        <w:t xml:space="preserve">  </w:t>
      </w:r>
      <w:r>
        <w:rPr>
          <w:rFonts w:cs="標楷體" w:eastAsia="標楷體"/>
          <w:sz w:val="28"/>
        </w:rPr>
        <w:t>頁</w:t>
      </w:r>
      <w:r>
        <w:rPr>
          <w:rFonts w:eastAsia="標楷體"/>
          <w:sz w:val="28"/>
        </w:rPr>
        <w:t xml:space="preserve">  </w:t>
      </w:r>
      <w:r>
        <w:rPr>
          <w:rFonts w:cs="標楷體" w:eastAsia="標楷體"/>
          <w:sz w:val="28"/>
        </w:rPr>
        <w:t>數：</w:t>
      </w:r>
      <w:r>
        <w:rPr>
          <w:rFonts w:eastAsia="標楷體"/>
          <w:sz w:val="28"/>
        </w:rPr>
        <w:t>5-3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37"/>
        <w:gridCol w:w="6521"/>
        <w:gridCol w:w="3030"/>
        <w:gridCol w:w="3774"/>
      </w:tblGrid>
      <w:tr>
        <w:trPr/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項次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ind w:firstLine="980"/>
              <w:rPr>
                <w:rFonts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操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說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明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或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作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業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流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程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注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意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事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項</w:t>
            </w:r>
          </w:p>
        </w:tc>
      </w:tr>
      <w:tr>
        <w:trPr>
          <w:trHeight w:val="5325" w:hRule="atLeast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參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肆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執行中：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測量方式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一、將</w:t>
            </w:r>
            <w:r>
              <w:rPr>
                <w:rFonts w:eastAsia="標楷體"/>
              </w:rPr>
              <w:t>Cuff pressure meter</w:t>
            </w:r>
            <w:r>
              <w:rPr>
                <w:rFonts w:cs="標楷體" w:eastAsia="標楷體"/>
              </w:rPr>
              <w:t>接於測風球上的單向閥。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二、將氣囊壓力調整在可接受範圍：</w:t>
            </w:r>
            <w:r>
              <w:rPr>
                <w:rFonts w:eastAsia="標楷體"/>
              </w:rPr>
              <w:t>20~30cmH</w:t>
            </w:r>
            <w:r>
              <w:rPr>
                <w:rFonts w:eastAsia="標楷體"/>
                <w:vertAlign w:val="subscript"/>
              </w:rPr>
              <w:t>2</w:t>
            </w:r>
            <w:r>
              <w:rPr>
                <w:rFonts w:eastAsia="標楷體"/>
              </w:rPr>
              <w:t>O</w:t>
            </w:r>
            <w:r>
              <w:rPr>
                <w:rFonts w:cs="標楷體" w:eastAsia="標楷體"/>
              </w:rPr>
              <w:t>。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標楷體"/>
              </w:rPr>
              <w:br/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執行後：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結束測量並記錄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一、將所測得的數值記錄在電子記錄表上</w:t>
            </w:r>
          </w:p>
          <w:p>
            <w:pPr>
              <w:pStyle w:val="Normal"/>
              <w:rPr>
                <w:rFonts w:eastAsia="標楷體"/>
              </w:rPr>
            </w:pPr>
            <w:r>
              <w:rPr>
                <w:rFonts w:cs="標楷體" w:eastAsia="標楷體"/>
              </w:rPr>
              <w:t>二、歸回用物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三、洗手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spacing w:lineRule="atLeast" w:line="240"/>
              <w:ind w:left="482" w:hanging="482"/>
              <w:rPr>
                <w:rFonts w:eastAsia="標楷體"/>
              </w:rPr>
            </w:pPr>
            <w:r>
              <w:rPr>
                <w:rFonts w:cs="標楷體" w:eastAsia="標楷體"/>
              </w:rPr>
              <w:t>為避免吸入性危險，已不建議使用最小閉合容</w:t>
            </w:r>
            <w:r>
              <w:rPr>
                <w:rFonts w:cs="標楷體" w:eastAsia="標楷體"/>
              </w:rPr>
              <w:t>積</w:t>
            </w:r>
            <w:r>
              <w:rPr>
                <w:rFonts w:eastAsia="標楷體"/>
              </w:rPr>
              <w:t>minimal occluding volume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MOV</w:t>
            </w:r>
            <w:r>
              <w:rPr>
                <w:rFonts w:cs="標楷體" w:eastAsia="標楷體"/>
              </w:rPr>
              <w:t>）和最小漏氣測試（</w:t>
            </w:r>
            <w:r>
              <w:rPr>
                <w:rFonts w:eastAsia="標楷體"/>
              </w:rPr>
              <w:t>minimal leak test</w:t>
            </w:r>
            <w:r>
              <w:rPr>
                <w:rFonts w:eastAsia="標楷體"/>
              </w:rPr>
              <w:t>，</w:t>
            </w:r>
            <w:r>
              <w:rPr>
                <w:rFonts w:eastAsia="標楷體"/>
              </w:rPr>
              <w:t>MLT</w:t>
            </w:r>
            <w:r>
              <w:rPr>
                <w:rFonts w:cs="標楷體" w:eastAsia="標楷體"/>
              </w:rPr>
              <w:t>）執行常規氣囊壓力測量。</w:t>
            </w:r>
          </w:p>
          <w:p>
            <w:pPr>
              <w:pStyle w:val="Normal"/>
              <w:spacing w:lineRule="atLeast" w:line="240"/>
              <w:ind w:left="482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rPr>
                <w:rFonts w:eastAsia="標楷體"/>
                <w:sz w:val="28"/>
                <w:szCs w:val="28"/>
                <w:vertAlign w:val="superscript"/>
              </w:rPr>
            </w:pPr>
            <w:r>
              <w:rPr>
                <w:rFonts w:cs="標楷體" w:eastAsia="標楷體"/>
              </w:rPr>
              <w:t>＊最小閉合容積測試方式</w:t>
            </w:r>
            <w:r>
              <w:rPr>
                <w:rFonts w:eastAsia="標楷體"/>
              </w:rPr>
              <w:t>(MOV)</w:t>
            </w:r>
            <w:r>
              <w:rPr>
                <w:rFonts w:cs="標楷體" w:eastAsia="標楷體"/>
              </w:rPr>
              <w:t>：</w:t>
            </w:r>
          </w:p>
          <w:p>
            <w:pPr>
              <w:pStyle w:val="Normal"/>
              <w:spacing w:lineRule="exact" w:line="340"/>
              <w:ind w:left="396" w:hanging="2"/>
              <w:rPr>
                <w:rFonts w:eastAsia="標楷體" w:cs="標楷體"/>
              </w:rPr>
            </w:pPr>
            <w:r>
              <w:rPr>
                <w:rFonts w:cs="標楷體" w:eastAsia="標楷體"/>
              </w:rPr>
              <w:t>將聽診器放於接近氣管處（頸部），緩慢的打入空氣或蒸餾水進入氣囊內，直到沒有聽到漏氣聲。</w:t>
            </w:r>
          </w:p>
          <w:p>
            <w:pPr>
              <w:pStyle w:val="Normal"/>
              <w:spacing w:lineRule="exact" w:line="340"/>
              <w:ind w:left="255" w:hanging="17"/>
              <w:rPr>
                <w:rFonts w:eastAsia="標楷體" w:cs="標楷體"/>
                <w:sz w:val="28"/>
                <w:szCs w:val="28"/>
                <w:vertAlign w:val="superscript"/>
              </w:rPr>
            </w:pPr>
            <w:r>
              <w:rPr>
                <w:rFonts w:eastAsia="標楷體" w:cs="標楷體"/>
                <w:sz w:val="28"/>
                <w:szCs w:val="28"/>
                <w:vertAlign w:val="superscript"/>
              </w:rPr>
            </w:r>
          </w:p>
          <w:p>
            <w:pPr>
              <w:pStyle w:val="Normal"/>
              <w:spacing w:lineRule="exact" w:line="340"/>
              <w:rPr>
                <w:rFonts w:eastAsia="標楷體"/>
              </w:rPr>
            </w:pPr>
            <w:r>
              <w:rPr>
                <w:rFonts w:cs="標楷體" w:eastAsia="標楷體"/>
              </w:rPr>
              <w:t>＊最小漏氣測試方式</w:t>
            </w:r>
            <w:r>
              <w:rPr>
                <w:rFonts w:eastAsia="標楷體"/>
              </w:rPr>
              <w:t>(MLT)</w:t>
            </w:r>
            <w:r>
              <w:rPr>
                <w:rFonts w:cs="標楷體" w:eastAsia="標楷體"/>
              </w:rPr>
              <w:t>：</w:t>
            </w:r>
          </w:p>
          <w:p>
            <w:pPr>
              <w:pStyle w:val="Normal"/>
              <w:spacing w:lineRule="exact" w:line="340"/>
              <w:ind w:left="397" w:hanging="282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eastAsia="標楷體"/>
              </w:rPr>
              <w:t xml:space="preserve"> </w:t>
            </w:r>
            <w:r>
              <w:rPr>
                <w:rFonts w:cs="標楷體" w:eastAsia="標楷體"/>
              </w:rPr>
              <w:t>將聽診器放於接近氣管處（頸部），緩慢的打入空氣或蒸餾水進入氣囊內，直到沒有聽到漏氣聲。</w:t>
            </w:r>
          </w:p>
          <w:p>
            <w:pPr>
              <w:pStyle w:val="Normal"/>
              <w:spacing w:lineRule="exact" w:line="320"/>
              <w:ind w:left="397" w:hanging="567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2.</w:t>
            </w:r>
            <w:r>
              <w:rPr>
                <w:rFonts w:eastAsia="標楷體"/>
              </w:rPr>
              <w:t xml:space="preserve"> </w:t>
            </w:r>
            <w:r>
              <w:rPr>
                <w:rFonts w:cs="標楷體" w:eastAsia="標楷體"/>
              </w:rPr>
              <w:t>慢慢抽掉空氣或蒸餾水，直到吸氣期（</w:t>
            </w:r>
            <w:r>
              <w:rPr>
                <w:rFonts w:eastAsia="標楷體"/>
              </w:rPr>
              <w:t>PIP</w:t>
            </w:r>
            <w:r>
              <w:rPr>
                <w:rFonts w:cs="標楷體" w:eastAsia="標楷體"/>
              </w:rPr>
              <w:t>）可聽到少量的漏氣聲。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1.</w:t>
            </w:r>
            <w:r>
              <w:rPr>
                <w:rFonts w:cs="標楷體" w:eastAsia="標楷體"/>
              </w:rPr>
              <w:t>使用的用具可用酒精紗布擦拭消毒。</w:t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cs="標楷體" w:eastAsia="標楷體"/>
              </w:rPr>
              <w:t>公佈日期：</w:t>
            </w:r>
            <w:r>
              <w:rPr>
                <w:rFonts w:eastAsia="標楷體"/>
              </w:rPr>
              <w:t>91</w:t>
            </w:r>
            <w:r>
              <w:rPr>
                <w:rFonts w:cs="標楷體"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cs="標楷體" w:eastAsia="標楷體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修訂日期：</w:t>
            </w:r>
            <w:r>
              <w:rPr>
                <w:rFonts w:eastAsia="標楷體"/>
              </w:rPr>
              <w:t>107</w:t>
            </w:r>
            <w:r>
              <w:rPr>
                <w:rFonts w:cs="標楷體"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cs="標楷體" w:eastAsia="標楷體"/>
              </w:rPr>
              <w:t>月第</w:t>
            </w:r>
            <w:r>
              <w:rPr>
                <w:rFonts w:eastAsia="標楷體"/>
              </w:rPr>
              <w:t>6</w:t>
            </w:r>
            <w:r>
              <w:rPr>
                <w:rFonts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320"/>
        <w:rPr>
          <w:rFonts w:eastAsia="標楷體"/>
          <w:sz w:val="32"/>
          <w:u w:val="single"/>
        </w:rPr>
      </w:pPr>
      <w:r>
        <w:rPr>
          <w:rFonts w:cs="標楷體" w:eastAsia="標楷體"/>
          <w:sz w:val="32"/>
          <w:u w:val="single"/>
        </w:rPr>
        <w:t>氣道氣囊壓力監測標準作業規範</w:t>
      </w:r>
      <w:r>
        <w:rPr>
          <w:rFonts w:eastAsia="標楷體"/>
          <w:sz w:val="32"/>
          <w:u w:val="single"/>
        </w:rPr>
        <w:t>(</w:t>
      </w:r>
      <w:r>
        <w:rPr>
          <w:rFonts w:cs="標楷體" w:eastAsia="標楷體"/>
          <w:sz w:val="32"/>
          <w:u w:val="single"/>
        </w:rPr>
        <w:t>三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840"/>
        <w:rPr/>
      </w:pPr>
      <w:r>
        <w:rPr>
          <w:rFonts w:cs="標楷體" w:eastAsia="標楷體"/>
        </w:rPr>
        <w:t>編</w:t>
      </w:r>
      <w:r>
        <w:rPr>
          <w:rFonts w:eastAsia="Times New Roman"/>
        </w:rPr>
        <w:t xml:space="preserve">  </w:t>
      </w:r>
      <w:r>
        <w:rPr>
          <w:rFonts w:cs="標楷體" w:eastAsia="標楷體"/>
        </w:rPr>
        <w:t>號：</w:t>
      </w:r>
      <w:r>
        <w:rPr>
          <w:rFonts w:eastAsia="標楷體"/>
        </w:rPr>
        <w:t>AUNW00/AUPW00-A012</w:t>
      </w:r>
    </w:p>
    <w:p>
      <w:pPr>
        <w:pStyle w:val="Normal"/>
        <w:spacing w:lineRule="exact" w:line="320" w:before="0" w:after="120"/>
        <w:jc w:val="both"/>
        <w:rPr>
          <w:rFonts w:eastAsia="標楷體"/>
          <w:sz w:val="28"/>
        </w:rPr>
      </w:pPr>
      <w:r>
        <w:rPr>
          <w:rFonts w:cs="標楷體" w:eastAsia="標楷體"/>
          <w:sz w:val="28"/>
        </w:rPr>
        <w:t>總頁數：</w:t>
      </w:r>
      <w:r>
        <w:rPr>
          <w:rFonts w:eastAsia="標楷體"/>
          <w:sz w:val="28"/>
        </w:rPr>
        <w:t xml:space="preserve">5                                                           </w:t>
      </w:r>
      <w:r>
        <w:rPr>
          <w:rFonts w:eastAsia="標楷體"/>
          <w:sz w:val="28"/>
        </w:rPr>
        <w:t xml:space="preserve">  </w:t>
      </w:r>
      <w:r>
        <w:rPr>
          <w:rFonts w:eastAsia="標楷體"/>
          <w:sz w:val="28"/>
        </w:rPr>
        <w:t xml:space="preserve">  </w:t>
      </w:r>
      <w:r>
        <w:rPr>
          <w:rFonts w:cs="標楷體" w:eastAsia="標楷體"/>
          <w:sz w:val="28"/>
        </w:rPr>
        <w:t>頁</w:t>
      </w:r>
      <w:r>
        <w:rPr>
          <w:rFonts w:eastAsia="標楷體"/>
          <w:sz w:val="28"/>
        </w:rPr>
        <w:t xml:space="preserve">  </w:t>
      </w:r>
      <w:r>
        <w:rPr>
          <w:rFonts w:cs="標楷體" w:eastAsia="標楷體"/>
          <w:sz w:val="28"/>
        </w:rPr>
        <w:t>數：</w:t>
      </w:r>
      <w:r>
        <w:rPr>
          <w:rFonts w:eastAsia="標楷體"/>
          <w:sz w:val="28"/>
        </w:rPr>
        <w:t>5-4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871"/>
        <w:gridCol w:w="5387"/>
        <w:gridCol w:w="3030"/>
        <w:gridCol w:w="3774"/>
      </w:tblGrid>
      <w:tr>
        <w:trPr/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異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常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狀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況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發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生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原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因</w:t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</w:rPr>
            </w:pPr>
            <w:r>
              <w:rPr>
                <w:rFonts w:cs="標楷體" w:eastAsia="標楷體"/>
                <w:sz w:val="28"/>
              </w:rPr>
              <w:t>處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理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對</w:t>
            </w:r>
            <w:r>
              <w:rPr>
                <w:rFonts w:cs="Times New Roman" w:eastAsia="Times New Roman"/>
                <w:sz w:val="28"/>
              </w:rPr>
              <w:t xml:space="preserve"> </w:t>
            </w:r>
            <w:r>
              <w:rPr>
                <w:rFonts w:cs="標楷體" w:eastAsia="標楷體"/>
                <w:sz w:val="28"/>
              </w:rPr>
              <w:t>策</w:t>
            </w:r>
          </w:p>
        </w:tc>
      </w:tr>
      <w:tr>
        <w:trPr>
          <w:trHeight w:val="5325" w:hRule="atLeast"/>
        </w:trPr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pacing w:lineRule="atLeast" w:line="240"/>
              <w:ind w:left="482" w:hanging="482"/>
              <w:rPr>
                <w:rFonts w:eastAsia="標楷體"/>
              </w:rPr>
            </w:pPr>
            <w:r>
              <w:rPr>
                <w:rFonts w:cs="標楷體" w:eastAsia="標楷體"/>
              </w:rPr>
              <w:t>指針脫落或</w:t>
            </w:r>
          </w:p>
          <w:p>
            <w:pPr>
              <w:pStyle w:val="Normal"/>
              <w:spacing w:lineRule="exact" w:line="320"/>
              <w:ind w:left="703" w:hanging="425"/>
              <w:rPr>
                <w:rFonts w:eastAsia="標楷體"/>
              </w:rPr>
            </w:pPr>
            <w:r>
              <w:rPr>
                <w:rFonts w:eastAsia="Times New Roman"/>
              </w:rPr>
              <w:t xml:space="preserve">  </w:t>
            </w:r>
            <w:r>
              <w:rPr>
                <w:rFonts w:cs="標楷體" w:eastAsia="標楷體"/>
              </w:rPr>
              <w:t>無法歸零</w:t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numPr>
                <w:ilvl w:val="0"/>
                <w:numId w:val="4"/>
              </w:numPr>
              <w:spacing w:lineRule="atLeast" w:line="240"/>
              <w:ind w:left="482" w:hanging="482"/>
              <w:rPr>
                <w:rFonts w:eastAsia="標楷體"/>
              </w:rPr>
            </w:pPr>
            <w:r>
              <w:rPr>
                <w:rFonts w:cs="標楷體" w:eastAsia="標楷體"/>
              </w:rPr>
              <w:t>氣囊漏氣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（</w:t>
            </w:r>
            <w:r>
              <w:rPr>
                <w:rFonts w:cs="標楷體" w:eastAsia="標楷體"/>
              </w:rPr>
              <w:t>一</w:t>
            </w:r>
            <w:r>
              <w:rPr>
                <w:rFonts w:cs="標楷體" w:eastAsia="標楷體"/>
              </w:rPr>
              <w:t>）可能人為摔落。</w:t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cs="標楷體" w:eastAsia="標楷體"/>
              </w:rPr>
              <w:t>（</w:t>
            </w:r>
            <w:r>
              <w:rPr>
                <w:rFonts w:cs="標楷體" w:eastAsia="標楷體"/>
              </w:rPr>
              <w:t>一</w:t>
            </w:r>
            <w:r>
              <w:rPr>
                <w:rFonts w:cs="標楷體" w:eastAsia="標楷體"/>
              </w:rPr>
              <w:t>）氣囊壓力不足。</w:t>
            </w:r>
          </w:p>
          <w:p>
            <w:pPr>
              <w:pStyle w:val="Normal"/>
              <w:spacing w:lineRule="exact" w:line="320"/>
              <w:ind w:left="679" w:hanging="679"/>
              <w:rPr>
                <w:rFonts w:eastAsia="標楷體"/>
              </w:rPr>
            </w:pPr>
            <w:r>
              <w:rPr>
                <w:rFonts w:cs="標楷體" w:eastAsia="標楷體"/>
              </w:rPr>
              <w:t>（</w:t>
            </w:r>
            <w:r>
              <w:rPr>
                <w:rFonts w:cs="標楷體" w:eastAsia="標楷體"/>
              </w:rPr>
              <w:t>二</w:t>
            </w:r>
            <w:r>
              <w:rPr>
                <w:rFonts w:cs="標楷體" w:eastAsia="標楷體"/>
              </w:rPr>
              <w:t>）氣體充氣管（</w:t>
            </w:r>
            <w:r>
              <w:rPr>
                <w:rFonts w:eastAsia="標楷體"/>
              </w:rPr>
              <w:t>air inflation line</w:t>
            </w:r>
            <w:r>
              <w:rPr>
                <w:rFonts w:cs="標楷體" w:eastAsia="標楷體"/>
              </w:rPr>
              <w:t>）破損、氣囊尺寸不足。</w:t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cs="標楷體" w:eastAsia="標楷體"/>
              </w:rPr>
              <w:t>（</w:t>
            </w:r>
            <w:r>
              <w:rPr>
                <w:rFonts w:cs="標楷體" w:eastAsia="標楷體"/>
              </w:rPr>
              <w:t>三</w:t>
            </w:r>
            <w:r>
              <w:rPr>
                <w:rFonts w:cs="標楷體" w:eastAsia="標楷體"/>
              </w:rPr>
              <w:t>）測風球</w:t>
            </w:r>
            <w:r>
              <w:rPr>
                <w:rFonts w:eastAsia="標楷體"/>
              </w:rPr>
              <w:t>(Pilot balloon)</w:t>
            </w:r>
            <w:r>
              <w:rPr>
                <w:rFonts w:cs="標楷體" w:eastAsia="標楷體"/>
              </w:rPr>
              <w:t>內的單向閥瓣有瑕疵損壞。</w:t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cs="標楷體" w:eastAsia="標楷體"/>
              </w:rPr>
              <w:t>（</w:t>
            </w:r>
            <w:r>
              <w:rPr>
                <w:rFonts w:cs="標楷體" w:eastAsia="標楷體"/>
              </w:rPr>
              <w:t>四</w:t>
            </w:r>
            <w:r>
              <w:rPr>
                <w:rFonts w:cs="標楷體" w:eastAsia="標楷體"/>
              </w:rPr>
              <w:t>）位置不洽當或有氣管軟化症等。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8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9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儀器課請修，重新調整歸零。</w:t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ind w:left="480" w:hanging="48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重新打氣。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建議醫師必要時予以更換人工氣道。</w:t>
            </w:r>
          </w:p>
          <w:p>
            <w:pPr>
              <w:pStyle w:val="Normal"/>
              <w:spacing w:lineRule="exact" w:line="320"/>
              <w:ind w:left="2" w:hanging="2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Pilot valve</w:t>
            </w:r>
            <w:r>
              <w:rPr>
                <w:rFonts w:cs="標楷體" w:eastAsia="標楷體"/>
              </w:rPr>
              <w:t>或</w:t>
            </w:r>
            <w:r>
              <w:rPr>
                <w:rFonts w:eastAsia="標楷體"/>
              </w:rPr>
              <w:t xml:space="preserve">Pilot tube </w:t>
            </w:r>
            <w:r>
              <w:rPr>
                <w:rFonts w:cs="標楷體" w:eastAsia="標楷體"/>
              </w:rPr>
              <w:t>功能不良：在</w:t>
            </w:r>
            <w:r>
              <w:rPr>
                <w:rFonts w:eastAsia="標楷體"/>
              </w:rPr>
              <w:t xml:space="preserve">pilot tube </w:t>
            </w:r>
            <w:r>
              <w:rPr>
                <w:rFonts w:cs="標楷體" w:eastAsia="標楷體"/>
              </w:rPr>
              <w:t>的末端放</w:t>
            </w:r>
            <w:r>
              <w:rPr>
                <w:rFonts w:eastAsia="標楷體"/>
              </w:rPr>
              <w:t>3way</w:t>
            </w:r>
            <w:r>
              <w:rPr>
                <w:rFonts w:cs="標楷體" w:eastAsia="標楷體"/>
              </w:rPr>
              <w:t>活塞，接上空針、單向閥瓣及壓力錶，讓氣囊重新充氣，測完壓力後並將</w:t>
            </w:r>
            <w:r>
              <w:rPr>
                <w:rFonts w:eastAsia="標楷體"/>
              </w:rPr>
              <w:t>3way</w:t>
            </w:r>
            <w:r>
              <w:rPr>
                <w:rFonts w:cs="標楷體" w:eastAsia="標楷體"/>
              </w:rPr>
              <w:t>上鎖。</w:t>
            </w:r>
            <w:r>
              <w:rPr>
                <w:rFonts w:eastAsia="標楷體"/>
              </w:rPr>
              <w:t>(</w:t>
            </w:r>
            <w:r>
              <w:rPr>
                <w:rFonts w:cs="標楷體" w:eastAsia="標楷體"/>
              </w:rPr>
              <w:t>壓力錶使用前須</w:t>
            </w:r>
            <w:r>
              <w:rPr>
                <w:rFonts w:cs="標楷體" w:eastAsia="標楷體"/>
                <w:color w:val="000000"/>
              </w:rPr>
              <w:t>確認儀器設備功能正常</w:t>
            </w:r>
            <w:r>
              <w:rPr>
                <w:rFonts w:eastAsia="標楷體"/>
              </w:rPr>
              <w:t>)</w:t>
            </w:r>
          </w:p>
          <w:p>
            <w:pPr>
              <w:pStyle w:val="Subtitle"/>
              <w:rPr>
                <w:rFonts w:ascii="Times New Roman" w:hAnsi="Times New Roman" w:eastAsia="標楷體" w:cs="Times New Roman"/>
                <w:lang w:val="en-US" w:eastAsia="zh-TW"/>
              </w:rPr>
            </w:pPr>
            <w:r>
              <w:rPr>
                <w:rFonts w:ascii="Times New Roman" w:hAnsi="Times New Roman" w:cs="Times New Roman" w:eastAsia="標楷體"/>
                <w:lang w:val="en-US" w:eastAsia="zh-TW"/>
              </w:rPr>
              <w:drawing>
                <wp:inline distT="0" distB="0" distL="0" distR="0">
                  <wp:extent cx="2571750" cy="1684020"/>
                  <wp:effectExtent l="0" t="0" r="0" b="0"/>
                  <wp:docPr id="8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9" t="-9" r="-9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1684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調整位置或更換人工氣道種類，如為結構性問題無法改善，可建議會診胸腔外科或耳鼻喉科進一步處理。</w:t>
            </w:r>
          </w:p>
        </w:tc>
      </w:tr>
      <w:tr>
        <w:trPr/>
        <w:tc>
          <w:tcPr>
            <w:tcW w:w="7258" w:type="dxa"/>
            <w:gridSpan w:val="2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cs="標楷體" w:eastAsia="標楷體"/>
              </w:rPr>
              <w:t>公佈日期：</w:t>
            </w:r>
            <w:r>
              <w:rPr>
                <w:rFonts w:eastAsia="標楷體"/>
              </w:rPr>
              <w:t>91</w:t>
            </w:r>
            <w:r>
              <w:rPr>
                <w:rFonts w:cs="標楷體"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cs="標楷體" w:eastAsia="標楷體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修訂日期：</w:t>
            </w:r>
            <w:r>
              <w:rPr>
                <w:rFonts w:eastAsia="標楷體"/>
              </w:rPr>
              <w:t>107</w:t>
            </w:r>
            <w:r>
              <w:rPr>
                <w:rFonts w:cs="標楷體"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cs="標楷體" w:eastAsia="標楷體"/>
              </w:rPr>
              <w:t>月第</w:t>
            </w:r>
            <w:r>
              <w:rPr>
                <w:rFonts w:eastAsia="標楷體"/>
              </w:rPr>
              <w:t>6</w:t>
            </w:r>
            <w:r>
              <w:rPr>
                <w:rFonts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ind w:firstLine="4320"/>
        <w:rPr>
          <w:rFonts w:eastAsia="標楷體"/>
          <w:sz w:val="32"/>
          <w:u w:val="single"/>
        </w:rPr>
      </w:pPr>
      <w:r>
        <w:rPr>
          <w:rFonts w:cs="標楷體" w:eastAsia="標楷體"/>
          <w:sz w:val="32"/>
          <w:u w:val="single"/>
        </w:rPr>
        <w:t>氣道氣囊壓力監測標準作業規範</w:t>
      </w:r>
      <w:r>
        <w:rPr>
          <w:rFonts w:eastAsia="標楷體"/>
          <w:sz w:val="32"/>
          <w:u w:val="single"/>
        </w:rPr>
        <w:t>(</w:t>
      </w:r>
      <w:r>
        <w:rPr>
          <w:rFonts w:cs="標楷體" w:eastAsia="標楷體"/>
          <w:sz w:val="32"/>
          <w:u w:val="single"/>
        </w:rPr>
        <w:t>四</w:t>
      </w:r>
      <w:r>
        <w:rPr>
          <w:rFonts w:eastAsia="標楷體"/>
          <w:sz w:val="32"/>
          <w:u w:val="single"/>
        </w:rPr>
        <w:t>)</w:t>
      </w:r>
    </w:p>
    <w:p>
      <w:pPr>
        <w:pStyle w:val="Normal"/>
        <w:spacing w:lineRule="exact" w:line="320" w:before="0" w:after="120"/>
        <w:ind w:firstLine="9840"/>
        <w:rPr/>
      </w:pPr>
      <w:r>
        <w:rPr>
          <w:rFonts w:cs="標楷體" w:eastAsia="標楷體"/>
        </w:rPr>
        <w:t>編</w:t>
      </w:r>
      <w:r>
        <w:rPr>
          <w:rFonts w:eastAsia="Times New Roman"/>
        </w:rPr>
        <w:t xml:space="preserve">  </w:t>
      </w:r>
      <w:r>
        <w:rPr>
          <w:rFonts w:cs="標楷體" w:eastAsia="標楷體"/>
        </w:rPr>
        <w:t>號：</w:t>
      </w:r>
      <w:r>
        <w:rPr>
          <w:rFonts w:eastAsia="標楷體"/>
        </w:rPr>
        <w:t>AUNW00/AUPW00-A012</w:t>
      </w:r>
    </w:p>
    <w:p>
      <w:pPr>
        <w:pStyle w:val="Normal"/>
        <w:spacing w:lineRule="exact" w:line="320" w:before="0" w:after="120"/>
        <w:jc w:val="both"/>
        <w:rPr>
          <w:rFonts w:eastAsia="標楷體"/>
          <w:sz w:val="28"/>
        </w:rPr>
      </w:pPr>
      <w:r>
        <w:rPr>
          <w:rFonts w:cs="標楷體" w:eastAsia="標楷體"/>
          <w:sz w:val="28"/>
        </w:rPr>
        <w:t>總頁數：</w:t>
      </w:r>
      <w:r>
        <w:rPr>
          <w:rFonts w:eastAsia="標楷體"/>
          <w:sz w:val="28"/>
        </w:rPr>
        <w:t xml:space="preserve">5                                                      </w:t>
      </w:r>
      <w:r>
        <w:rPr>
          <w:rFonts w:eastAsia="標楷體"/>
          <w:sz w:val="28"/>
        </w:rPr>
        <w:t xml:space="preserve">  </w:t>
      </w:r>
      <w:r>
        <w:rPr>
          <w:rFonts w:eastAsia="標楷體"/>
          <w:sz w:val="28"/>
        </w:rPr>
        <w:t xml:space="preserve">       </w:t>
      </w:r>
      <w:r>
        <w:rPr>
          <w:rFonts w:cs="標楷體" w:eastAsia="標楷體"/>
          <w:sz w:val="28"/>
        </w:rPr>
        <w:t>頁</w:t>
      </w:r>
      <w:r>
        <w:rPr>
          <w:rFonts w:eastAsia="標楷體"/>
          <w:sz w:val="28"/>
        </w:rPr>
        <w:t xml:space="preserve">  </w:t>
      </w:r>
      <w:r>
        <w:rPr>
          <w:rFonts w:cs="標楷體" w:eastAsia="標楷體"/>
          <w:sz w:val="28"/>
        </w:rPr>
        <w:t>數：</w:t>
      </w:r>
      <w:r>
        <w:rPr>
          <w:rFonts w:eastAsia="標楷體"/>
          <w:sz w:val="28"/>
        </w:rPr>
        <w:t>5-5</w:t>
      </w:r>
    </w:p>
    <w:tbl>
      <w:tblPr>
        <w:tblW w:w="14062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825"/>
        <w:gridCol w:w="2463"/>
        <w:gridCol w:w="3774"/>
      </w:tblGrid>
      <w:tr>
        <w:trPr>
          <w:trHeight w:val="860" w:hRule="atLeast"/>
          <w:cantSplit w:val="true"/>
        </w:trPr>
        <w:tc>
          <w:tcPr>
            <w:tcW w:w="1406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cs="標楷體" w:eastAsia="標楷體"/>
              </w:rPr>
              <w:t>參考資料</w:t>
            </w:r>
          </w:p>
          <w:p>
            <w:pPr>
              <w:pStyle w:val="Normal"/>
              <w:numPr>
                <w:ilvl w:val="0"/>
                <w:numId w:val="6"/>
              </w:numPr>
              <w:spacing w:before="240" w:after="0"/>
              <w:rPr>
                <w:rFonts w:eastAsia="標楷體"/>
                <w:color w:val="333333"/>
              </w:rPr>
            </w:pPr>
            <w:r>
              <w:rPr>
                <w:rFonts w:eastAsia="標楷體"/>
                <w:color w:val="333333"/>
              </w:rPr>
              <w:t>Management of the Mechanically Ventilated Patient, 2nd Edition By Lynelle N.B. Pierce, RN, MS, CCRN ,2007</w:t>
            </w:r>
          </w:p>
          <w:p>
            <w:pPr>
              <w:pStyle w:val="Normal"/>
              <w:numPr>
                <w:ilvl w:val="0"/>
                <w:numId w:val="6"/>
              </w:numPr>
              <w:spacing w:before="240" w:after="0"/>
              <w:rPr>
                <w:rFonts w:eastAsia="標楷體"/>
              </w:rPr>
            </w:pPr>
            <w:r>
              <w:rPr>
                <w:rFonts w:eastAsia="標楷體"/>
                <w:color w:val="333333"/>
              </w:rPr>
              <w:t>Egan's Fundamentals of Respiratory Care, 11th Edition 2017</w:t>
            </w:r>
          </w:p>
          <w:p>
            <w:pPr>
              <w:pStyle w:val="Normal"/>
              <w:spacing w:before="240" w:after="0"/>
              <w:ind w:left="360" w:hanging="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ind w:left="720" w:hanging="720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  <w:p>
            <w:pPr>
              <w:pStyle w:val="EndNoteBibliography1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</w:tc>
      </w:tr>
      <w:tr>
        <w:trPr/>
        <w:tc>
          <w:tcPr>
            <w:tcW w:w="7825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  <w:lang w:val="en-US" w:eastAsia="zh-TW"/>
              </w:rPr>
            </w:pPr>
            <w:r>
              <w:rPr>
                <w:rFonts w:eastAsia="標楷體"/>
                <w:lang w:val="en-US" w:eastAsia="zh-TW"/>
              </w:rPr>
            </w:r>
          </w:p>
        </w:tc>
        <w:tc>
          <w:tcPr>
            <w:tcW w:w="2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>
                <w:rFonts w:eastAsia="標楷體"/>
              </w:rPr>
            </w:pPr>
            <w:r>
              <w:rPr>
                <w:rFonts w:cs="標楷體" w:eastAsia="標楷體"/>
              </w:rPr>
              <w:t>公佈日期：</w:t>
            </w:r>
            <w:r>
              <w:rPr>
                <w:rFonts w:eastAsia="標楷體"/>
              </w:rPr>
              <w:t>91</w:t>
            </w:r>
            <w:r>
              <w:rPr>
                <w:rFonts w:cs="標楷體" w:eastAsia="標楷體"/>
              </w:rPr>
              <w:t>年</w:t>
            </w:r>
            <w:r>
              <w:rPr>
                <w:rFonts w:eastAsia="標楷體"/>
              </w:rPr>
              <w:t>01</w:t>
            </w:r>
            <w:r>
              <w:rPr>
                <w:rFonts w:cs="標楷體" w:eastAsia="標楷體"/>
              </w:rPr>
              <w:t>月</w:t>
            </w:r>
          </w:p>
        </w:tc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cs="標楷體" w:eastAsia="標楷體"/>
              </w:rPr>
              <w:t>修訂日期：</w:t>
            </w:r>
            <w:r>
              <w:rPr>
                <w:rFonts w:eastAsia="標楷體"/>
              </w:rPr>
              <w:t>107</w:t>
            </w:r>
            <w:r>
              <w:rPr>
                <w:rFonts w:cs="標楷體" w:eastAsia="標楷體"/>
              </w:rPr>
              <w:t>年</w:t>
            </w:r>
            <w:r>
              <w:rPr>
                <w:rFonts w:eastAsia="標楷體"/>
              </w:rPr>
              <w:t>07</w:t>
            </w:r>
            <w:r>
              <w:rPr>
                <w:rFonts w:cs="標楷體" w:eastAsia="標楷體"/>
              </w:rPr>
              <w:t>月第</w:t>
            </w:r>
            <w:r>
              <w:rPr>
                <w:rFonts w:eastAsia="標楷體"/>
              </w:rPr>
              <w:t>6</w:t>
            </w:r>
            <w:r>
              <w:rPr>
                <w:rFonts w:cs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rPr/>
      </w:pPr>
      <w:r>
        <w:rPr/>
      </w:r>
    </w:p>
    <w:sectPr>
      <w:footerReference w:type="default" r:id="rId5"/>
      <w:footerReference w:type="first" r:id="rId6"/>
      <w:type w:val="nextPage"/>
      <w:pgSz w:orient="landscape" w:w="16838" w:h="11906"/>
      <w:pgMar w:left="1418" w:right="1418" w:gutter="0" w:header="0" w:top="1418" w:footer="992" w:bottom="1418"/>
      <w:pgNumType w:fmt="decimal"/>
      <w:formProt w:val="false"/>
      <w:titlePg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標楷體">
    <w:charset w:val="88"/>
    <w:family w:val="script"/>
    <w:pitch w:val="default"/>
  </w:font>
  <w:font w:name="Wingdings">
    <w:charset w:val="02"/>
    <w:family w:val="auto"/>
    <w:pitch w:val="variable"/>
  </w:font>
  <w:font w:name="Calibri Light">
    <w:altName w:val="Calibri"/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新細明體">
    <w:altName w:val="PMingLiU"/>
    <w:charset w:val="8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1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40970"/>
              <wp:effectExtent l="0" t="0" r="0" b="0"/>
              <wp:wrapSquare wrapText="largest"/>
              <wp:docPr id="9" name="Frame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9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1.1pt;mso-wrap-distance-left:0pt;mso-wrap-distance-right:0pt;mso-wrap-distance-top:0pt;mso-wrap-distance-bottom:0pt;margin-top:0.05pt;mso-position-vertical-relative:text;margin-left:347.5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9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</w:abstractNum>
  <w:abstractNum w:abstractNumId="3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5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rFonts w:ascii="Times New Roman" w:hAnsi="Times New Roman" w:eastAsia="標楷體" w:cs="Times New Roman"/>
        <w:color w:val="000000"/>
      </w:rPr>
    </w:lvl>
  </w:abstractNum>
  <w:abstractNum w:abstractNumId="7">
    <w:lvl w:ilvl="0">
      <w:start w:val="1"/>
      <w:numFmt w:val="ideographLegalTraditional"/>
      <w:lvlText w:val="%1、"/>
      <w:lvlJc w:val="left"/>
      <w:pPr>
        <w:tabs>
          <w:tab w:val="num" w:pos="0"/>
        </w:tabs>
        <w:ind w:left="480" w:hanging="480"/>
      </w:pPr>
      <w:rPr/>
    </w:lvl>
  </w:abstractNum>
  <w:abstractNum w:abstractNumId="8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  <w:rPr>
        <w:sz w:val="24"/>
        <w:rFonts w:ascii="Times New Roman" w:hAnsi="Times New Roman" w:eastAsia="標楷體" w:cs="Times New Roman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bCs/>
      <w:color w:val="006600"/>
      <w:sz w:val="20"/>
      <w:szCs w:val="20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Times New Roman" w:hAnsi="Times New Roman"/>
    </w:rPr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>
      <w:rFonts w:ascii="Times New Roman" w:hAnsi="Times New Roman"/>
    </w:rPr>
  </w:style>
  <w:style w:type="character" w:styleId="WW8Num11z0">
    <w:name w:val="WW8Num11z0"/>
    <w:qFormat/>
    <w:rPr/>
  </w:style>
  <w:style w:type="character" w:styleId="WW8Num12z0">
    <w:name w:val="WW8Num12z0"/>
    <w:qFormat/>
    <w:rPr>
      <w:rFonts w:eastAsia="標楷體"/>
    </w:rPr>
  </w:style>
  <w:style w:type="character" w:styleId="WW8Num12z1">
    <w:name w:val="WW8Num12z1"/>
    <w:qFormat/>
    <w:rPr/>
  </w:style>
  <w:style w:type="character" w:styleId="WW8Num15z0">
    <w:name w:val="WW8Num15z0"/>
    <w:qFormat/>
    <w:rPr>
      <w:rFonts w:ascii="Times New Roman" w:hAnsi="Times New Roman"/>
    </w:rPr>
  </w:style>
  <w:style w:type="character" w:styleId="WW8Num16z0">
    <w:name w:val="WW8Num16z0"/>
    <w:qFormat/>
    <w:rPr>
      <w:rFonts w:ascii="Times New Roman" w:hAnsi="Times New Roman" w:eastAsia="標楷體" w:cs="Times New Roman"/>
      <w:color w:val="000000"/>
      <w:sz w:val="24"/>
    </w:rPr>
  </w:style>
  <w:style w:type="character" w:styleId="WW8Num17z0">
    <w:name w:val="WW8Num17z0"/>
    <w:qFormat/>
    <w:rPr>
      <w:rFonts w:ascii="Times New Roman" w:hAnsi="Times New Roman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Times New Roman" w:hAnsi="Times New Roman"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標楷體" w:hAnsi="標楷體" w:eastAsia="標楷體"/>
    </w:rPr>
  </w:style>
  <w:style w:type="character" w:styleId="WW8Num26z1">
    <w:name w:val="WW8Num26z1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30z0">
    <w:name w:val="WW8Num30z0"/>
    <w:qFormat/>
    <w:rPr>
      <w:rFonts w:ascii="Times New Roman" w:hAnsi="Times New Roman" w:cs="Times New Roman"/>
    </w:rPr>
  </w:style>
  <w:style w:type="character" w:styleId="WW8Num31z0">
    <w:name w:val="WW8Num31z0"/>
    <w:qFormat/>
    <w:rPr>
      <w:rFonts w:eastAsia="標楷體"/>
      <w:lang w:val="en-US"/>
    </w:rPr>
  </w:style>
  <w:style w:type="character" w:styleId="WW8Num32z0">
    <w:name w:val="WW8Num32z0"/>
    <w:qFormat/>
    <w:rPr>
      <w:rFonts w:cs="標楷體"/>
    </w:rPr>
  </w:style>
  <w:style w:type="character" w:styleId="WW8Num33z0">
    <w:name w:val="WW8Num33z0"/>
    <w:qFormat/>
    <w:rPr>
      <w:rFonts w:ascii="Times New Roman" w:hAnsi="Times New Roman"/>
    </w:rPr>
  </w:style>
  <w:style w:type="character" w:styleId="WW8Num33z1">
    <w:name w:val="WW8Num33z1"/>
    <w:qFormat/>
    <w:rPr>
      <w:rFonts w:ascii="Wingdings" w:hAnsi="Wingdings" w:eastAsia="標楷體" w:cs="Times New Roman"/>
    </w:rPr>
  </w:style>
  <w:style w:type="character" w:styleId="WW8Num33z2">
    <w:name w:val="WW8Num33z2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>
      <w:rFonts w:ascii="Times New Roman" w:hAnsi="Times New Roman" w:eastAsia="標楷體" w:cs="Times New Roman"/>
      <w:color w:val="000000"/>
      <w:sz w:val="24"/>
    </w:rPr>
  </w:style>
  <w:style w:type="character" w:styleId="Style13">
    <w:name w:val="預設段落字型"/>
    <w:qFormat/>
    <w:rPr/>
  </w:style>
  <w:style w:type="character" w:styleId="PageNumber">
    <w:name w:val="Page Number"/>
    <w:basedOn w:val="Style13"/>
    <w:rPr/>
  </w:style>
  <w:style w:type="character" w:styleId="InternetLink">
    <w:name w:val="Hyperlink"/>
    <w:rPr>
      <w:strike w:val="false"/>
      <w:dstrike w:val="false"/>
      <w:color w:val="0000D5"/>
      <w:u w:val="none"/>
    </w:rPr>
  </w:style>
  <w:style w:type="character" w:styleId="Style14">
    <w:name w:val="註解參照"/>
    <w:qFormat/>
    <w:rPr>
      <w:sz w:val="18"/>
      <w:szCs w:val="18"/>
    </w:rPr>
  </w:style>
  <w:style w:type="character" w:styleId="EndNoteBibliography">
    <w:name w:val="EndNote Bibliography 字元"/>
    <w:qFormat/>
    <w:rPr>
      <w:kern w:val="2"/>
      <w:sz w:val="24"/>
      <w:szCs w:val="24"/>
      <w:lang w:val="zh-TW" w:eastAsia="zh-TW"/>
    </w:rPr>
  </w:style>
  <w:style w:type="character" w:styleId="Title">
    <w:name w:val="title"/>
    <w:qFormat/>
    <w:rPr/>
  </w:style>
  <w:style w:type="character" w:styleId="Infolabel">
    <w:name w:val="info_label"/>
    <w:qFormat/>
    <w:rPr/>
  </w:style>
  <w:style w:type="character" w:styleId="Infovalue">
    <w:name w:val="info_value"/>
    <w:qFormat/>
    <w:rPr/>
  </w:style>
  <w:style w:type="character" w:styleId="Style15">
    <w:name w:val="副標題 字元"/>
    <w:qFormat/>
    <w:rPr>
      <w:rFonts w:ascii="Calibri Light;Calibri" w:hAnsi="Calibri Light;Calibri" w:cs="Times New Roman"/>
      <w:i/>
      <w:iCs/>
      <w:kern w:val="2"/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Web">
    <w:name w:val="內文 (Web)"/>
    <w:basedOn w:val="Normal"/>
    <w:qFormat/>
    <w:pPr>
      <w:widowControl/>
      <w:spacing w:before="100" w:after="100"/>
    </w:pPr>
    <w:rPr>
      <w:rFonts w:ascii="新細明體;PMingLiU" w:hAnsi="新細明體;PMingLiU" w:cs="新細明體;PMingLiU"/>
      <w:kern w:val="0"/>
    </w:rPr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EndNoteBibliography1">
    <w:name w:val="EndNote Bibliography"/>
    <w:basedOn w:val="Normal"/>
    <w:qFormat/>
    <w:pPr/>
    <w:rPr>
      <w:lang w:val="zh-TW" w:eastAsia="zh-TW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libri Light;Calibri" w:hAnsi="Calibri Light;Calibri" w:cs="Calibri Light;Calibri"/>
      <w:i/>
      <w:iCs/>
      <w:lang w:val="zh-TW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操作規範格式</Template>
  <TotalTime>70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2018-12-18T23:03:00Z</dcterms:created>
  <dc:creator>Huang</dc:creator>
  <dc:description/>
  <cp:keywords/>
  <dc:language>zh-TW</dc:language>
  <cp:lastModifiedBy>User</cp:lastModifiedBy>
  <cp:lastPrinted>2010-08-17T15:13:00Z</cp:lastPrinted>
  <dcterms:modified xsi:type="dcterms:W3CDTF">2018-12-19T06:04:00Z</dcterms:modified>
  <cp:revision>20</cp:revision>
  <dc:subject/>
  <dc:title>執 行 項 目</dc:title>
</cp:coreProperties>
</file>