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media/image4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（呼吸治療師）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（呼吸治療師）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  <w:szCs w:val="52"/>
                              </w:rPr>
                              <w:t>肺容積測量技術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  <w:szCs w:val="52"/>
                              </w:rPr>
                              <w:t>標準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  <w:szCs w:val="52"/>
                              </w:rPr>
                              <w:t>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  <w:szCs w:val="52"/>
                        </w:rPr>
                        <w:t>肺容積測量技術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  <w:szCs w:val="52"/>
                        </w:rPr>
                        <w:t>標準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  <w:szCs w:val="52"/>
                        </w:rPr>
                        <w:t>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>A045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04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4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color w:val="FF0000"/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/AUPW00-</w:t>
                      </w:r>
                      <w:r>
                        <w:rPr>
                          <w:color w:val="000000"/>
                          <w:sz w:val="32"/>
                        </w:rPr>
                        <w:t>A045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107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04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16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4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  <w:szCs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8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8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000000"/>
                          <w:spacing w:val="20"/>
                          <w:sz w:val="40"/>
                        </w:rPr>
                        <w:t xml:space="preserve">   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  <w:szCs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8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28"/>
          <w:u w:val="single"/>
        </w:rPr>
      </w:pPr>
      <w:r>
        <w:rPr>
          <w:rFonts w:eastAsia="標楷體" w:cs="標楷體" w:ascii="標楷體" w:hAnsi="標楷體"/>
          <w:sz w:val="28"/>
          <w:u w:val="single"/>
        </w:rPr>
      </w:r>
      <w:r>
        <w:br w:type="page"/>
      </w:r>
    </w:p>
    <w:p>
      <w:pPr>
        <w:pStyle w:val="Normal"/>
        <w:spacing w:lineRule="exact" w:line="320"/>
        <w:jc w:val="center"/>
        <w:rPr/>
      </w:pPr>
      <w:r>
        <w:rPr>
          <w:rFonts w:ascii="標楷體" w:hAnsi="標楷體" w:cs="標楷體" w:eastAsia="標楷體"/>
          <w:sz w:val="28"/>
          <w:u w:val="single"/>
        </w:rPr>
        <w:t>肺容積測量技術</w:t>
      </w:r>
      <w:r>
        <w:rPr>
          <w:rFonts w:ascii="標楷體" w:hAnsi="標楷體" w:cs="標楷體" w:eastAsia="標楷體"/>
          <w:sz w:val="28"/>
          <w:u w:val="single"/>
        </w:rPr>
        <w:t>標準</w:t>
      </w:r>
      <w:r>
        <w:rPr>
          <w:rFonts w:ascii="標楷體" w:hAnsi="標楷體" w:cs="標楷體" w:eastAsia="標楷體"/>
          <w:sz w:val="28"/>
          <w:u w:val="single"/>
        </w:rPr>
        <w:t>作業規範</w:t>
      </w:r>
      <w:r>
        <w:rPr>
          <w:rFonts w:eastAsia="標楷體" w:cs="標楷體" w:ascii="標楷體" w:hAnsi="標楷體"/>
          <w:sz w:val="28"/>
          <w:u w:val="single"/>
        </w:rPr>
        <w:t>(</w:t>
      </w:r>
      <w:r>
        <w:rPr>
          <w:rFonts w:ascii="標楷體" w:hAnsi="標楷體" w:cs="標楷體" w:eastAsia="標楷體"/>
          <w:sz w:val="28"/>
          <w:u w:val="single"/>
        </w:rPr>
        <w:t>一</w:t>
      </w:r>
      <w:r>
        <w:rPr>
          <w:rFonts w:eastAsia="標楷體" w:cs="標楷體" w:ascii="標楷體" w:hAnsi="標楷體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>
          <w:rFonts w:ascii="標楷體" w:hAnsi="標楷體" w:eastAsia="標楷體" w:cs="標楷體"/>
          <w:color w:val="000000"/>
        </w:rPr>
      </w:pPr>
      <w:r>
        <w:rPr>
          <w:rFonts w:ascii="標楷體" w:hAnsi="標楷體" w:cs="標楷體" w:eastAsia="標楷體"/>
        </w:rPr>
        <w:t>編號：</w:t>
      </w:r>
      <w:r>
        <w:rPr>
          <w:rFonts w:eastAsia="標楷體" w:cs="標楷體" w:ascii="標楷體" w:hAnsi="標楷體"/>
        </w:rPr>
        <w:t>A</w:t>
      </w:r>
      <w:r>
        <w:rPr>
          <w:rFonts w:eastAsia="標楷體" w:cs="標楷體" w:ascii="標楷體" w:hAnsi="標楷體"/>
        </w:rPr>
        <w:t>UNW0</w:t>
      </w:r>
      <w:r>
        <w:rPr>
          <w:rFonts w:eastAsia="標楷體" w:cs="標楷體" w:ascii="標楷體" w:hAnsi="標楷體"/>
          <w:color w:val="000000"/>
        </w:rPr>
        <w:t>0/AUPW00-A045</w:t>
      </w:r>
    </w:p>
    <w:p>
      <w:pPr>
        <w:pStyle w:val="Normal"/>
        <w:spacing w:lineRule="exact" w:line="320"/>
        <w:rPr>
          <w:rFonts w:ascii="標楷體" w:hAnsi="標楷體" w:eastAsia="標楷體" w:cs="新細明體;PMingLiU"/>
        </w:rPr>
      </w:pPr>
      <w:r>
        <w:rPr>
          <w:rFonts w:ascii="標楷體" w:hAnsi="標楷體" w:cs="標楷體" w:eastAsia="標楷體"/>
        </w:rPr>
        <w:t>總頁數：</w:t>
      </w:r>
      <w:r>
        <w:rPr>
          <w:rFonts w:eastAsia="標楷體" w:cs="新細明體;PMingLiU" w:ascii="標楷體" w:hAnsi="標楷體"/>
        </w:rPr>
        <w:t xml:space="preserve">6                                                                                          </w:t>
      </w:r>
      <w:r>
        <w:rPr>
          <w:rFonts w:ascii="標楷體" w:hAnsi="標楷體" w:cs="標楷體" w:eastAsia="標楷體"/>
        </w:rPr>
        <w:t>頁數：</w:t>
      </w:r>
      <w:r>
        <w:rPr>
          <w:rFonts w:eastAsia="標楷體" w:cs="標楷體" w:ascii="標楷體" w:hAnsi="標楷體"/>
        </w:rPr>
        <w:t>6</w:t>
      </w:r>
      <w:r>
        <w:rPr>
          <w:rFonts w:eastAsia="標楷體" w:cs="標楷體" w:ascii="標楷體" w:hAnsi="標楷體"/>
        </w:rPr>
        <w:t xml:space="preserve">-1  </w:t>
      </w:r>
    </w:p>
    <w:p>
      <w:pPr>
        <w:pStyle w:val="Normal"/>
        <w:spacing w:lineRule="exact" w:line="320"/>
        <w:rPr/>
      </w:pPr>
      <w:r>
        <w:rPr>
          <w:rFonts w:ascii="標楷體" w:hAnsi="標楷體" w:cs="標楷體" w:eastAsia="標楷體"/>
        </w:rPr>
        <w:t xml:space="preserve">                                                                                     </w:t>
      </w:r>
    </w:p>
    <w:tbl>
      <w:tblPr>
        <w:tblW w:w="1424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22"/>
        <w:gridCol w:w="4506"/>
        <w:gridCol w:w="2880"/>
        <w:gridCol w:w="4140"/>
      </w:tblGrid>
      <w:tr>
        <w:trPr/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cs="標楷體" w:eastAsia="標楷體"/>
              </w:rPr>
              <w:t>作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業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目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的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適　用　範　圍　及　執　行　人　員</w:t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cs="標楷體" w:eastAsia="標楷體"/>
              </w:rPr>
              <w:t xml:space="preserve">使   用   器   材、工 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 xml:space="preserve">具 </w:t>
            </w:r>
          </w:p>
        </w:tc>
      </w:tr>
      <w:tr>
        <w:trPr>
          <w:trHeight w:val="6838" w:hRule="atLeast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藉由測量每分鐘呼吸次數及通氣量，計算出</w:t>
            </w:r>
            <w:r>
              <w:rPr>
                <w:rFonts w:eastAsia="標楷體" w:cs="標楷體" w:ascii="標楷體" w:hAnsi="標楷體"/>
              </w:rPr>
              <w:t>RSBI</w:t>
            </w:r>
            <w:r>
              <w:rPr>
                <w:rFonts w:ascii="標楷體" w:hAnsi="標楷體" w:cs="標楷體" w:eastAsia="標楷體"/>
              </w:rPr>
              <w:t>，有助於評估脫離呼吸器。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VC</w:t>
            </w:r>
            <w:r>
              <w:rPr>
                <w:rFonts w:ascii="標楷體" w:hAnsi="標楷體" w:cs="標楷體" w:eastAsia="標楷體"/>
              </w:rPr>
              <w:t>的測量和趨勢可評估</w:t>
            </w:r>
            <w:r>
              <w:rPr>
                <w:rFonts w:eastAsia="標楷體" w:cs="標楷體" w:ascii="標楷體" w:hAnsi="標楷體"/>
              </w:rPr>
              <w:t>N</w:t>
            </w:r>
            <w:r>
              <w:rPr>
                <w:rFonts w:eastAsia="標楷體" w:cs="標楷體" w:ascii="標楷體" w:hAnsi="標楷體"/>
              </w:rPr>
              <w:t>e</w:t>
            </w:r>
            <w:r>
              <w:rPr>
                <w:rFonts w:eastAsia="標楷體" w:cs="標楷體" w:ascii="標楷體" w:hAnsi="標楷體"/>
              </w:rPr>
              <w:t xml:space="preserve">uromuscular disease </w:t>
            </w:r>
            <w:r>
              <w:rPr>
                <w:rFonts w:ascii="標楷體" w:hAnsi="標楷體" w:cs="標楷體" w:eastAsia="標楷體"/>
              </w:rPr>
              <w:t>呼吸肌肉功能，作為病人通氣能力</w:t>
            </w:r>
            <w:r>
              <w:rPr>
                <w:rFonts w:ascii="標楷體" w:hAnsi="標楷體" w:cs="標楷體" w:eastAsia="標楷體"/>
              </w:rPr>
              <w:t>測定</w:t>
            </w:r>
            <w:r>
              <w:rPr>
                <w:rFonts w:ascii="標楷體" w:hAnsi="標楷體" w:cs="標楷體" w:eastAsia="標楷體"/>
              </w:rPr>
              <w:t>和監測指標。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3"/>
              </w:numPr>
              <w:ind w:left="454" w:hanging="480"/>
              <w:jc w:val="both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適用範圍</w:t>
            </w:r>
          </w:p>
          <w:p>
            <w:pPr>
              <w:pStyle w:val="Normal"/>
              <w:ind w:left="454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急診、門診及住院病人。</w:t>
            </w:r>
          </w:p>
          <w:p>
            <w:pPr>
              <w:pStyle w:val="Normal"/>
              <w:numPr>
                <w:ilvl w:val="0"/>
                <w:numId w:val="23"/>
              </w:numPr>
              <w:spacing w:lineRule="exact" w:line="320"/>
              <w:ind w:left="454" w:hanging="48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適用執行人員</w:t>
            </w:r>
          </w:p>
          <w:p>
            <w:pPr>
              <w:pStyle w:val="Normal"/>
              <w:ind w:left="480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呼吸治療師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 xml:space="preserve">Rapid shallow breathing index(RSBI) </w:t>
            </w:r>
          </w:p>
          <w:p>
            <w:pPr>
              <w:pStyle w:val="Normal"/>
              <w:numPr>
                <w:ilvl w:val="0"/>
                <w:numId w:val="29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Cs/>
              </w:rPr>
              <w:t>肺量計</w:t>
            </w:r>
            <w:r>
              <w:rPr>
                <w:rFonts w:eastAsia="標楷體" w:cs="標楷體" w:ascii="標楷體" w:hAnsi="標楷體"/>
              </w:rPr>
              <w:t>(Haloscale)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29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Humidifier filter(</w:t>
            </w:r>
            <w:r>
              <w:rPr>
                <w:rFonts w:ascii="標楷體" w:hAnsi="標楷體" w:cs="標楷體" w:eastAsia="標楷體"/>
              </w:rPr>
              <w:t>小兒</w:t>
            </w:r>
            <w:r>
              <w:rPr>
                <w:rFonts w:eastAsia="標楷體" w:cs="標楷體" w:ascii="標楷體" w:hAnsi="標楷體"/>
              </w:rPr>
              <w:t>AN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單一病患使用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31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Vital Capacity (VC)</w:t>
            </w:r>
          </w:p>
          <w:p>
            <w:pPr>
              <w:pStyle w:val="Normal"/>
              <w:numPr>
                <w:ilvl w:val="0"/>
                <w:numId w:val="21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Cs/>
              </w:rPr>
              <w:t>肺量計</w:t>
            </w:r>
            <w:r>
              <w:rPr>
                <w:rFonts w:eastAsia="標楷體" w:cs="標楷體" w:ascii="標楷體" w:hAnsi="標楷體"/>
              </w:rPr>
              <w:t>(Haloscale)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21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Humidifier filter(</w:t>
            </w:r>
            <w:r>
              <w:rPr>
                <w:rFonts w:ascii="標楷體" w:hAnsi="標楷體" w:cs="標楷體" w:eastAsia="標楷體"/>
              </w:rPr>
              <w:t>小兒</w:t>
            </w:r>
            <w:r>
              <w:rPr>
                <w:rFonts w:eastAsia="標楷體" w:cs="標楷體" w:ascii="標楷體" w:hAnsi="標楷體"/>
              </w:rPr>
              <w:t>AN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單一病患使用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21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M</w:t>
            </w:r>
            <w:r>
              <w:rPr>
                <w:rFonts w:eastAsia="標楷體" w:cs="標楷體" w:ascii="標楷體" w:hAnsi="標楷體"/>
              </w:rPr>
              <w:t>outhpiece</w:t>
            </w:r>
            <w:r>
              <w:rPr>
                <w:rFonts w:ascii="標楷體" w:hAnsi="標楷體" w:cs="標楷體" w:eastAsia="標楷體"/>
              </w:rPr>
              <w:t>或</w:t>
            </w:r>
            <w:r>
              <w:rPr>
                <w:rFonts w:ascii="標楷體" w:hAnsi="標楷體" w:cs="標楷體" w:eastAsia="標楷體"/>
                <w:color w:val="000000"/>
              </w:rPr>
              <w:t>充氣式面罩或</w:t>
            </w:r>
            <w:r>
              <w:rPr>
                <w:rFonts w:eastAsia="標楷體" w:cs="標楷體" w:ascii="標楷體" w:hAnsi="標楷體"/>
                <w:color w:val="000000"/>
              </w:rPr>
              <w:t>1233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單一病患使用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numPr>
                <w:ilvl w:val="0"/>
                <w:numId w:val="21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短軟管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單一病患使用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9">
                  <wp:simplePos x="0" y="0"/>
                  <wp:positionH relativeFrom="margin">
                    <wp:posOffset>128270</wp:posOffset>
                  </wp:positionH>
                  <wp:positionV relativeFrom="margin">
                    <wp:posOffset>2884170</wp:posOffset>
                  </wp:positionV>
                  <wp:extent cx="1188720" cy="801370"/>
                  <wp:effectExtent l="0" t="0" r="0" b="0"/>
                  <wp:wrapSquare wrapText="bothSides"/>
                  <wp:docPr id="6" name="圖片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8013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8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-163830</wp:posOffset>
                  </wp:positionV>
                  <wp:extent cx="2590800" cy="801370"/>
                  <wp:effectExtent l="0" t="0" r="0" b="0"/>
                  <wp:wrapSquare wrapText="bothSides"/>
                  <wp:docPr id="7" name="圖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8013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1" allowOverlap="1" relativeHeight="10">
                  <wp:simplePos x="0" y="0"/>
                  <wp:positionH relativeFrom="margin">
                    <wp:posOffset>1019175</wp:posOffset>
                  </wp:positionH>
                  <wp:positionV relativeFrom="margin">
                    <wp:posOffset>671195</wp:posOffset>
                  </wp:positionV>
                  <wp:extent cx="1757680" cy="877570"/>
                  <wp:effectExtent l="0" t="0" r="0" b="0"/>
                  <wp:wrapSquare wrapText="bothSides"/>
                  <wp:docPr id="8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680" cy="8775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244" w:hRule="atLeast"/>
        </w:trPr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新細明體;PMingLiU" w:eastAsia="標楷體"/>
              </w:rPr>
              <w:t>修訂日期：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新細明體;PMingLiU" w:eastAsia="標楷體"/>
              </w:rPr>
              <w:t>年</w:t>
            </w:r>
            <w:r>
              <w:rPr>
                <w:rFonts w:eastAsia="標楷體" w:cs="新細明體;PMingLiU" w:ascii="標楷體" w:hAnsi="標楷體"/>
              </w:rPr>
              <w:t>04</w:t>
            </w:r>
            <w:r>
              <w:rPr>
                <w:rFonts w:ascii="標楷體" w:hAnsi="標楷體" w:cs="新細明體;PMingLiU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ascii="標楷體" w:hAnsi="標楷體" w:cs="新細明體;PMingLiU" w:eastAsia="標楷體"/>
              </w:rPr>
              <w:t>修訂</w:t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320"/>
        <w:jc w:val="center"/>
        <w:rPr/>
      </w:pPr>
      <w:r>
        <w:rPr>
          <w:rFonts w:ascii="標楷體" w:hAnsi="標楷體" w:cs="標楷體" w:eastAsia="標楷體"/>
          <w:sz w:val="28"/>
          <w:u w:val="single"/>
        </w:rPr>
        <w:t>肺容積測量技術</w:t>
      </w:r>
      <w:r>
        <w:rPr>
          <w:rFonts w:ascii="標楷體" w:hAnsi="標楷體" w:cs="標楷體" w:eastAsia="標楷體"/>
          <w:sz w:val="28"/>
          <w:u w:val="single"/>
        </w:rPr>
        <w:t>標準</w:t>
      </w:r>
      <w:r>
        <w:rPr>
          <w:rFonts w:ascii="標楷體" w:hAnsi="標楷體" w:cs="標楷體" w:eastAsia="標楷體"/>
          <w:sz w:val="28"/>
          <w:u w:val="single"/>
        </w:rPr>
        <w:t>作業規範</w:t>
      </w:r>
      <w:r>
        <w:rPr>
          <w:rFonts w:eastAsia="標楷體" w:cs="標楷體" w:ascii="標楷體" w:hAnsi="標楷體"/>
          <w:sz w:val="28"/>
          <w:u w:val="single"/>
        </w:rPr>
        <w:t>(</w:t>
      </w:r>
      <w:r>
        <w:rPr>
          <w:rFonts w:ascii="標楷體" w:hAnsi="標楷體" w:cs="標楷體" w:eastAsia="標楷體"/>
          <w:sz w:val="28"/>
          <w:u w:val="single"/>
        </w:rPr>
        <w:t>二</w:t>
      </w:r>
      <w:r>
        <w:rPr>
          <w:rFonts w:eastAsia="標楷體" w:cs="標楷體" w:ascii="標楷體" w:hAnsi="標楷體"/>
          <w:sz w:val="28"/>
          <w:u w:val="single"/>
        </w:rPr>
        <w:t>)</w:t>
      </w:r>
    </w:p>
    <w:p>
      <w:pPr>
        <w:pStyle w:val="Normal"/>
        <w:spacing w:lineRule="exact" w:line="320"/>
        <w:jc w:val="right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編號：</w:t>
      </w:r>
      <w:r>
        <w:rPr>
          <w:rFonts w:eastAsia="標楷體" w:cs="標楷體" w:ascii="標楷體" w:hAnsi="標楷體"/>
        </w:rPr>
        <w:t>A</w:t>
      </w:r>
      <w:r>
        <w:rPr>
          <w:rFonts w:eastAsia="標楷體" w:cs="標楷體" w:ascii="標楷體" w:hAnsi="標楷體"/>
        </w:rPr>
        <w:t>UNW00/</w:t>
      </w:r>
      <w:r>
        <w:rPr>
          <w:rFonts w:eastAsia="標楷體" w:cs="標楷體" w:ascii="標楷體" w:hAnsi="標楷體"/>
          <w:color w:val="000000"/>
        </w:rPr>
        <w:t>AUPW00-A045</w:t>
      </w:r>
    </w:p>
    <w:p>
      <w:pPr>
        <w:pStyle w:val="Normal"/>
        <w:spacing w:lineRule="exact" w:line="32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總頁數：</w:t>
      </w:r>
      <w:r>
        <w:rPr>
          <w:rFonts w:eastAsia="標楷體" w:cs="標楷體" w:ascii="標楷體" w:hAnsi="標楷體"/>
        </w:rPr>
        <w:t xml:space="preserve">6                                                                                          </w:t>
      </w:r>
      <w:r>
        <w:rPr>
          <w:rFonts w:ascii="標楷體" w:hAnsi="標楷體" w:cs="標楷體" w:eastAsia="標楷體"/>
        </w:rPr>
        <w:t>頁數：</w:t>
      </w:r>
      <w:r>
        <w:rPr>
          <w:rFonts w:eastAsia="標楷體" w:cs="標楷體" w:ascii="標楷體" w:hAnsi="標楷體"/>
        </w:rPr>
        <w:t>6-2</w:t>
      </w:r>
      <w:r>
        <w:rPr>
          <w:rFonts w:eastAsia="標楷體" w:cs="標楷體" w:ascii="標楷體" w:hAnsi="標楷體"/>
        </w:rPr>
        <w:t xml:space="preserve">  </w:t>
      </w:r>
    </w:p>
    <w:p>
      <w:pPr>
        <w:pStyle w:val="Normal"/>
        <w:spacing w:lineRule="exact" w:line="32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 xml:space="preserve">                                                                                      </w:t>
      </w:r>
    </w:p>
    <w:tbl>
      <w:tblPr>
        <w:tblW w:w="1424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8"/>
        <w:gridCol w:w="6660"/>
        <w:gridCol w:w="2880"/>
        <w:gridCol w:w="4140"/>
      </w:tblGrid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項次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操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作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說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明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或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作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業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流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程</w:t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注    意    事    項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壹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執行前</w:t>
            </w:r>
            <w:r>
              <w:rPr>
                <w:rFonts w:eastAsia="標楷體" w:cs="標楷體" w:ascii="標楷體" w:hAnsi="標楷體"/>
              </w:rPr>
              <w:t>(RSBI)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核對醫囑。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  <w:b/>
                <w:b/>
              </w:rPr>
            </w:pPr>
            <w:r>
              <w:rPr>
                <w:rFonts w:ascii="標楷體" w:hAnsi="標楷體" w:cs="標楷體" w:eastAsia="標楷體"/>
              </w:rPr>
              <w:t>辨識病人。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評估病患確認病情穩定度己符合脫離條件。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洗手並戴上手套。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抽痰，以利測量正確性</w:t>
            </w:r>
            <w:r>
              <w:rPr>
                <w:rFonts w:ascii="標楷體" w:hAnsi="標楷體" w:cs="標楷體" w:eastAsia="標楷體"/>
              </w:rPr>
              <w:t>，並</w:t>
            </w:r>
            <w:r>
              <w:rPr>
                <w:rFonts w:ascii="標楷體" w:hAnsi="標楷體" w:cs="標楷體" w:eastAsia="標楷體"/>
              </w:rPr>
              <w:t>打飽氣囊，避免漏氣。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準備用物與組合、檢查儀器</w:t>
            </w:r>
          </w:p>
          <w:p>
            <w:pPr>
              <w:pStyle w:val="TextBodyIndent"/>
              <w:spacing w:lineRule="exact" w:line="320"/>
              <w:ind w:left="391" w:hanging="391"/>
              <w:rPr>
                <w:rFonts w:cs="標楷體"/>
                <w:sz w:val="24"/>
              </w:rPr>
            </w:pPr>
            <w:r>
              <w:rPr>
                <w:rFonts w:cs="標楷體"/>
                <w:sz w:val="24"/>
              </w:rPr>
              <w:t>七</w:t>
            </w:r>
            <w:r>
              <w:rPr>
                <w:rFonts w:cs="標楷體"/>
                <w:sz w:val="24"/>
              </w:rPr>
              <w:t>、向病人解釋</w:t>
            </w:r>
            <w:r>
              <w:rPr>
                <w:rFonts w:cs="標楷體"/>
                <w:sz w:val="24"/>
              </w:rPr>
              <w:t>:</w:t>
            </w:r>
            <w:r>
              <w:rPr>
                <w:rFonts w:cs="標楷體"/>
                <w:sz w:val="24"/>
              </w:rPr>
              <w:t>自我介紹、解釋測量目的、方法及步驟。</w:t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spacing w:lineRule="exact" w:line="320"/>
              <w:rPr>
                <w:rFonts w:ascii="標楷體" w:hAnsi="標楷體" w:eastAsia="標楷體" w:cs="標楷體"/>
                <w:sz w:val="24"/>
              </w:rPr>
            </w:pPr>
            <w:r>
              <w:rPr>
                <w:rFonts w:eastAsia="標楷體" w:cs="標楷體" w:ascii="標楷體" w:hAnsi="標楷體"/>
                <w:sz w:val="24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b/>
                <w:b/>
                <w:bCs/>
                <w:u w:val="single"/>
              </w:rPr>
            </w:pPr>
            <w:r>
              <w:rPr>
                <w:rFonts w:ascii="標楷體" w:hAnsi="標楷體" w:cs="標楷體" w:eastAsia="標楷體"/>
              </w:rPr>
              <w:t>執行前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 w:cs="標楷體" w:ascii="標楷體" w:hAnsi="標楷體"/>
              </w:rPr>
              <w:t>V.C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  <w:bCs/>
              </w:rPr>
              <w:t>）：</w:t>
            </w:r>
          </w:p>
          <w:p>
            <w:pPr>
              <w:pStyle w:val="Normal"/>
              <w:numPr>
                <w:ilvl w:val="0"/>
                <w:numId w:val="28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核對醫囑。</w:t>
            </w:r>
          </w:p>
          <w:p>
            <w:pPr>
              <w:pStyle w:val="Normal"/>
              <w:numPr>
                <w:ilvl w:val="0"/>
                <w:numId w:val="28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  <w:b/>
                <w:b/>
              </w:rPr>
            </w:pPr>
            <w:r>
              <w:rPr>
                <w:rFonts w:ascii="標楷體" w:hAnsi="標楷體" w:cs="標楷體" w:eastAsia="標楷體"/>
              </w:rPr>
              <w:t>辨識病人。</w:t>
            </w:r>
          </w:p>
          <w:p>
            <w:pPr>
              <w:pStyle w:val="Normal"/>
              <w:numPr>
                <w:ilvl w:val="0"/>
                <w:numId w:val="28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洗手。</w:t>
            </w:r>
          </w:p>
          <w:p>
            <w:pPr>
              <w:pStyle w:val="Normal"/>
              <w:numPr>
                <w:ilvl w:val="0"/>
                <w:numId w:val="27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準備用物與組合、檢查儀器。</w:t>
            </w:r>
          </w:p>
          <w:p>
            <w:pPr>
              <w:pStyle w:val="TextBodyIndent"/>
              <w:numPr>
                <w:ilvl w:val="0"/>
                <w:numId w:val="14"/>
              </w:numPr>
              <w:spacing w:lineRule="exact" w:line="320"/>
              <w:ind w:left="454" w:hanging="480"/>
              <w:rPr>
                <w:rFonts w:cs="標楷體"/>
                <w:sz w:val="24"/>
              </w:rPr>
            </w:pPr>
            <w:r>
              <w:rPr>
                <w:rFonts w:cs="標楷體"/>
                <w:sz w:val="24"/>
              </w:rPr>
              <w:t>向病人解釋</w:t>
            </w:r>
            <w:r>
              <w:rPr>
                <w:rFonts w:cs="標楷體"/>
                <w:sz w:val="24"/>
              </w:rPr>
              <w:t>:</w:t>
            </w:r>
            <w:r>
              <w:rPr>
                <w:rFonts w:cs="標楷體"/>
                <w:sz w:val="24"/>
              </w:rPr>
              <w:t>自我介紹、解釋測量目的、方法及步驟。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4"/>
              </w:rPr>
            </w:pPr>
            <w:r>
              <w:rPr>
                <w:rFonts w:eastAsia="標楷體" w:cs="標楷體" w:ascii="標楷體" w:hAnsi="標楷體"/>
                <w:sz w:val="24"/>
              </w:rPr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核對醫囑監測頻率。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二、依據洗手</w:t>
            </w:r>
            <w:r>
              <w:rPr>
                <w:rFonts w:ascii="標楷體" w:hAnsi="標楷體" w:cs="標楷體" w:eastAsia="標楷體"/>
              </w:rPr>
              <w:t>感染管制</w:t>
            </w:r>
            <w:r>
              <w:rPr>
                <w:rFonts w:ascii="標楷體" w:hAnsi="標楷體" w:cs="標楷體" w:eastAsia="標楷體"/>
              </w:rPr>
              <w:t>標準作業規範</w:t>
            </w:r>
            <w:r>
              <w:rPr>
                <w:rFonts w:ascii="標楷體" w:hAnsi="標楷體" w:cs="標楷體" w:eastAsia="標楷體"/>
              </w:rPr>
              <w:t>（參閱</w:t>
            </w:r>
            <w:r>
              <w:rPr>
                <w:rFonts w:eastAsia="標楷體" w:cs="標楷體" w:ascii="標楷體" w:hAnsi="標楷體"/>
              </w:rPr>
              <w:t>A</w:t>
            </w:r>
            <w:r>
              <w:rPr>
                <w:rFonts w:eastAsia="標楷體" w:cs="標楷體" w:ascii="標楷體" w:hAnsi="標楷體"/>
              </w:rPr>
              <w:t>UNWAUPW00-A033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三、檢查</w:t>
            </w:r>
            <w:r>
              <w:rPr>
                <w:rFonts w:ascii="標楷體" w:hAnsi="標楷體" w:cs="標楷體" w:eastAsia="標楷體"/>
                <w:bCs/>
              </w:rPr>
              <w:t>肺量計</w:t>
            </w:r>
            <w:r>
              <w:rPr>
                <w:rFonts w:eastAsia="標楷體" w:cs="標楷體" w:ascii="標楷體" w:hAnsi="標楷體"/>
              </w:rPr>
              <w:t>(Haloscale)</w:t>
            </w:r>
            <w:r>
              <w:rPr>
                <w:rFonts w:ascii="標楷體" w:hAnsi="標楷體" w:cs="標楷體" w:eastAsia="標楷體"/>
              </w:rPr>
              <w:t>功能：</w:t>
            </w:r>
          </w:p>
          <w:p>
            <w:pPr>
              <w:pStyle w:val="Normal"/>
              <w:numPr>
                <w:ilvl w:val="0"/>
                <w:numId w:val="30"/>
              </w:numPr>
              <w:ind w:left="907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檢視外部是否有明顯損傷。</w:t>
            </w:r>
          </w:p>
          <w:p>
            <w:pPr>
              <w:pStyle w:val="Normal"/>
              <w:numPr>
                <w:ilvl w:val="0"/>
                <w:numId w:val="30"/>
              </w:numPr>
              <w:ind w:left="907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檢視進氣端及出口處、內部是否乾淨、乾燥、有無沈澱物。</w:t>
            </w:r>
          </w:p>
          <w:p>
            <w:pPr>
              <w:pStyle w:val="Normal"/>
              <w:numPr>
                <w:ilvl w:val="0"/>
                <w:numId w:val="30"/>
              </w:numPr>
              <w:ind w:left="907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確認</w:t>
            </w:r>
            <w:r>
              <w:rPr>
                <w:rFonts w:eastAsia="標楷體" w:cs="標楷體" w:ascii="標楷體" w:hAnsi="標楷體"/>
              </w:rPr>
              <w:t>ON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eastAsia="標楷體" w:cs="標楷體" w:ascii="標楷體" w:hAnsi="標楷體"/>
              </w:rPr>
              <w:t>OFF</w:t>
            </w:r>
            <w:r>
              <w:rPr>
                <w:rFonts w:eastAsia="標楷體" w:cs="標楷體" w:ascii="標楷體" w:hAnsi="標楷體"/>
              </w:rPr>
              <w:t xml:space="preserve"> reset</w:t>
            </w:r>
            <w:r>
              <w:rPr>
                <w:rFonts w:ascii="標楷體" w:hAnsi="標楷體" w:cs="標楷體" w:eastAsia="標楷體"/>
              </w:rPr>
              <w:t>鍵未鬆脫及移動平順。</w:t>
            </w:r>
          </w:p>
          <w:p>
            <w:pPr>
              <w:pStyle w:val="Normal"/>
              <w:numPr>
                <w:ilvl w:val="0"/>
                <w:numId w:val="30"/>
              </w:numPr>
              <w:ind w:left="907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Cs/>
                <w:u w:val="single"/>
              </w:rPr>
              <w:t>歸零</w:t>
            </w:r>
            <w:r>
              <w:rPr>
                <w:rFonts w:ascii="標楷體" w:hAnsi="標楷體" w:cs="標楷體" w:eastAsia="標楷體"/>
                <w:bCs/>
              </w:rPr>
              <w:t>及</w:t>
            </w:r>
            <w:r>
              <w:rPr>
                <w:rFonts w:eastAsia="標楷體" w:cs="標楷體" w:ascii="標楷體" w:hAnsi="標楷體"/>
                <w:bCs/>
                <w:u w:val="single"/>
              </w:rPr>
              <w:t>ON/OFF</w:t>
            </w:r>
            <w:r>
              <w:rPr>
                <w:rFonts w:ascii="標楷體" w:hAnsi="標楷體" w:cs="標楷體" w:eastAsia="標楷體"/>
                <w:bCs/>
              </w:rPr>
              <w:t>開關之操作：</w:t>
            </w:r>
            <w:r>
              <w:rPr>
                <w:rFonts w:ascii="標楷體" w:hAnsi="標楷體" w:cs="標楷體" w:eastAsia="標楷體"/>
              </w:rPr>
              <w:t>兩者皆可手指操作。</w:t>
            </w:r>
          </w:p>
          <w:p>
            <w:pPr>
              <w:pStyle w:val="Normal"/>
              <w:numPr>
                <w:ilvl w:val="0"/>
                <w:numId w:val="16"/>
              </w:numPr>
              <w:ind w:left="1191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歸零鍵：指針歸零點（亦即</w:t>
            </w:r>
            <w:r>
              <w:rPr>
                <w:rFonts w:eastAsia="標楷體" w:cs="標楷體" w:ascii="標楷體" w:hAnsi="標楷體"/>
              </w:rPr>
              <w:t>12</w:t>
            </w:r>
            <w:r>
              <w:rPr>
                <w:rFonts w:ascii="標楷體" w:hAnsi="標楷體" w:cs="標楷體" w:eastAsia="標楷體"/>
              </w:rPr>
              <w:t>點方向）。</w:t>
            </w:r>
          </w:p>
          <w:p>
            <w:pPr>
              <w:pStyle w:val="Normal"/>
              <w:numPr>
                <w:ilvl w:val="0"/>
                <w:numId w:val="16"/>
              </w:numPr>
              <w:ind w:left="1191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ON/OFF</w:t>
            </w:r>
            <w:r>
              <w:rPr>
                <w:rFonts w:ascii="標楷體" w:hAnsi="標楷體" w:cs="標楷體" w:eastAsia="標楷體"/>
              </w:rPr>
              <w:t>：測量時氣流之起始及結束。</w:t>
            </w:r>
          </w:p>
          <w:p>
            <w:pPr>
              <w:pStyle w:val="Normal"/>
              <w:numPr>
                <w:ilvl w:val="0"/>
                <w:numId w:val="12"/>
              </w:numPr>
              <w:ind w:left="454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Cs/>
              </w:rPr>
              <w:t>操作數據的讀取：</w:t>
            </w:r>
          </w:p>
          <w:p>
            <w:pPr>
              <w:pStyle w:val="Normal"/>
              <w:numPr>
                <w:ilvl w:val="0"/>
                <w:numId w:val="6"/>
              </w:numPr>
              <w:ind w:left="907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錶</w:t>
            </w:r>
            <w:r>
              <w:rPr>
                <w:rFonts w:ascii="標楷體" w:hAnsi="標楷體" w:cs="標楷體" w:eastAsia="標楷體"/>
              </w:rPr>
              <w:t>面具二個分離之刻度構成內圍及外圍。</w:t>
            </w:r>
          </w:p>
          <w:p>
            <w:pPr>
              <w:pStyle w:val="Normal"/>
              <w:numPr>
                <w:ilvl w:val="0"/>
                <w:numId w:val="6"/>
              </w:numPr>
              <w:ind w:left="907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短針每小格為</w:t>
            </w:r>
            <w:r>
              <w:rPr>
                <w:rFonts w:eastAsia="標楷體" w:cs="標楷體" w:ascii="標楷體" w:hAnsi="標楷體"/>
              </w:rPr>
              <w:t>10ml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6"/>
              </w:numPr>
              <w:ind w:left="907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長針每小格為</w:t>
            </w:r>
            <w:r>
              <w:rPr>
                <w:rFonts w:eastAsia="標楷體" w:cs="標楷體" w:ascii="標楷體" w:hAnsi="標楷體"/>
              </w:rPr>
              <w:t>1L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24"/>
              </w:numPr>
              <w:spacing w:lineRule="exact" w:line="320"/>
              <w:ind w:left="454" w:hanging="480"/>
              <w:rPr/>
            </w:pPr>
            <w:r>
              <w:rPr>
                <w:rFonts w:ascii="標楷體" w:hAnsi="標楷體" w:cs="標楷體" w:eastAsia="標楷體"/>
              </w:rPr>
              <w:t>測試儀器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320"/>
              <w:ind w:left="907" w:hanging="480"/>
              <w:rPr/>
            </w:pPr>
            <w:r>
              <w:rPr>
                <w:rFonts w:ascii="標楷體" w:hAnsi="標楷體" w:cs="標楷體" w:eastAsia="標楷體"/>
              </w:rPr>
              <w:t>確認</w:t>
            </w:r>
            <w:r>
              <w:rPr>
                <w:rFonts w:eastAsia="標楷體" w:cs="標楷體" w:ascii="標楷體" w:hAnsi="標楷體"/>
              </w:rPr>
              <w:t>ON/OFF</w:t>
            </w:r>
            <w:r>
              <w:rPr>
                <w:rFonts w:ascii="標楷體" w:hAnsi="標楷體" w:cs="標楷體" w:eastAsia="標楷體"/>
              </w:rPr>
              <w:t>在</w:t>
            </w:r>
            <w:r>
              <w:rPr>
                <w:rFonts w:eastAsia="標楷體" w:cs="標楷體" w:ascii="標楷體" w:hAnsi="標楷體"/>
              </w:rPr>
              <w:t>ON</w:t>
            </w:r>
            <w:r>
              <w:rPr>
                <w:rFonts w:ascii="標楷體" w:hAnsi="標楷體" w:cs="標楷體" w:eastAsia="標楷體"/>
              </w:rPr>
              <w:t>的位置，將</w:t>
            </w:r>
            <w:r>
              <w:rPr>
                <w:rFonts w:eastAsia="標楷體" w:cs="標楷體" w:ascii="標楷體" w:hAnsi="標楷體"/>
              </w:rPr>
              <w:t>H</w:t>
            </w:r>
            <w:r>
              <w:rPr>
                <w:rFonts w:eastAsia="標楷體" w:cs="標楷體" w:ascii="標楷體" w:hAnsi="標楷體"/>
              </w:rPr>
              <w:t>aloscale</w:t>
            </w:r>
            <w:r>
              <w:rPr>
                <w:rFonts w:ascii="標楷體" w:hAnsi="標楷體" w:cs="標楷體" w:eastAsia="標楷體"/>
              </w:rPr>
              <w:t>置於掌心，緩慢向入口處以手掌來回移動，注視錶面，指針應緩慢平順移動且不會發出任何聲音。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按壓</w:t>
            </w:r>
            <w:r>
              <w:rPr>
                <w:rFonts w:eastAsia="標楷體" w:cs="標楷體" w:ascii="標楷體" w:hAnsi="標楷體"/>
              </w:rPr>
              <w:t>reset</w:t>
            </w:r>
            <w:r>
              <w:rPr>
                <w:rFonts w:ascii="標楷體" w:hAnsi="標楷體" w:cs="標楷體" w:eastAsia="標楷體"/>
              </w:rPr>
              <w:t>鍵，指針會歸零。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新細明體;PMingLiU" w:eastAsia="標楷體"/>
              </w:rPr>
              <w:t>修訂日期：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新細明體;PMingLiU" w:eastAsia="標楷體"/>
              </w:rPr>
              <w:t>年</w:t>
            </w:r>
            <w:r>
              <w:rPr>
                <w:rFonts w:eastAsia="標楷體" w:cs="新細明體;PMingLiU" w:ascii="標楷體" w:hAnsi="標楷體"/>
              </w:rPr>
              <w:t>04</w:t>
            </w:r>
            <w:r>
              <w:rPr>
                <w:rFonts w:ascii="標楷體" w:hAnsi="標楷體" w:cs="新細明體;PMingLiU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ascii="標楷體" w:hAnsi="標楷體" w:cs="新細明體;PMingLiU" w:eastAsia="標楷體"/>
              </w:rPr>
              <w:t>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ascii="標楷體" w:hAnsi="標楷體" w:cs="標楷體" w:eastAsia="標楷體"/>
          <w:sz w:val="28"/>
          <w:u w:val="single"/>
        </w:rPr>
        <w:t>肺容積測量技術</w:t>
      </w:r>
      <w:r>
        <w:rPr>
          <w:rFonts w:ascii="標楷體" w:hAnsi="標楷體" w:cs="標楷體" w:eastAsia="標楷體"/>
          <w:sz w:val="28"/>
          <w:u w:val="single"/>
        </w:rPr>
        <w:t>標準</w:t>
      </w:r>
      <w:r>
        <w:rPr>
          <w:rFonts w:ascii="標楷體" w:hAnsi="標楷體" w:cs="標楷體" w:eastAsia="標楷體"/>
          <w:sz w:val="28"/>
          <w:u w:val="single"/>
        </w:rPr>
        <w:t>作業規範</w:t>
      </w:r>
      <w:r>
        <w:rPr>
          <w:rFonts w:eastAsia="標楷體" w:cs="標楷體" w:ascii="標楷體" w:hAnsi="標楷體"/>
          <w:sz w:val="28"/>
          <w:u w:val="single"/>
        </w:rPr>
        <w:t>(</w:t>
      </w:r>
      <w:r>
        <w:rPr>
          <w:rFonts w:ascii="標楷體" w:hAnsi="標楷體" w:cs="標楷體" w:eastAsia="標楷體"/>
          <w:sz w:val="28"/>
          <w:u w:val="single"/>
        </w:rPr>
        <w:t>二</w:t>
      </w:r>
      <w:r>
        <w:rPr>
          <w:rFonts w:eastAsia="標楷體" w:cs="標楷體" w:ascii="標楷體" w:hAnsi="標楷體"/>
          <w:sz w:val="28"/>
          <w:u w:val="single"/>
        </w:rPr>
        <w:t>)</w:t>
      </w:r>
    </w:p>
    <w:p>
      <w:pPr>
        <w:pStyle w:val="Normal"/>
        <w:spacing w:lineRule="exact" w:line="320"/>
        <w:jc w:val="right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編號：</w:t>
      </w:r>
      <w:r>
        <w:rPr>
          <w:rFonts w:eastAsia="標楷體" w:cs="標楷體" w:ascii="標楷體" w:hAnsi="標楷體"/>
        </w:rPr>
        <w:t>A</w:t>
      </w:r>
      <w:r>
        <w:rPr>
          <w:rFonts w:eastAsia="標楷體" w:cs="標楷體" w:ascii="標楷體" w:hAnsi="標楷體"/>
        </w:rPr>
        <w:t>UNW00/</w:t>
      </w:r>
      <w:r>
        <w:rPr>
          <w:rFonts w:eastAsia="標楷體" w:cs="標楷體" w:ascii="標楷體" w:hAnsi="標楷體"/>
          <w:color w:val="000000"/>
        </w:rPr>
        <w:t>AUPW00-A045</w:t>
      </w:r>
    </w:p>
    <w:p>
      <w:pPr>
        <w:pStyle w:val="Normal"/>
        <w:spacing w:lineRule="exact" w:line="32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總頁數：</w:t>
      </w:r>
      <w:r>
        <w:rPr>
          <w:rFonts w:eastAsia="標楷體" w:cs="標楷體" w:ascii="標楷體" w:hAnsi="標楷體"/>
        </w:rPr>
        <w:t xml:space="preserve">6                                                                                          </w:t>
      </w:r>
      <w:r>
        <w:rPr>
          <w:rFonts w:ascii="標楷體" w:hAnsi="標楷體" w:cs="標楷體" w:eastAsia="標楷體"/>
        </w:rPr>
        <w:t>頁數：</w:t>
      </w:r>
      <w:r>
        <w:rPr>
          <w:rFonts w:eastAsia="標楷體" w:cs="標楷體" w:ascii="標楷體" w:hAnsi="標楷體"/>
        </w:rPr>
        <w:t>6-3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8"/>
        <w:gridCol w:w="6300"/>
        <w:gridCol w:w="3060"/>
        <w:gridCol w:w="4275"/>
      </w:tblGrid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項次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操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作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說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明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或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作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業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流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程</w:t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注    意    事    項</w:t>
            </w:r>
          </w:p>
        </w:tc>
      </w:tr>
      <w:tr>
        <w:trPr>
          <w:trHeight w:val="7204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貳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執行中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ind w:left="454" w:hanging="480"/>
              <w:rPr/>
            </w:pPr>
            <w:r>
              <w:rPr>
                <w:rFonts w:eastAsia="標楷體" w:cs="標楷體" w:ascii="標楷體" w:hAnsi="標楷體"/>
              </w:rPr>
              <w:t>RSBI</w:t>
            </w:r>
            <w:r>
              <w:rPr>
                <w:rFonts w:ascii="標楷體" w:hAnsi="標楷體" w:cs="標楷體" w:eastAsia="標楷體"/>
              </w:rPr>
              <w:t>測量步驟：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ind w:left="907" w:hanging="480"/>
              <w:rPr/>
            </w:pPr>
            <w:r>
              <w:rPr>
                <w:rFonts w:ascii="標楷體" w:hAnsi="標楷體" w:cs="標楷體" w:eastAsia="標楷體"/>
              </w:rPr>
              <w:t>將呼吸器管路與氣管內管分開，觀察病人是否開始產生自呼（約</w:t>
            </w:r>
            <w:r>
              <w:rPr>
                <w:rFonts w:eastAsia="標楷體" w:cs="標楷體" w:ascii="標楷體" w:hAnsi="標楷體"/>
              </w:rPr>
              <w:t>30</w:t>
            </w:r>
            <w:r>
              <w:rPr>
                <w:rFonts w:ascii="標楷體" w:hAnsi="標楷體" w:cs="標楷體" w:eastAsia="標楷體"/>
              </w:rPr>
              <w:t>秒）此過程</w:t>
            </w:r>
            <w:r>
              <w:rPr>
                <w:rFonts w:eastAsia="標楷體" w:cs="標楷體" w:ascii="標楷體" w:hAnsi="標楷體"/>
              </w:rPr>
              <w:t>S</w:t>
            </w:r>
            <w:r>
              <w:rPr>
                <w:rFonts w:eastAsia="標楷體" w:cs="標楷體" w:ascii="標楷體" w:hAnsi="標楷體"/>
              </w:rPr>
              <w:t>P</w:t>
            </w:r>
            <w:r>
              <w:rPr>
                <w:rFonts w:eastAsia="標楷體" w:cs="標楷體" w:ascii="標楷體" w:hAnsi="標楷體"/>
              </w:rPr>
              <w:t>O2&lt;90%</w:t>
            </w:r>
            <w:r>
              <w:rPr>
                <w:rFonts w:ascii="標楷體" w:hAnsi="標楷體" w:cs="標楷體" w:eastAsia="標楷體"/>
              </w:rPr>
              <w:t>，立即停止接回呼吸器。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將測量接頭接上氣管內管，</w:t>
            </w:r>
            <w:r>
              <w:rPr>
                <w:rFonts w:eastAsia="標楷體" w:cs="標楷體" w:ascii="標楷體" w:hAnsi="標楷體"/>
              </w:rPr>
              <w:t>Haloscale</w:t>
            </w:r>
            <w:r>
              <w:rPr>
                <w:rFonts w:ascii="標楷體" w:hAnsi="標楷體" w:cs="標楷體" w:eastAsia="標楷體"/>
              </w:rPr>
              <w:t>轉</w:t>
            </w:r>
            <w:r>
              <w:rPr>
                <w:rFonts w:eastAsia="標楷體" w:cs="標楷體" w:ascii="標楷體" w:hAnsi="標楷體"/>
              </w:rPr>
              <w:t>ON</w:t>
            </w:r>
            <w:r>
              <w:rPr>
                <w:rFonts w:ascii="標楷體" w:hAnsi="標楷體" w:cs="標楷體" w:eastAsia="標楷體"/>
              </w:rPr>
              <w:t>，計時一分鐘，同時計算呼吸次數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勿以</w:t>
            </w:r>
            <w:r>
              <w:rPr>
                <w:rFonts w:eastAsia="標楷體" w:cs="標楷體" w:ascii="標楷體" w:hAnsi="標楷體"/>
              </w:rPr>
              <w:t xml:space="preserve">EKG </w:t>
            </w:r>
            <w:r>
              <w:rPr>
                <w:rFonts w:eastAsia="標楷體" w:cs="標楷體" w:ascii="標楷體" w:hAnsi="標楷體"/>
              </w:rPr>
              <w:t>monitor</w:t>
            </w:r>
            <w:r>
              <w:rPr>
                <w:rFonts w:ascii="標楷體" w:hAnsi="標楷體" w:cs="標楷體" w:eastAsia="標楷體"/>
              </w:rPr>
              <w:t>的呼吸次數作為參考。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測量過程觀察病人呼吸型態、心跳、血壓、</w:t>
            </w:r>
            <w:r>
              <w:rPr>
                <w:rFonts w:eastAsia="標楷體" w:cs="標楷體" w:ascii="標楷體" w:hAnsi="標楷體"/>
              </w:rPr>
              <w:t>SpO2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檢查過程若</w:t>
            </w:r>
            <w:r>
              <w:rPr>
                <w:rFonts w:eastAsia="標楷體" w:cs="標楷體" w:ascii="標楷體" w:hAnsi="標楷體"/>
              </w:rPr>
              <w:t>SpO2&lt;90%</w:t>
            </w:r>
            <w:r>
              <w:rPr>
                <w:rFonts w:ascii="標楷體" w:hAnsi="標楷體" w:cs="標楷體" w:eastAsia="標楷體"/>
              </w:rPr>
              <w:t>，則立即停止測量接回呼吸器或使用甦醒球</w:t>
            </w:r>
            <w:r>
              <w:rPr>
                <w:rFonts w:ascii="標楷體" w:hAnsi="標楷體" w:cs="標楷體" w:eastAsia="標楷體"/>
              </w:rPr>
              <w:t>使</w:t>
            </w:r>
            <w:r>
              <w:rPr>
                <w:rFonts w:eastAsia="標楷體" w:cs="標楷體" w:ascii="標楷體" w:hAnsi="標楷體"/>
              </w:rPr>
              <w:t>SpO2&gt;90%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並記錄情況；若</w:t>
            </w:r>
            <w:r>
              <w:rPr>
                <w:rFonts w:eastAsia="標楷體" w:cs="標楷體" w:ascii="標楷體" w:hAnsi="標楷體"/>
              </w:rPr>
              <w:t>SpO2&gt;90%</w:t>
            </w:r>
            <w:r>
              <w:rPr>
                <w:rFonts w:ascii="標楷體" w:hAnsi="標楷體" w:cs="標楷體" w:eastAsia="標楷體"/>
              </w:rPr>
              <w:t>且病患穩定後，則再繼續進行測量。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一分鐘結束時，在下次吸氣開始前，將開關調到</w:t>
            </w:r>
            <w:r>
              <w:rPr>
                <w:rFonts w:eastAsia="標楷體" w:cs="標楷體" w:ascii="標楷體" w:hAnsi="標楷體"/>
              </w:rPr>
              <w:t>OFF</w:t>
            </w:r>
            <w:r>
              <w:rPr>
                <w:rFonts w:ascii="標楷體" w:hAnsi="標楷體" w:cs="標楷體" w:eastAsia="標楷體"/>
              </w:rPr>
              <w:t>處，將</w:t>
            </w:r>
            <w:r>
              <w:rPr>
                <w:rFonts w:eastAsia="標楷體" w:cs="標楷體" w:ascii="標楷體" w:hAnsi="標楷體"/>
              </w:rPr>
              <w:t>Haloscale</w:t>
            </w:r>
            <w:r>
              <w:rPr>
                <w:rFonts w:ascii="標楷體" w:hAnsi="標楷體" w:cs="標楷體" w:eastAsia="標楷體"/>
              </w:rPr>
              <w:t>移除並接回呼吸器。</w:t>
            </w:r>
          </w:p>
          <w:p>
            <w:pPr>
              <w:pStyle w:val="Normal"/>
              <w:numPr>
                <w:ilvl w:val="0"/>
                <w:numId w:val="25"/>
              </w:numPr>
              <w:ind w:left="907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讀取數值：避免以側斜角度看數值，以免產生誤差</w:t>
            </w:r>
            <w:r>
              <w:rPr>
                <w:rFonts w:ascii="標楷體" w:hAnsi="標楷體" w:cs="標楷體" w:eastAsia="標楷體"/>
              </w:rPr>
              <w:t>，讀取</w:t>
            </w:r>
            <w:r>
              <w:rPr>
                <w:rFonts w:ascii="標楷體" w:hAnsi="標楷體" w:cs="標楷體" w:eastAsia="標楷體"/>
              </w:rPr>
              <w:t>每分鐘換氣量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 w:cs="標楷體" w:ascii="標楷體" w:hAnsi="標楷體"/>
              </w:rPr>
              <w:t>Minute Volume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 w:cs="標楷體" w:ascii="標楷體" w:hAnsi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&amp; RR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25"/>
              </w:numPr>
              <w:ind w:left="907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計算潮氣容積及</w:t>
            </w:r>
            <w:r>
              <w:rPr>
                <w:rFonts w:eastAsia="標楷體" w:cs="標楷體" w:ascii="標楷體" w:hAnsi="標楷體"/>
              </w:rPr>
              <w:t>RSBI (f/</w:t>
            </w:r>
            <w:r>
              <w:rPr>
                <w:rFonts w:eastAsia="標楷體" w:cs="標楷體" w:ascii="標楷體" w:hAnsi="標楷體"/>
              </w:rPr>
              <w:t>Vt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240" w:hanging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隔離病人可經由呼吸器測量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54" w:hanging="480"/>
              <w:rPr/>
            </w:pPr>
            <w:r>
              <w:rPr>
                <w:rFonts w:eastAsia="標楷體" w:cs="標楷體" w:ascii="標楷體" w:hAnsi="標楷體"/>
              </w:rPr>
              <w:t>RSB</w:t>
            </w:r>
            <w:r>
              <w:rPr>
                <w:rFonts w:eastAsia="標楷體" w:cs="標楷體" w:ascii="標楷體" w:hAnsi="標楷體"/>
              </w:rPr>
              <w:t>I</w:t>
            </w:r>
            <w:r>
              <w:rPr>
                <w:rFonts w:ascii="標楷體" w:hAnsi="標楷體" w:cs="標楷體" w:eastAsia="標楷體"/>
              </w:rPr>
              <w:t>數值判讀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正常值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numPr>
                <w:ilvl w:val="0"/>
                <w:numId w:val="26"/>
              </w:numPr>
              <w:spacing w:lineRule="exact" w:line="320"/>
              <w:ind w:left="907" w:hanging="480"/>
              <w:rPr/>
            </w:pPr>
            <w:r>
              <w:rPr>
                <w:rFonts w:eastAsia="標楷體" w:cs="標楷體" w:ascii="標楷體" w:hAnsi="標楷體"/>
              </w:rPr>
              <w:t xml:space="preserve">MV: </w:t>
            </w:r>
            <w:r>
              <w:rPr>
                <w:rFonts w:ascii="標楷體" w:hAnsi="標楷體" w:cs="標楷體" w:eastAsia="標楷體"/>
              </w:rPr>
              <w:t>＜</w:t>
            </w:r>
            <w:r>
              <w:rPr>
                <w:rFonts w:eastAsia="標楷體" w:cs="標楷體" w:ascii="標楷體" w:hAnsi="標楷體"/>
              </w:rPr>
              <w:t>10L/min</w:t>
            </w:r>
            <w:r>
              <w:rPr>
                <w:rFonts w:ascii="標楷體" w:hAnsi="標楷體" w:cs="標楷體" w:eastAsia="標楷體"/>
              </w:rPr>
              <w:t>。</w:t>
            </w:r>
            <w:r>
              <w:rPr>
                <w:rFonts w:eastAsia="標楷體" w:cs="標楷體" w:ascii="標楷體" w:hAnsi="標楷體"/>
              </w:rPr>
              <w:tab/>
            </w:r>
          </w:p>
          <w:p>
            <w:pPr>
              <w:pStyle w:val="Normal"/>
              <w:numPr>
                <w:ilvl w:val="0"/>
                <w:numId w:val="26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 xml:space="preserve">VT: </w:t>
            </w:r>
            <w:r>
              <w:rPr>
                <w:rFonts w:ascii="標楷體" w:hAnsi="標楷體" w:cs="標楷體" w:eastAsia="標楷體"/>
              </w:rPr>
              <w:t>＞</w:t>
            </w:r>
            <w:r>
              <w:rPr>
                <w:rFonts w:eastAsia="標楷體" w:cs="標楷體" w:ascii="標楷體" w:hAnsi="標楷體"/>
              </w:rPr>
              <w:t>5ml/kg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26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 xml:space="preserve">RR: </w:t>
            </w:r>
            <w:r>
              <w:rPr>
                <w:rFonts w:ascii="標楷體" w:hAnsi="標楷體" w:cs="標楷體" w:eastAsia="標楷體"/>
              </w:rPr>
              <w:t>＜</w:t>
            </w:r>
            <w:r>
              <w:rPr>
                <w:rFonts w:eastAsia="標楷體" w:cs="標楷體" w:ascii="標楷體" w:hAnsi="標楷體"/>
              </w:rPr>
              <w:t>30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ascii="標楷體" w:hAnsi="標楷體" w:cs="標楷體" w:eastAsia="標楷體"/>
              </w:rPr>
              <w:t>分。</w:t>
            </w:r>
          </w:p>
          <w:p>
            <w:pPr>
              <w:pStyle w:val="Normal"/>
              <w:numPr>
                <w:ilvl w:val="0"/>
                <w:numId w:val="26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RSBI(f/</w:t>
            </w:r>
            <w:r>
              <w:rPr>
                <w:rFonts w:eastAsia="標楷體" w:cs="標楷體" w:ascii="標楷體" w:hAnsi="標楷體"/>
              </w:rPr>
              <w:t>Vt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：＜</w:t>
            </w:r>
            <w:r>
              <w:rPr>
                <w:rFonts w:eastAsia="標楷體" w:cs="標楷體" w:ascii="標楷體" w:hAnsi="標楷體"/>
              </w:rPr>
              <w:t>105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68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新細明體;PMingLiU" w:eastAsia="標楷體"/>
              </w:rPr>
              <w:t>修訂日期：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新細明體;PMingLiU" w:eastAsia="標楷體"/>
              </w:rPr>
              <w:t>年</w:t>
            </w:r>
            <w:r>
              <w:rPr>
                <w:rFonts w:eastAsia="標楷體" w:cs="新細明體;PMingLiU" w:ascii="標楷體" w:hAnsi="標楷體"/>
              </w:rPr>
              <w:t>04</w:t>
            </w:r>
            <w:r>
              <w:rPr>
                <w:rFonts w:ascii="標楷體" w:hAnsi="標楷體" w:cs="新細明體;PMingLiU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ascii="標楷體" w:hAnsi="標楷體" w:cs="新細明體;PMingLiU" w:eastAsia="標楷體"/>
              </w:rPr>
              <w:t>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ascii="標楷體" w:hAnsi="標楷體" w:cs="標楷體" w:eastAsia="標楷體"/>
          <w:sz w:val="28"/>
          <w:u w:val="single"/>
        </w:rPr>
        <w:t>肺容積測量技術</w:t>
      </w:r>
      <w:r>
        <w:rPr>
          <w:rFonts w:ascii="標楷體" w:hAnsi="標楷體" w:cs="標楷體" w:eastAsia="標楷體"/>
          <w:sz w:val="28"/>
          <w:u w:val="single"/>
        </w:rPr>
        <w:t>標準</w:t>
      </w:r>
      <w:r>
        <w:rPr>
          <w:rFonts w:ascii="標楷體" w:hAnsi="標楷體" w:cs="標楷體" w:eastAsia="標楷體"/>
          <w:sz w:val="28"/>
          <w:u w:val="single"/>
        </w:rPr>
        <w:t>作業規範</w:t>
      </w:r>
      <w:r>
        <w:rPr>
          <w:rFonts w:eastAsia="標楷體" w:cs="標楷體" w:ascii="標楷體" w:hAnsi="標楷體"/>
          <w:sz w:val="28"/>
          <w:u w:val="single"/>
        </w:rPr>
        <w:t>(</w:t>
      </w:r>
      <w:r>
        <w:rPr>
          <w:rFonts w:ascii="標楷體" w:hAnsi="標楷體" w:cs="標楷體" w:eastAsia="標楷體"/>
          <w:sz w:val="28"/>
          <w:u w:val="single"/>
        </w:rPr>
        <w:t>二</w:t>
      </w:r>
      <w:r>
        <w:rPr>
          <w:rFonts w:eastAsia="標楷體" w:cs="標楷體" w:ascii="標楷體" w:hAnsi="標楷體"/>
          <w:sz w:val="28"/>
          <w:u w:val="single"/>
        </w:rPr>
        <w:t>)</w:t>
      </w:r>
    </w:p>
    <w:p>
      <w:pPr>
        <w:pStyle w:val="Normal"/>
        <w:spacing w:lineRule="exact" w:line="320"/>
        <w:jc w:val="right"/>
        <w:rPr>
          <w:rFonts w:ascii="標楷體" w:hAnsi="標楷體" w:eastAsia="標楷體" w:cs="標楷體"/>
          <w:color w:val="FF0000"/>
        </w:rPr>
      </w:pPr>
      <w:r>
        <w:rPr>
          <w:rFonts w:ascii="標楷體" w:hAnsi="標楷體" w:cs="標楷體" w:eastAsia="標楷體"/>
        </w:rPr>
        <w:t>編號：</w:t>
      </w:r>
      <w:r>
        <w:rPr>
          <w:rFonts w:eastAsia="標楷體" w:cs="標楷體" w:ascii="標楷體" w:hAnsi="標楷體"/>
        </w:rPr>
        <w:t>A</w:t>
      </w:r>
      <w:r>
        <w:rPr>
          <w:rFonts w:eastAsia="標楷體" w:cs="標楷體" w:ascii="標楷體" w:hAnsi="標楷體"/>
        </w:rPr>
        <w:t>UNW00/</w:t>
      </w:r>
      <w:r>
        <w:rPr>
          <w:rFonts w:eastAsia="標楷體" w:cs="標楷體" w:ascii="標楷體" w:hAnsi="標楷體"/>
          <w:color w:val="000000"/>
        </w:rPr>
        <w:t>AUPW00-A045</w:t>
      </w:r>
    </w:p>
    <w:p>
      <w:pPr>
        <w:pStyle w:val="Normal"/>
        <w:spacing w:lineRule="exact" w:line="320"/>
        <w:rPr>
          <w:rFonts w:ascii="標楷體" w:hAnsi="標楷體" w:eastAsia="標楷體" w:cs="標楷體"/>
          <w:b/>
          <w:b/>
        </w:rPr>
      </w:pPr>
      <w:r>
        <w:rPr>
          <w:rFonts w:ascii="標楷體" w:hAnsi="標楷體" w:cs="標楷體" w:eastAsia="標楷體"/>
          <w:b/>
        </w:rPr>
        <w:t>總數：</w:t>
      </w:r>
      <w:r>
        <w:rPr>
          <w:rFonts w:eastAsia="標楷體" w:cs="標楷體" w:ascii="標楷體" w:hAnsi="標楷體"/>
          <w:b/>
        </w:rPr>
        <w:t xml:space="preserve">6                                                                                            </w:t>
      </w:r>
      <w:r>
        <w:rPr>
          <w:rFonts w:ascii="標楷體" w:hAnsi="標楷體" w:cs="標楷體" w:eastAsia="標楷體"/>
          <w:b/>
        </w:rPr>
        <w:t>頁數：</w:t>
      </w:r>
      <w:r>
        <w:rPr>
          <w:rFonts w:eastAsia="標楷體" w:cs="標楷體" w:ascii="標楷體" w:hAnsi="標楷體"/>
          <w:b/>
        </w:rPr>
        <w:t>6-4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8"/>
        <w:gridCol w:w="6300"/>
        <w:gridCol w:w="2880"/>
        <w:gridCol w:w="4455"/>
      </w:tblGrid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項次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操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作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說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明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或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作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業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流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程</w:t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注    意    事    項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貳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 w:before="180" w:after="0"/>
              <w:rPr>
                <w:rFonts w:ascii="標楷體" w:hAnsi="標楷體" w:eastAsia="標楷體" w:cs="標楷體"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sz w:val="16"/>
                <w:szCs w:val="16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叁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ind w:left="454" w:hanging="480"/>
              <w:rPr>
                <w:rFonts w:ascii="標楷體" w:hAnsi="標楷體" w:eastAsia="標楷體" w:cs="標楷體"/>
                <w:b/>
                <w:b/>
                <w:bCs/>
                <w:u w:val="single"/>
              </w:rPr>
            </w:pPr>
            <w:r>
              <w:rPr>
                <w:rFonts w:eastAsia="標楷體" w:cs="標楷體" w:ascii="標楷體" w:hAnsi="標楷體"/>
              </w:rPr>
              <w:t>V.C</w:t>
            </w:r>
            <w:r>
              <w:rPr>
                <w:rFonts w:ascii="標楷體" w:hAnsi="標楷體" w:cs="標楷體" w:eastAsia="標楷體"/>
              </w:rPr>
              <w:t>測量步驟</w:t>
            </w:r>
            <w:r>
              <w:rPr>
                <w:rFonts w:ascii="標楷體" w:hAnsi="標楷體" w:cs="標楷體" w:eastAsia="標楷體"/>
                <w:bCs/>
              </w:rPr>
              <w:t>：</w:t>
            </w:r>
          </w:p>
          <w:p>
            <w:pPr>
              <w:pStyle w:val="Normal"/>
              <w:numPr>
                <w:ilvl w:val="0"/>
                <w:numId w:val="20"/>
              </w:numPr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請病人站立或</w:t>
            </w:r>
            <w:r>
              <w:rPr>
                <w:rFonts w:ascii="標楷體" w:hAnsi="標楷體" w:cs="標楷體" w:eastAsia="標楷體"/>
              </w:rPr>
              <w:t>採坐姿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20"/>
              </w:numPr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請病人盡量用力吸飽氣。</w:t>
            </w:r>
          </w:p>
          <w:p>
            <w:pPr>
              <w:pStyle w:val="Normal"/>
              <w:numPr>
                <w:ilvl w:val="0"/>
                <w:numId w:val="20"/>
              </w:numPr>
              <w:ind w:left="907" w:hanging="480"/>
              <w:rPr/>
            </w:pPr>
            <w:r>
              <w:rPr>
                <w:rFonts w:ascii="標楷體" w:hAnsi="標楷體" w:cs="標楷體" w:eastAsia="標楷體"/>
              </w:rPr>
              <w:t>吸到不能吸時，</w:t>
            </w:r>
            <w:r>
              <w:rPr>
                <w:rFonts w:ascii="標楷體" w:hAnsi="標楷體" w:cs="標楷體" w:eastAsia="標楷體"/>
              </w:rPr>
              <w:t>含住</w:t>
            </w:r>
            <w:r>
              <w:rPr>
                <w:rFonts w:eastAsia="標楷體" w:cs="標楷體" w:ascii="標楷體" w:hAnsi="標楷體"/>
              </w:rPr>
              <w:t>Mouthpiece</w:t>
            </w:r>
            <w:r>
              <w:rPr>
                <w:rFonts w:ascii="標楷體" w:hAnsi="標楷體" w:cs="標楷體" w:eastAsia="標楷體"/>
                <w:color w:val="000000"/>
              </w:rPr>
              <w:t>或適合的介面</w:t>
            </w:r>
            <w:r>
              <w:rPr>
                <w:rFonts w:ascii="標楷體" w:hAnsi="標楷體" w:cs="標楷體" w:eastAsia="標楷體"/>
              </w:rPr>
              <w:t>，把氣</w:t>
            </w:r>
            <w:r>
              <w:rPr>
                <w:rFonts w:ascii="標楷體" w:hAnsi="標楷體" w:cs="標楷體" w:eastAsia="標楷體"/>
                <w:u w:val="single"/>
              </w:rPr>
              <w:t>緩慢</w:t>
            </w:r>
            <w:r>
              <w:rPr>
                <w:rFonts w:ascii="標楷體" w:hAnsi="標楷體" w:cs="標楷體" w:eastAsia="標楷體"/>
              </w:rPr>
              <w:t>吐光，過程中鼓勵病患『繼續吐！繼續吐！』。</w:t>
            </w:r>
          </w:p>
          <w:p>
            <w:pPr>
              <w:pStyle w:val="Normal"/>
              <w:numPr>
                <w:ilvl w:val="0"/>
                <w:numId w:val="20"/>
              </w:numPr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吐氣末將儀器</w:t>
            </w:r>
            <w:r>
              <w:rPr>
                <w:rFonts w:eastAsia="標楷體" w:cs="標楷體" w:ascii="標楷體" w:hAnsi="標楷體"/>
              </w:rPr>
              <w:t>off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20"/>
              </w:numPr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記錄</w:t>
            </w:r>
            <w:r>
              <w:rPr>
                <w:rFonts w:eastAsia="標楷體" w:cs="標楷體" w:ascii="標楷體" w:hAnsi="標楷體"/>
              </w:rPr>
              <w:t>V.C</w:t>
            </w:r>
            <w:r>
              <w:rPr>
                <w:rFonts w:ascii="標楷體" w:hAnsi="標楷體" w:cs="標楷體" w:eastAsia="標楷體"/>
              </w:rPr>
              <w:t>數值。</w:t>
            </w:r>
          </w:p>
          <w:p>
            <w:pPr>
              <w:pStyle w:val="Normal"/>
              <w:numPr>
                <w:ilvl w:val="0"/>
                <w:numId w:val="20"/>
              </w:numPr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測量三次，</w:t>
            </w:r>
            <w:r>
              <w:rPr>
                <w:rFonts w:ascii="標楷體" w:hAnsi="標楷體" w:cs="標楷體" w:eastAsia="標楷體"/>
              </w:rPr>
              <w:t>紀錄三次中最佳的值。</w:t>
            </w:r>
          </w:p>
          <w:p>
            <w:pPr>
              <w:pStyle w:val="Normal"/>
              <w:ind w:first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於肺復原紀錄頁面，輸入體重及測量所得數值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872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執行後</w:t>
            </w:r>
          </w:p>
          <w:p>
            <w:pPr>
              <w:pStyle w:val="Normal"/>
              <w:spacing w:lineRule="exact" w:line="320"/>
              <w:ind w:left="480" w:right="113" w:hanging="48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一、在職務與專業範疇內協助主治醫師進行</w:t>
            </w:r>
            <w:r>
              <w:rPr>
                <w:rFonts w:ascii="標楷體" w:hAnsi="標楷體" w:cs="標楷體" w:eastAsia="標楷體"/>
                <w:color w:val="000000"/>
              </w:rPr>
              <w:t>檢查檢驗結果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說明與解釋。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二、清潔與消毒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eastAsia="標楷體" w:cs="標楷體" w:ascii="標楷體" w:hAnsi="標楷體"/>
              </w:rPr>
              <w:t xml:space="preserve"> 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　　</w:t>
            </w:r>
            <w:r>
              <w:rPr>
                <w:rFonts w:eastAsia="標楷體" w:cs="標楷體" w:ascii="標楷體" w:hAnsi="標楷體"/>
              </w:rPr>
              <w:t>H</w:t>
            </w:r>
            <w:r>
              <w:rPr>
                <w:rFonts w:eastAsia="標楷體" w:cs="標楷體" w:ascii="標楷體" w:hAnsi="標楷體"/>
              </w:rPr>
              <w:t>aloscale:</w:t>
            </w:r>
            <w:r>
              <w:rPr>
                <w:rFonts w:ascii="標楷體" w:hAnsi="標楷體" w:cs="標楷體" w:eastAsia="標楷體"/>
              </w:rPr>
              <w:t>使用</w:t>
            </w:r>
            <w:r>
              <w:rPr>
                <w:rFonts w:eastAsia="標楷體" w:cs="標楷體" w:ascii="標楷體" w:hAnsi="標楷體"/>
              </w:rPr>
              <w:t>75%</w:t>
            </w:r>
            <w:r>
              <w:rPr>
                <w:rFonts w:ascii="標楷體" w:hAnsi="標楷體" w:cs="標楷體" w:eastAsia="標楷體"/>
              </w:rPr>
              <w:t>酒精擦拭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勿施以高壓消毒。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三、正確記錄檢查結果。</w:t>
            </w:r>
          </w:p>
          <w:p>
            <w:pPr>
              <w:pStyle w:val="Normal"/>
              <w:ind w:left="480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四、洗手。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0" distT="0" distB="0" distL="114935" distR="114935" simplePos="0" locked="0" layoutInCell="0" allowOverlap="1" relativeHeight="2">
                  <wp:simplePos x="0" y="0"/>
                  <wp:positionH relativeFrom="margin">
                    <wp:posOffset>99695</wp:posOffset>
                  </wp:positionH>
                  <wp:positionV relativeFrom="paragraph">
                    <wp:posOffset>40005</wp:posOffset>
                  </wp:positionV>
                  <wp:extent cx="3768725" cy="1256030"/>
                  <wp:effectExtent l="0" t="0" r="0" b="0"/>
                  <wp:wrapNone/>
                  <wp:docPr id="9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12" t="-35" r="-12" b="-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8725" cy="125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ind w:left="39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測量時</w:t>
            </w:r>
            <w:r>
              <w:rPr>
                <w:rFonts w:ascii="標楷體" w:hAnsi="標楷體" w:cs="標楷體" w:eastAsia="標楷體"/>
              </w:rPr>
              <w:t>，要注意</w:t>
            </w:r>
            <w:r>
              <w:rPr>
                <w:rFonts w:ascii="標楷體" w:hAnsi="標楷體" w:cs="標楷體" w:eastAsia="標楷體"/>
              </w:rPr>
              <w:t>病人</w:t>
            </w:r>
            <w:r>
              <w:rPr>
                <w:rFonts w:ascii="標楷體" w:hAnsi="標楷體" w:cs="標楷體" w:eastAsia="標楷體"/>
              </w:rPr>
              <w:t>嘴和</w:t>
            </w:r>
            <w:r>
              <w:rPr>
                <w:rFonts w:eastAsia="標楷體" w:cs="標楷體" w:ascii="標楷體" w:hAnsi="標楷體"/>
              </w:rPr>
              <w:t>Mouthpiece</w:t>
            </w:r>
            <w:r>
              <w:rPr>
                <w:rFonts w:ascii="標楷體" w:hAnsi="標楷體" w:cs="標楷體" w:eastAsia="標楷體"/>
              </w:rPr>
              <w:t>連接部分，不能有</w:t>
            </w:r>
          </w:p>
          <w:p>
            <w:pPr>
              <w:pStyle w:val="Normal"/>
              <w:spacing w:lineRule="exact" w:line="320"/>
              <w:ind w:left="39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漏氣。</w:t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ind w:left="39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若病人無法含緊咬嘴或有人工氣道者，可將介面改成</w:t>
            </w:r>
            <w:r>
              <w:rPr>
                <w:rFonts w:ascii="標楷體" w:hAnsi="標楷體" w:cs="標楷體" w:eastAsia="標楷體"/>
                <w:color w:val="000000"/>
              </w:rPr>
              <w:t>充氣式面罩或</w:t>
            </w:r>
            <w:r>
              <w:rPr>
                <w:rFonts w:eastAsia="標楷體" w:cs="標楷體" w:ascii="標楷體" w:hAnsi="標楷體"/>
                <w:color w:val="000000"/>
              </w:rPr>
              <w:t>1233</w:t>
            </w:r>
            <w:r>
              <w:rPr>
                <w:rFonts w:ascii="標楷體" w:hAnsi="標楷體" w:cs="標楷體" w:eastAsia="標楷體"/>
                <w:color w:val="000000"/>
              </w:rPr>
              <w:t>，執行步驟同前。</w:t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ind w:left="39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重要的是盡量使</w:t>
            </w:r>
            <w:r>
              <w:rPr>
                <w:rFonts w:ascii="標楷體" w:hAnsi="標楷體" w:cs="標楷體" w:eastAsia="標楷體"/>
              </w:rPr>
              <w:t>病人</w:t>
            </w:r>
            <w:r>
              <w:rPr>
                <w:rFonts w:ascii="標楷體" w:hAnsi="標楷體" w:cs="標楷體" w:eastAsia="標楷體"/>
              </w:rPr>
              <w:t>將氣吐出，而吐出的速度不要快，按</w:t>
            </w:r>
          </w:p>
          <w:p>
            <w:pPr>
              <w:pStyle w:val="Normal"/>
              <w:spacing w:lineRule="exact" w:line="320"/>
              <w:ind w:left="39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一般的速度吐氣。</w:t>
            </w:r>
          </w:p>
          <w:p>
            <w:pPr>
              <w:pStyle w:val="Normal"/>
              <w:spacing w:lineRule="exact" w:line="320" w:before="180" w:after="0"/>
              <w:ind w:left="397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病人有權詢問並得知關於檢查檢驗結果、治療方針。</w:t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  <w:bCs/>
              </w:rPr>
            </w:pPr>
            <w:r>
              <w:rPr>
                <w:rFonts w:ascii="標楷體" w:hAnsi="標楷體" w:cs="標楷體" w:eastAsia="標楷體"/>
                <w:bCs/>
              </w:rPr>
              <w:t>肺量計</w:t>
            </w:r>
            <w:r>
              <w:rPr>
                <w:rFonts w:eastAsia="標楷體" w:cs="標楷體" w:ascii="標楷體" w:hAnsi="標楷體"/>
                <w:bCs/>
              </w:rPr>
              <w:t>(Haloscale )-</w:t>
            </w:r>
            <w:r>
              <w:rPr>
                <w:rFonts w:ascii="標楷體" w:hAnsi="標楷體" w:cs="標楷體" w:eastAsia="標楷體"/>
                <w:bCs/>
              </w:rPr>
              <w:t>保養維修</w:t>
            </w:r>
          </w:p>
          <w:p>
            <w:pPr>
              <w:pStyle w:val="Normal"/>
              <w:numPr>
                <w:ilvl w:val="0"/>
                <w:numId w:val="22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不可撞擊、摔落。</w:t>
            </w:r>
          </w:p>
          <w:p>
            <w:pPr>
              <w:pStyle w:val="Normal"/>
              <w:numPr>
                <w:ilvl w:val="0"/>
                <w:numId w:val="22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受摩擦力或凝結水滴影響。</w:t>
            </w:r>
          </w:p>
          <w:p>
            <w:pPr>
              <w:pStyle w:val="Normal"/>
              <w:numPr>
                <w:ilvl w:val="0"/>
                <w:numId w:val="22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勿使用高流量氣體沖。</w:t>
            </w:r>
          </w:p>
          <w:p>
            <w:pPr>
              <w:pStyle w:val="Normal"/>
              <w:numPr>
                <w:ilvl w:val="0"/>
                <w:numId w:val="22"/>
              </w:numPr>
              <w:spacing w:lineRule="exact" w:line="320"/>
              <w:ind w:left="907" w:hanging="480"/>
              <w:rPr/>
            </w:pPr>
            <w:r>
              <w:rPr>
                <w:rFonts w:ascii="標楷體" w:hAnsi="標楷體" w:cs="標楷體" w:eastAsia="標楷體"/>
              </w:rPr>
              <w:t>正常使用不須保養、上油、校正，切勿塗抹具溶解力的液體於</w:t>
            </w:r>
            <w:r>
              <w:rPr>
                <w:rFonts w:ascii="標楷體" w:hAnsi="標楷體" w:cs="標楷體" w:eastAsia="標楷體"/>
                <w:bCs/>
              </w:rPr>
              <w:t>肺量計</w:t>
            </w:r>
            <w:r>
              <w:rPr>
                <w:rFonts w:ascii="標楷體" w:hAnsi="標楷體" w:cs="標楷體" w:eastAsia="標楷體"/>
              </w:rPr>
              <w:t>上。</w:t>
            </w:r>
          </w:p>
          <w:p>
            <w:pPr>
              <w:pStyle w:val="Normal"/>
              <w:numPr>
                <w:ilvl w:val="0"/>
                <w:numId w:val="22"/>
              </w:numPr>
              <w:spacing w:lineRule="exact" w:line="320"/>
              <w:ind w:left="907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內部清潔須交由廠商清潔。</w:t>
            </w:r>
          </w:p>
        </w:tc>
      </w:tr>
      <w:tr>
        <w:trPr/>
        <w:tc>
          <w:tcPr>
            <w:tcW w:w="68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新細明體;PMingLiU" w:eastAsia="標楷體"/>
              </w:rPr>
              <w:t>修訂日期：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新細明體;PMingLiU" w:eastAsia="標楷體"/>
              </w:rPr>
              <w:t>年</w:t>
            </w:r>
            <w:r>
              <w:rPr>
                <w:rFonts w:eastAsia="標楷體" w:cs="新細明體;PMingLiU" w:ascii="標楷體" w:hAnsi="標楷體"/>
              </w:rPr>
              <w:t>04</w:t>
            </w:r>
            <w:r>
              <w:rPr>
                <w:rFonts w:ascii="標楷體" w:hAnsi="標楷體" w:cs="新細明體;PMingLiU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ascii="標楷體" w:hAnsi="標楷體" w:cs="新細明體;PMingLiU" w:eastAsia="標楷體"/>
              </w:rPr>
              <w:t>修訂</w:t>
            </w:r>
          </w:p>
        </w:tc>
      </w:tr>
    </w:tbl>
    <w:p>
      <w:pPr>
        <w:pStyle w:val="Normal"/>
        <w:spacing w:lineRule="exact" w:line="320" w:before="240" w:after="120"/>
        <w:jc w:val="center"/>
        <w:rPr/>
      </w:pPr>
      <w:r>
        <w:rPr>
          <w:rFonts w:ascii="標楷體" w:hAnsi="標楷體" w:cs="標楷體" w:eastAsia="標楷體"/>
          <w:sz w:val="28"/>
          <w:u w:val="single"/>
        </w:rPr>
        <w:t>肺容積測量技術</w:t>
      </w:r>
      <w:r>
        <w:rPr>
          <w:rFonts w:ascii="標楷體" w:hAnsi="標楷體" w:cs="標楷體" w:eastAsia="標楷體"/>
          <w:sz w:val="28"/>
          <w:u w:val="single"/>
        </w:rPr>
        <w:t>標準</w:t>
      </w:r>
      <w:r>
        <w:rPr>
          <w:rFonts w:ascii="標楷體" w:hAnsi="標楷體" w:cs="標楷體" w:eastAsia="標楷體"/>
          <w:sz w:val="28"/>
          <w:u w:val="single"/>
        </w:rPr>
        <w:t>作業規範</w:t>
      </w:r>
      <w:r>
        <w:rPr>
          <w:rFonts w:eastAsia="標楷體" w:cs="標楷體" w:ascii="標楷體" w:hAnsi="標楷體"/>
          <w:sz w:val="28"/>
          <w:u w:val="single"/>
        </w:rPr>
        <w:t>(</w:t>
      </w:r>
      <w:r>
        <w:rPr>
          <w:rFonts w:ascii="標楷體" w:hAnsi="標楷體" w:cs="標楷體" w:eastAsia="標楷體"/>
          <w:sz w:val="28"/>
          <w:u w:val="single"/>
        </w:rPr>
        <w:t>三</w:t>
      </w:r>
      <w:r>
        <w:rPr>
          <w:rFonts w:eastAsia="標楷體" w:cs="標楷體" w:ascii="標楷體" w:hAnsi="標楷體"/>
          <w:sz w:val="28"/>
          <w:u w:val="single"/>
        </w:rPr>
        <w:t>)</w:t>
      </w:r>
    </w:p>
    <w:p>
      <w:pPr>
        <w:pStyle w:val="Normal"/>
        <w:spacing w:lineRule="exact" w:line="320"/>
        <w:ind w:firstLine="9360"/>
        <w:jc w:val="right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編號：</w:t>
      </w:r>
      <w:r>
        <w:rPr>
          <w:rFonts w:eastAsia="標楷體" w:cs="標楷體" w:ascii="標楷體" w:hAnsi="標楷體"/>
        </w:rPr>
        <w:t>A</w:t>
      </w:r>
      <w:r>
        <w:rPr>
          <w:rFonts w:eastAsia="標楷體" w:cs="標楷體" w:ascii="標楷體" w:hAnsi="標楷體"/>
        </w:rPr>
        <w:t>UNW00/</w:t>
      </w:r>
      <w:r>
        <w:rPr>
          <w:rFonts w:eastAsia="標楷體" w:cs="標楷體" w:ascii="標楷體" w:hAnsi="標楷體"/>
          <w:color w:val="000000"/>
        </w:rPr>
        <w:t>AUPW00-A045</w:t>
      </w:r>
    </w:p>
    <w:p>
      <w:pPr>
        <w:pStyle w:val="Normal"/>
        <w:spacing w:lineRule="exact" w:line="320"/>
        <w:rPr>
          <w:rFonts w:ascii="標楷體" w:hAnsi="標楷體" w:eastAsia="標楷體" w:cs="標楷體"/>
          <w:b/>
          <w:b/>
        </w:rPr>
      </w:pPr>
      <w:r>
        <w:rPr>
          <w:rFonts w:ascii="標楷體" w:hAnsi="標楷體" w:cs="標楷體" w:eastAsia="標楷體"/>
          <w:b/>
        </w:rPr>
        <w:t>總頁數：</w:t>
      </w:r>
      <w:r>
        <w:rPr>
          <w:rFonts w:eastAsia="標楷體" w:cs="標楷體" w:ascii="標楷體" w:hAnsi="標楷體"/>
          <w:b/>
        </w:rPr>
        <w:t xml:space="preserve">6                                                                                          </w:t>
      </w:r>
      <w:r>
        <w:rPr>
          <w:rFonts w:ascii="標楷體" w:hAnsi="標楷體" w:cs="標楷體" w:eastAsia="標楷體"/>
          <w:b/>
        </w:rPr>
        <w:t>頁數：</w:t>
      </w:r>
      <w:r>
        <w:rPr>
          <w:rFonts w:eastAsia="標楷體" w:cs="標楷體" w:ascii="標楷體" w:hAnsi="標楷體"/>
          <w:b/>
        </w:rPr>
        <w:t>6-5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680"/>
        <w:gridCol w:w="2700"/>
        <w:gridCol w:w="4134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異  常  狀  況   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發  生  原  因</w:t>
            </w:r>
          </w:p>
        </w:tc>
        <w:tc>
          <w:tcPr>
            <w:tcW w:w="6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處   理   對   策</w:t>
            </w:r>
          </w:p>
        </w:tc>
      </w:tr>
      <w:tr>
        <w:trPr>
          <w:trHeight w:val="3959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Cs/>
              </w:rPr>
              <w:t>肺量計</w:t>
            </w:r>
            <w:r>
              <w:rPr>
                <w:rFonts w:ascii="標楷體" w:hAnsi="標楷體" w:cs="標楷體" w:eastAsia="標楷體"/>
              </w:rPr>
              <w:t>指針無法移動順暢，指針無法歸零。</w:t>
            </w:r>
          </w:p>
          <w:p>
            <w:pPr>
              <w:pStyle w:val="Normal"/>
              <w:spacing w:lineRule="exact" w:line="320"/>
              <w:ind w:left="480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測量值不準確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Cs/>
              </w:rPr>
              <w:t>肺量計</w:t>
            </w:r>
            <w:r>
              <w:rPr>
                <w:rFonts w:ascii="標楷體" w:hAnsi="標楷體" w:cs="標楷體" w:eastAsia="標楷體"/>
              </w:rPr>
              <w:t>測量儀器遭外力撞擊。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嘴巴未完全密合或教導技術問題。</w:t>
            </w:r>
          </w:p>
        </w:tc>
        <w:tc>
          <w:tcPr>
            <w:tcW w:w="6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9"/>
              </w:numPr>
              <w:spacing w:lineRule="exact" w:line="320"/>
              <w:ind w:left="454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儀器課請修，重新調整歸零。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ind w:left="454" w:hanging="480"/>
              <w:rPr/>
            </w:pPr>
            <w:r>
              <w:rPr>
                <w:rFonts w:ascii="標楷體" w:hAnsi="標楷體" w:cs="標楷體" w:eastAsia="標楷體"/>
              </w:rPr>
              <w:t>提醒病人嘴巴需閉緊；若為疾病問題，需在記錄說明病人無法配合檢查。</w:t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45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新細明體;PMingLiU" w:eastAsia="標楷體"/>
              </w:rPr>
              <w:t>修訂日期：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新細明體;PMingLiU" w:eastAsia="標楷體"/>
              </w:rPr>
              <w:t>年</w:t>
            </w:r>
            <w:r>
              <w:rPr>
                <w:rFonts w:eastAsia="標楷體" w:cs="新細明體;PMingLiU" w:ascii="標楷體" w:hAnsi="標楷體"/>
              </w:rPr>
              <w:t>04</w:t>
            </w:r>
            <w:r>
              <w:rPr>
                <w:rFonts w:ascii="標楷體" w:hAnsi="標楷體" w:cs="新細明體;PMingLiU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ascii="標楷體" w:hAnsi="標楷體" w:cs="新細明體;PMingLiU" w:eastAsia="標楷體"/>
              </w:rPr>
              <w:t>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ascii="標楷體" w:hAnsi="標楷體" w:cs="標楷體" w:eastAsia="標楷體"/>
          <w:sz w:val="28"/>
          <w:u w:val="single"/>
        </w:rPr>
        <w:t>肺容積測量技術</w:t>
      </w:r>
      <w:r>
        <w:rPr>
          <w:rFonts w:ascii="標楷體" w:hAnsi="標楷體" w:cs="標楷體" w:eastAsia="標楷體"/>
          <w:sz w:val="28"/>
          <w:u w:val="single"/>
        </w:rPr>
        <w:t>標準</w:t>
      </w:r>
      <w:r>
        <w:rPr>
          <w:rFonts w:ascii="標楷體" w:hAnsi="標楷體" w:cs="標楷體" w:eastAsia="標楷體"/>
          <w:sz w:val="28"/>
          <w:u w:val="single"/>
        </w:rPr>
        <w:t>作業規範</w:t>
      </w:r>
      <w:r>
        <w:rPr>
          <w:rFonts w:eastAsia="標楷體" w:cs="標楷體" w:ascii="標楷體" w:hAnsi="標楷體"/>
          <w:sz w:val="28"/>
          <w:u w:val="single"/>
        </w:rPr>
        <w:t>(</w:t>
      </w:r>
      <w:r>
        <w:rPr>
          <w:rFonts w:ascii="標楷體" w:hAnsi="標楷體" w:cs="標楷體" w:eastAsia="標楷體"/>
          <w:sz w:val="28"/>
          <w:u w:val="single"/>
        </w:rPr>
        <w:t>四</w:t>
      </w:r>
      <w:r>
        <w:rPr>
          <w:rFonts w:eastAsia="標楷體" w:cs="標楷體" w:ascii="標楷體" w:hAnsi="標楷體"/>
          <w:sz w:val="28"/>
          <w:u w:val="single"/>
        </w:rPr>
        <w:t>)</w:t>
      </w:r>
    </w:p>
    <w:p>
      <w:pPr>
        <w:pStyle w:val="Normal"/>
        <w:spacing w:lineRule="exact" w:line="320"/>
        <w:ind w:right="120" w:hanging="0"/>
        <w:jc w:val="right"/>
        <w:rPr>
          <w:rFonts w:ascii="標楷體" w:hAnsi="標楷體" w:eastAsia="標楷體" w:cs="標楷體"/>
          <w:color w:val="000000"/>
        </w:rPr>
      </w:pPr>
      <w:r>
        <w:rPr>
          <w:rFonts w:ascii="標楷體" w:hAnsi="標楷體" w:cs="標楷體" w:eastAsia="標楷體"/>
          <w:color w:val="000000"/>
        </w:rPr>
        <w:t>編號：</w:t>
      </w:r>
      <w:r>
        <w:rPr>
          <w:rFonts w:eastAsia="標楷體" w:cs="標楷體" w:ascii="標楷體" w:hAnsi="標楷體"/>
          <w:color w:val="000000"/>
        </w:rPr>
        <w:t>A</w:t>
      </w:r>
      <w:r>
        <w:rPr>
          <w:rFonts w:eastAsia="標楷體" w:cs="標楷體" w:ascii="標楷體" w:hAnsi="標楷體"/>
          <w:color w:val="000000"/>
        </w:rPr>
        <w:t>UNW00/AUPW00-A045</w:t>
      </w:r>
    </w:p>
    <w:tbl>
      <w:tblPr>
        <w:tblW w:w="1405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4061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附錄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圖片說明或參考文獻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Aicheading"/>
              <w:numPr>
                <w:ilvl w:val="0"/>
                <w:numId w:val="13"/>
              </w:numPr>
              <w:spacing w:lineRule="exact" w:line="320" w:before="280" w:after="0"/>
              <w:rPr/>
            </w:pPr>
            <w:r>
              <w:rPr>
                <w:rFonts w:ascii="標楷體" w:hAnsi="標楷體" w:cs="Times New Roman" w:eastAsia="標楷體"/>
                <w:sz w:val="24"/>
                <w:szCs w:val="24"/>
              </w:rPr>
              <w:t>黃卓禕（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2005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）。插管病人呼吸器脫離之生理指標預測。</w:t>
            </w:r>
            <w:r>
              <w:rPr>
                <w:rFonts w:ascii="標楷體" w:hAnsi="標楷體" w:cs="Times New Roman" w:eastAsia="標楷體"/>
                <w:i/>
                <w:iCs/>
                <w:sz w:val="24"/>
                <w:szCs w:val="24"/>
              </w:rPr>
              <w:t>呼吸治療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，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16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（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1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），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90-95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。</w:t>
            </w:r>
          </w:p>
          <w:p>
            <w:pPr>
              <w:pStyle w:val="Aicheading"/>
              <w:numPr>
                <w:ilvl w:val="0"/>
                <w:numId w:val="13"/>
              </w:numPr>
              <w:spacing w:lineRule="exact" w:line="320" w:before="0" w:after="280"/>
              <w:rPr/>
            </w:pPr>
            <w:r>
              <w:rPr>
                <w:rFonts w:eastAsia="標楷體" w:cs="Times New Roman" w:ascii="標楷體" w:hAnsi="標楷體"/>
                <w:sz w:val="24"/>
                <w:szCs w:val="24"/>
                <w:lang w:val="de-DE"/>
              </w:rPr>
              <w:t xml:space="preserve">Robert L. Wilkins, James K. Stoller, Robert M. Kacmarek . </w:t>
            </w:r>
            <w:r>
              <w:rPr>
                <w:rFonts w:eastAsia="標楷體" w:cs="Times New Roman" w:ascii="標楷體" w:hAnsi="標楷體"/>
                <w:i/>
                <w:iCs/>
                <w:sz w:val="24"/>
                <w:szCs w:val="24"/>
              </w:rPr>
              <w:t>Egan's Fundamentals of Respiratory Care, 9th Edition.20</w:t>
            </w:r>
            <w:r>
              <w:rPr>
                <w:rFonts w:eastAsia="標楷體" w:cs="Times New Roman" w:ascii="標楷體" w:hAnsi="標楷體"/>
                <w:i/>
                <w:iCs/>
                <w:sz w:val="24"/>
                <w:szCs w:val="24"/>
              </w:rPr>
              <w:t>13</w:t>
            </w:r>
            <w:r>
              <w:rPr>
                <w:rFonts w:ascii="標楷體" w:hAnsi="標楷體" w:cs="Times New Roman" w:eastAsia="標楷體"/>
                <w:i/>
                <w:iCs/>
                <w:sz w:val="24"/>
                <w:szCs w:val="24"/>
              </w:rPr>
              <w:t>。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.</w:t>
            </w:r>
          </w:p>
          <w:p>
            <w:pPr>
              <w:pStyle w:val="Aicheading"/>
              <w:numPr>
                <w:ilvl w:val="0"/>
                <w:numId w:val="13"/>
              </w:numPr>
              <w:spacing w:lineRule="exact" w:line="320" w:before="0" w:after="280"/>
              <w:rPr>
                <w:rFonts w:ascii="標楷體" w:hAnsi="標楷體" w:eastAsia="標楷體" w:cs="Times New Roman"/>
                <w:sz w:val="24"/>
                <w:szCs w:val="24"/>
              </w:rPr>
            </w:pPr>
            <w:r>
              <w:rPr>
                <w:rFonts w:eastAsia="標楷體" w:cs="Times New Roman" w:ascii="標楷體" w:hAnsi="標楷體"/>
                <w:sz w:val="24"/>
                <w:szCs w:val="24"/>
              </w:rPr>
              <w:t>Susan P.Pilbeam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，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J.M.Cairo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（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2006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）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.Mechanical Ventilation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（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4 th ed.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）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St.Louis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，</w:t>
            </w:r>
            <w:r>
              <w:rPr>
                <w:rFonts w:eastAsia="標楷體" w:cs="Times New Roman" w:ascii="標楷體" w:hAnsi="標楷體"/>
                <w:sz w:val="24"/>
                <w:szCs w:val="24"/>
              </w:rPr>
              <w:t>Missouri: Mosby</w:t>
            </w:r>
            <w:r>
              <w:rPr>
                <w:rFonts w:ascii="標楷體" w:hAnsi="標楷體" w:cs="Times New Roman" w:eastAsia="標楷體"/>
                <w:sz w:val="24"/>
                <w:szCs w:val="24"/>
              </w:rPr>
              <w:t>。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  <w:t>Sandra K. Hanneman, RN, PhD</w:t>
            </w:r>
            <w:r>
              <w:rPr>
                <w:rFonts w:eastAsia="標楷體" w:cs="標楷體" w:ascii="標楷體" w:hAnsi="標楷體"/>
                <w:i/>
                <w:iCs/>
                <w:color w:val="000000"/>
                <w:kern w:val="0"/>
              </w:rPr>
              <w:t xml:space="preserve">. Protocols for Practice Weaning From Short-term  Mechanical Ventilation. 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t>Critical Care Nurse 2004;24(1):70-73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rPr/>
            </w:pPr>
            <w:r>
              <w:rPr>
                <w:rFonts w:ascii="標楷體" w:hAnsi="標楷體" w:cs="標楷體" w:eastAsia="標楷體"/>
                <w:kern w:val="0"/>
              </w:rPr>
              <w:t>王逸熙</w:t>
            </w:r>
            <w:r>
              <w:rPr>
                <w:rFonts w:eastAsia="標楷體" w:cs="標楷體" w:ascii="標楷體" w:hAnsi="標楷體"/>
                <w:kern w:val="0"/>
              </w:rPr>
              <w:t>(2009)</w:t>
            </w:r>
            <w:r>
              <w:rPr>
                <w:rFonts w:ascii="標楷體" w:hAnsi="標楷體" w:cs="標楷體" w:eastAsia="標楷體"/>
                <w:kern w:val="0"/>
              </w:rPr>
              <w:t>。機械通氣病人之處置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239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新細明體;PMingLiU" w:eastAsia="標楷體"/>
              </w:rPr>
              <w:t>修訂日期：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新細明體;PMingLiU" w:eastAsia="標楷體"/>
              </w:rPr>
              <w:t>年</w:t>
            </w:r>
            <w:r>
              <w:rPr>
                <w:rFonts w:eastAsia="標楷體" w:cs="新細明體;PMingLiU" w:ascii="標楷體" w:hAnsi="標楷體"/>
              </w:rPr>
              <w:t>04</w:t>
            </w:r>
            <w:r>
              <w:rPr>
                <w:rFonts w:ascii="標楷體" w:hAnsi="標楷體" w:cs="新細明體;PMingLiU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ascii="標楷體" w:hAnsi="標楷體" w:cs="新細明體;PMingLiU" w:eastAsia="標楷體"/>
              </w:rPr>
              <w:t>修訂</w:t>
            </w:r>
          </w:p>
        </w:tc>
      </w:tr>
    </w:tbl>
    <w:p>
      <w:pPr>
        <w:pStyle w:val="Normal"/>
        <w:spacing w:lineRule="exact" w:line="320"/>
        <w:rPr/>
      </w:pPr>
      <w:r>
        <w:rPr>
          <w:rFonts w:ascii="標楷體" w:hAnsi="標楷體" w:cs="標楷體" w:eastAsia="標楷體"/>
        </w:rPr>
        <w:t>總頁數：</w:t>
      </w:r>
      <w:r>
        <w:rPr>
          <w:rFonts w:eastAsia="標楷體" w:cs="標楷體" w:ascii="標楷體" w:hAnsi="標楷體"/>
        </w:rPr>
        <w:t xml:space="preserve">6 </w:t>
      </w:r>
      <w:r>
        <w:rPr>
          <w:rFonts w:eastAsia="標楷體" w:cs="標楷體" w:ascii="標楷體" w:hAnsi="標楷體"/>
        </w:rPr>
        <w:t xml:space="preserve">                                                                                       </w:t>
      </w:r>
      <w:r>
        <w:rPr>
          <w:rFonts w:eastAsia="標楷體" w:cs="標楷體" w:ascii="標楷體" w:hAnsi="標楷體"/>
        </w:rPr>
        <w:t xml:space="preserve"> </w:t>
      </w:r>
      <w:r>
        <w:rPr>
          <w:rFonts w:ascii="標楷體" w:hAnsi="標楷體" w:cs="標楷體" w:eastAsia="標楷體"/>
        </w:rPr>
        <w:t>頁數：</w:t>
      </w:r>
      <w:r>
        <w:rPr>
          <w:rFonts w:eastAsia="標楷體" w:cs="標楷體" w:ascii="標楷體" w:hAnsi="標楷體"/>
        </w:rPr>
        <w:t>6-6</w:t>
      </w:r>
    </w:p>
    <w:sectPr>
      <w:footerReference w:type="default" r:id="rId6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標楷體">
    <w:charset w:val="88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3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5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6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9">
    <w:lvl w:ilvl="0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</w:lvl>
  </w:abstractNum>
  <w:abstractNum w:abstractNumId="10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11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12">
    <w:lvl w:ilvl="0">
      <w:start w:val="4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/>
    </w:lvl>
  </w:abstractNum>
  <w:abstractNum w:abstractNumId="14">
    <w:lvl w:ilvl="0">
      <w:start w:val="5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15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</w:abstractNum>
  <w:abstractNum w:abstractNumId="17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18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20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21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22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23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24">
    <w:lvl w:ilvl="0">
      <w:start w:val="5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25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26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27">
    <w:lvl w:ilvl="0">
      <w:start w:val="4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28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29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905" w:hanging="480"/>
      </w:pPr>
      <w:rPr/>
    </w:lvl>
  </w:abstractNum>
  <w:abstractNum w:abstractNumId="30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31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2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6z0">
    <w:name w:val="WW8Num16z0"/>
    <w:qFormat/>
    <w:rPr/>
  </w:style>
  <w:style w:type="character" w:styleId="WW8Num16z1">
    <w:name w:val="WW8Num16z1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Style14">
    <w:name w:val="預設段落字型"/>
    <w:qFormat/>
    <w:rPr/>
  </w:style>
  <w:style w:type="character" w:styleId="Style15">
    <w:name w:val=" 字元 字元"/>
    <w:qFormat/>
    <w:rPr>
      <w:rFonts w:ascii="Cambria" w:hAnsi="Cambria" w:eastAsia="新細明體;PMingLiU" w:cs="Times New Roman"/>
      <w:kern w:val="2"/>
      <w:sz w:val="18"/>
      <w:szCs w:val="18"/>
    </w:rPr>
  </w:style>
  <w:style w:type="character" w:styleId="InternetLink">
    <w:name w:val="Hyperlink"/>
    <w:rPr>
      <w:color w:val="002E55"/>
      <w:u w:val="single"/>
    </w:rPr>
  </w:style>
  <w:style w:type="character" w:styleId="Style16">
    <w:name w:val="註解文字 字元"/>
    <w:basedOn w:val="Style14"/>
    <w:qFormat/>
    <w:rPr>
      <w:kern w:val="2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280" w:after="28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Style17">
    <w:name w:val="註解方塊文字"/>
    <w:basedOn w:val="Normal"/>
    <w:qFormat/>
    <w:pPr/>
    <w:rPr>
      <w:rFonts w:ascii="Cambria" w:hAnsi="Cambria" w:eastAsia="新細明體;PMingLiU" w:cs="Times New Roman"/>
      <w:sz w:val="18"/>
      <w:szCs w:val="18"/>
    </w:rPr>
  </w:style>
  <w:style w:type="paragraph" w:styleId="Style18">
    <w:name w:val="註解文字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2018-08-19T22:54:00Z</dcterms:created>
  <dc:creator>CGMH</dc:creator>
  <dc:description/>
  <cp:keywords/>
  <dc:language>zh-TW</dc:language>
  <cp:lastModifiedBy>User</cp:lastModifiedBy>
  <cp:lastPrinted>2009-06-09T14:54:00Z</cp:lastPrinted>
  <dcterms:modified xsi:type="dcterms:W3CDTF">2018-10-15T07:07:00Z</dcterms:modified>
  <cp:revision>13</cp:revision>
  <dc:subject/>
  <dc:title>最大吸氣壓最大吐氣壓技術評核表標準作業規範(一)</dc:title>
</cp:coreProperties>
</file>