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  <w:lang w:val="zh-TW" w:eastAsia="zh-TW"/>
        </w:rPr>
      </w:pPr>
      <w:r>
        <w:rPr>
          <w:rFonts w:eastAsia="標楷體" w:cs="標楷體" w:ascii="標楷體" w:hAnsi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  <w:lang w:val="zh-TW" w:eastAsia="zh-TW"/>
        </w:rPr>
      </w:pPr>
      <w:r>
        <w:rPr>
          <w:rFonts w:eastAsia="標楷體" w:cs="標楷體" w:ascii="標楷體" w:hAnsi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藥物吸入治療常見裝置作業規範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藥物吸入治療常見裝置作業規範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  <w:lang w:val="zh-TW" w:eastAsia="zh-TW"/>
        </w:rPr>
      </w:pPr>
      <w:r>
        <w:rPr>
          <w:rFonts w:eastAsia="標楷體" w:cs="標楷體" w:ascii="標楷體" w:hAnsi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A017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5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A017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中華民國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5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  <w:lang w:val="zh-TW" w:eastAsia="zh-TW"/>
        </w:rPr>
      </w:pPr>
      <w:r>
        <w:rPr>
          <w:rFonts w:eastAsia="標楷體" w:cs="標楷體" w:ascii="標楷體" w:hAnsi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  <w:lang w:val="zh-TW" w:eastAsia="zh-TW"/>
        </w:rPr>
      </w:pPr>
      <w:r>
        <w:rPr>
          <w:rFonts w:eastAsia="標楷體" w:cs="標楷體" w:ascii="標楷體" w:hAnsi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138"/>
        <w:rPr>
          <w:rFonts w:ascii="標楷體" w:hAnsi="標楷體" w:eastAsia="標楷體"/>
          <w:sz w:val="32"/>
        </w:rPr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3060"/>
        <w:gridCol w:w="3540"/>
      </w:tblGrid>
      <w:tr>
        <w:trPr>
          <w:trHeight w:val="348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作業目的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    用     器    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 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567" w:hanging="567"/>
              <w:rPr>
                <w:rFonts w:eastAsia="標楷體"/>
              </w:rPr>
            </w:pPr>
            <w:r>
              <w:rPr>
                <w:rFonts w:eastAsia="標楷體"/>
              </w:rPr>
              <w:t>將所需藥物治療劑量傳送到所需部位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肺部</w:t>
            </w:r>
            <w:r>
              <w:rPr>
                <w:rFonts w:eastAsia="標楷體"/>
              </w:rPr>
              <w:t>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579" w:hanging="579"/>
              <w:jc w:val="both"/>
              <w:textAlignment w:val="baseline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適用範圍</w:t>
            </w:r>
          </w:p>
          <w:p>
            <w:pPr>
              <w:pStyle w:val="Normal"/>
              <w:ind w:left="579" w:hanging="55"/>
              <w:rPr/>
            </w:pPr>
            <w:r>
              <w:rPr>
                <w:rFonts w:ascii="標楷體" w:hAnsi="標楷體" w:eastAsia="標楷體"/>
              </w:rPr>
              <w:t>急診、住院、門診、居家病人有呼吸道疾病（包含氣喘、肺炎、慢性肺病、痰黏稠、上呼吸道腫脹</w:t>
            </w:r>
            <w:r>
              <w:rPr>
                <w:rFonts w:ascii="標楷體" w:hAnsi="標楷體" w:eastAsia="標楷體"/>
              </w:rPr>
              <w:t>…</w:t>
            </w:r>
            <w:r>
              <w:rPr>
                <w:rFonts w:ascii="標楷體" w:hAnsi="標楷體" w:eastAsia="標楷體"/>
              </w:rPr>
              <w:t>）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017" w:leader="none"/>
              </w:tabs>
              <w:spacing w:lineRule="exact" w:line="320"/>
              <w:ind w:left="578" w:hanging="566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適用執行人員</w:t>
            </w:r>
          </w:p>
          <w:p>
            <w:pPr>
              <w:pStyle w:val="Normal"/>
              <w:spacing w:lineRule="exact" w:line="320"/>
              <w:ind w:left="622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呼吸治療師</w:t>
            </w:r>
          </w:p>
          <w:p>
            <w:pPr>
              <w:pStyle w:val="Normal"/>
              <w:ind w:left="480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蒸氣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噴霧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吸入治療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次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2.</w:t>
            </w:r>
            <w:r>
              <w:rPr/>
              <w:t xml:space="preserve"> </w:t>
            </w:r>
            <w:r>
              <w:rPr>
                <w:rFonts w:eastAsia="標楷體"/>
              </w:rPr>
              <w:t>蒸氣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噴霧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吸入治療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天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3.</w:t>
            </w:r>
            <w:r>
              <w:rPr/>
              <w:t xml:space="preserve"> </w:t>
            </w:r>
            <w:r>
              <w:rPr>
                <w:rFonts w:eastAsia="標楷體"/>
              </w:rPr>
              <w:t>人工呼吸器噴霧吸入治療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＊收費項目編號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57021C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次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2.</w:t>
            </w:r>
            <w:r>
              <w:rPr/>
              <w:t xml:space="preserve"> </w:t>
            </w:r>
            <w:r>
              <w:rPr>
                <w:rFonts w:eastAsia="標楷體"/>
              </w:rPr>
              <w:t>57022C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天</w:t>
            </w:r>
          </w:p>
          <w:p>
            <w:pPr>
              <w:pStyle w:val="Normal"/>
              <w:ind w:left="480" w:hanging="48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3.</w:t>
            </w:r>
            <w:r>
              <w:rPr/>
              <w:t xml:space="preserve"> </w:t>
            </w:r>
            <w:r>
              <w:rPr/>
              <w:t>57024B/</w:t>
            </w:r>
            <w:r>
              <w:rPr>
                <w:rFonts w:eastAsia="標楷體"/>
              </w:rPr>
              <w:t>天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2640" w:leader="none"/>
              </w:tabs>
              <w:spacing w:lineRule="atLeast" w:line="0"/>
              <w:jc w:val="both"/>
              <w:rPr/>
            </w:pP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氧氣流量表</w:t>
            </w:r>
          </w:p>
          <w:p>
            <w:pPr>
              <w:pStyle w:val="Normal"/>
              <w:tabs>
                <w:tab w:val="clear" w:pos="480"/>
                <w:tab w:val="left" w:pos="264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小量容積噴霧器</w:t>
            </w:r>
          </w:p>
          <w:p>
            <w:pPr>
              <w:pStyle w:val="Normal"/>
              <w:tabs>
                <w:tab w:val="clear" w:pos="480"/>
                <w:tab w:val="left" w:pos="264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氣霧面罩</w:t>
            </w:r>
          </w:p>
          <w:p>
            <w:pPr>
              <w:pStyle w:val="Normal"/>
              <w:tabs>
                <w:tab w:val="clear" w:pos="480"/>
                <w:tab w:val="left" w:pos="264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藥物</w:t>
            </w:r>
            <w:r>
              <w:rPr>
                <w:rFonts w:eastAsia="標楷體"/>
              </w:rPr>
              <w:t>/ meter dose</w:t>
            </w:r>
            <w:r>
              <w:rPr>
                <w:rFonts w:eastAsia="標楷體"/>
              </w:rPr>
              <w:t>藥物</w:t>
            </w:r>
          </w:p>
          <w:p>
            <w:pPr>
              <w:pStyle w:val="Normal"/>
              <w:tabs>
                <w:tab w:val="clear" w:pos="480"/>
                <w:tab w:val="left" w:pos="264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聽診器</w:t>
            </w:r>
          </w:p>
          <w:p>
            <w:pPr>
              <w:pStyle w:val="Normal"/>
              <w:tabs>
                <w:tab w:val="clear" w:pos="480"/>
                <w:tab w:val="left" w:pos="264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五</w:t>
            </w:r>
            <w:r>
              <w:rPr>
                <w:rFonts w:eastAsia="標楷體"/>
              </w:rPr>
              <w:t>.spacer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48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480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320" w:firstLine="24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8-2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084"/>
        <w:gridCol w:w="3276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6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壹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執行前</w:t>
            </w:r>
          </w:p>
          <w:p>
            <w:pPr>
              <w:pStyle w:val="Normal"/>
              <w:tabs>
                <w:tab w:val="clear" w:pos="480"/>
                <w:tab w:val="left" w:pos="5269" w:leader="none"/>
              </w:tabs>
              <w:snapToGrid w:val="false"/>
              <w:spacing w:lineRule="exact" w:line="320"/>
              <w:ind w:left="2400" w:hanging="2400"/>
              <w:jc w:val="both"/>
              <w:rPr/>
            </w:pPr>
            <w:r>
              <w:rPr>
                <w:rFonts w:eastAsia="標楷體"/>
                <w:color w:val="000000"/>
              </w:rPr>
              <w:t>一、依</w:t>
            </w:r>
            <w:hyperlink r:id="rId2"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處理醫囑標準作業規範</w:t>
              </w:r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(N26001)</w:t>
              </w:r>
            </w:hyperlink>
            <w:r>
              <w:rPr>
                <w:rFonts w:eastAsia="標楷體"/>
                <w:color w:val="000000"/>
              </w:rPr>
              <w:t>醫囑執行及處理。</w:t>
            </w:r>
          </w:p>
          <w:p>
            <w:pPr>
              <w:pStyle w:val="Normal"/>
              <w:shd w:fill="FFFFFF" w:val="clear"/>
              <w:tabs>
                <w:tab w:val="clear" w:pos="480"/>
                <w:tab w:val="left" w:pos="5269" w:leader="none"/>
              </w:tabs>
              <w:snapToGrid w:val="false"/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</w:t>
            </w:r>
            <w:r>
              <w:rPr>
                <w:rFonts w:eastAsia="標楷體"/>
                <w:color w:val="000000"/>
              </w:rPr>
              <w:t>依</w:t>
            </w:r>
            <w:hyperlink r:id="rId3"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(L05328)</w:t>
              </w:r>
            </w:hyperlink>
            <w:r>
              <w:rPr>
                <w:rFonts w:eastAsia="標楷體"/>
                <w:color w:val="000000"/>
              </w:rPr>
              <w:t>執行洗手。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FF0000"/>
              </w:rPr>
            </w:pPr>
            <w:r>
              <w:rPr>
                <w:rFonts w:eastAsia="標楷體" w:ascii="標楷體" w:hAnsi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執行中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textAlignment w:val="baseline"/>
              <w:rPr>
                <w:rFonts w:eastAsia="標楷體"/>
                <w:kern w:val="0"/>
              </w:rPr>
            </w:pPr>
            <w:r>
              <w:rPr>
                <w:rFonts w:eastAsia="標楷體"/>
                <w:color w:val="000000"/>
                <w:kern w:val="0"/>
                <w:sz w:val="23"/>
                <w:szCs w:val="23"/>
              </w:rPr>
              <w:t>依</w:t>
            </w:r>
            <w:hyperlink r:id="rId4">
              <w:r>
                <w:rPr>
                  <w:rStyle w:val="InternetLink"/>
                  <w:rFonts w:eastAsia="標楷體"/>
                  <w:color w:val="0000FF"/>
                  <w:kern w:val="0"/>
                  <w:sz w:val="23"/>
                  <w:szCs w:val="23"/>
                  <w:u w:val="single"/>
                </w:rPr>
                <w:t>病人安全作業管理準則</w:t>
              </w:r>
              <w:r>
                <w:rPr>
                  <w:rStyle w:val="InternetLink"/>
                  <w:rFonts w:eastAsia="標楷體"/>
                  <w:color w:val="0000FF"/>
                  <w:kern w:val="0"/>
                  <w:sz w:val="23"/>
                  <w:szCs w:val="23"/>
                  <w:u w:val="single"/>
                </w:rPr>
                <w:t>(L03507)</w:t>
              </w:r>
            </w:hyperlink>
            <w:r>
              <w:rPr>
                <w:rFonts w:eastAsia="標楷體"/>
                <w:color w:val="000000"/>
                <w:kern w:val="0"/>
                <w:sz w:val="23"/>
                <w:szCs w:val="23"/>
              </w:rPr>
              <w:t>執行病人辨識。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textAlignment w:val="baseline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向病人和家屬說明使用此儀器目的及過程。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三、</w:t>
            </w:r>
            <w:r>
              <w:rPr>
                <w:rFonts w:eastAsia="標楷體"/>
              </w:rPr>
              <w:t>使用小量容積噴霧器操作步驟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依據病人選擇適當介面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0"/>
              <w:jc w:val="both"/>
              <w:rPr/>
            </w:pPr>
            <w:r>
              <w:rPr>
                <w:rFonts w:eastAsia="標楷體"/>
              </w:rPr>
              <w:t>將藥物至於噴霧器內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以半生理食鹽水稀釋，使總重量達</w:t>
            </w:r>
            <w:r>
              <w:rPr>
                <w:rFonts w:eastAsia="標楷體"/>
                <w:color w:val="FF0000"/>
              </w:rPr>
              <w:t>3-5ml?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/>
            </w:pPr>
            <w:r>
              <w:rPr>
                <w:rFonts w:eastAsia="標楷體"/>
              </w:rPr>
              <w:t>氣流開至</w:t>
            </w:r>
            <w:r>
              <w:rPr>
                <w:rFonts w:eastAsia="標楷體"/>
              </w:rPr>
              <w:t>6~10L/min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衛教病人緩慢正常吸飽氣後正常吐氣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治療持續至輕敲噴霧器周圍不再產生氣霧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衛教病人於治療後以無菌蒸餾水清洗並風乾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監測病人有無副作用（如心跳加速和震顫）及評估其效果（如：呼吸音的改善，最大流速和</w:t>
            </w:r>
            <w:r>
              <w:rPr>
                <w:rFonts w:eastAsia="標楷體"/>
                <w:color w:val="FF0000"/>
              </w:rPr>
              <w:t>FEV1</w:t>
            </w:r>
            <w:r>
              <w:rPr>
                <w:rFonts w:eastAsia="標楷體"/>
                <w:color w:val="FF0000"/>
              </w:rPr>
              <w:t>的改善）。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Arial Unicode MS" w:hAnsi="Arial Unicode MS" w:eastAsia="標楷體" w:cs="Arial Unicode MS"/>
                <w:vanish/>
                <w:color w:val="FF0000"/>
                <w:kern w:val="0"/>
              </w:rPr>
            </w:pPr>
            <w:r>
              <w:rPr>
                <w:rFonts w:ascii="Arial" w:hAnsi="Arial" w:eastAsia="標楷體"/>
                <w:color w:val="FF0000"/>
              </w:rPr>
              <w:t>確認</w:t>
            </w:r>
            <w:r>
              <w:rPr>
                <w:rFonts w:ascii="新細明體" w:hAnsi="新細明體" w:eastAsia="標楷體"/>
                <w:color w:val="FF0000"/>
              </w:rPr>
              <w:t>病人和家屬能否正確示範吸藥治療流程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標楷體" w:hAnsi="標楷體" w:eastAsia="標楷體"/>
              </w:rPr>
            </w:pPr>
            <w:r>
              <w:rPr>
                <w:rFonts w:ascii="Arial Unicode MS" w:hAnsi="Arial Unicode MS" w:cs="Arial Unicode MS" w:eastAsia="標楷體"/>
                <w:vanish/>
                <w:color w:val="FF0000"/>
                <w:kern w:val="0"/>
              </w:rPr>
              <w:t>發完藥後</w:t>
            </w:r>
            <w:r>
              <w:rPr>
                <w:rFonts w:eastAsia="標楷體"/>
                <w:color w:val="FF0000"/>
              </w:rPr>
              <w:t>及清洗流程並</w:t>
            </w:r>
            <w:r>
              <w:rPr>
                <w:rFonts w:ascii="Arial" w:hAnsi="Arial" w:eastAsia="標楷體"/>
                <w:color w:val="FF0000"/>
              </w:rPr>
              <w:t>主動詢問是否有吸藥相關問題，立即處理。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ind w:left="720" w:hanging="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atLeast" w:line="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病人配合且可用口呼吸時，選擇</w:t>
            </w:r>
            <w:r>
              <w:rPr>
                <w:rFonts w:eastAsia="標楷體"/>
              </w:rPr>
              <w:t>mouth-piece</w:t>
            </w:r>
            <w:r>
              <w:rPr>
                <w:rFonts w:eastAsia="標楷體"/>
              </w:rPr>
              <w:t>，無法配合時使用</w:t>
            </w:r>
          </w:p>
          <w:p>
            <w:pPr>
              <w:pStyle w:val="Normal"/>
              <w:spacing w:lineRule="atLeast" w:line="0"/>
              <w:jc w:val="both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mask</w:t>
            </w:r>
            <w:r>
              <w:rPr>
                <w:rFonts w:eastAsia="標楷體"/>
              </w:rPr>
              <w:t>給病人吸。</w:t>
            </w:r>
          </w:p>
          <w:p>
            <w:pPr>
              <w:pStyle w:val="Normal"/>
              <w:rPr/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若病患發生有疑似藥物引起的副作用，立即向醫師反應，以確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eastAsia="標楷體"/>
              </w:rPr>
              <w:t>保病患安全。</w:t>
            </w:r>
          </w:p>
          <w:p>
            <w:pPr>
              <w:pStyle w:val="Normal"/>
              <w:rPr/>
            </w:pP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以下情況由</w:t>
            </w:r>
            <w:r>
              <w:rPr>
                <w:rFonts w:eastAsia="標楷體" w:ascii="標楷體" w:hAnsi="標楷體"/>
              </w:rPr>
              <w:t>RT</w:t>
            </w:r>
            <w:r>
              <w:rPr>
                <w:rFonts w:ascii="標楷體" w:hAnsi="標楷體" w:eastAsia="標楷體"/>
              </w:rPr>
              <w:t>全程執行：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＊若沒有照護家屬、家屬不具學習意願、或無法正確回覆示教。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＊使用呼吸器的病患</w:t>
            </w:r>
          </w:p>
          <w:p>
            <w:pPr>
              <w:pStyle w:val="Normal"/>
              <w:ind w:left="24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6832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 </w:t>
      </w:r>
      <w:r>
        <w:rPr>
          <w:rFonts w:eastAsia="Times New Roman"/>
        </w:rPr>
        <w:t xml:space="preserve">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8-3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793"/>
        <w:gridCol w:w="2567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6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6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執行中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atLeast" w:line="0"/>
              <w:jc w:val="both"/>
              <w:rPr/>
            </w:pPr>
            <w:r>
              <w:rPr>
                <w:rFonts w:eastAsia="標楷體"/>
              </w:rPr>
              <w:t>四、呼吸器病人使用小量容積噴霧技術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必要時可於治療前藉由抽痰清潔病人呼吸道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將人工鼻移除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將所需藥物劑量裝至小量噴霧器內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將噴霧器接在呼吸器的吸氣端，並在</w:t>
            </w:r>
            <w:r>
              <w:rPr>
                <w:rFonts w:eastAsia="標楷體"/>
                <w:color w:val="FF0000"/>
              </w:rPr>
              <w:t>wye</w:t>
            </w:r>
            <w:r>
              <w:rPr>
                <w:rFonts w:eastAsia="標楷體"/>
                <w:color w:val="FF0000"/>
              </w:rPr>
              <w:t>與噴霧器中間加一段</w:t>
            </w:r>
            <w:r>
              <w:rPr>
                <w:rFonts w:eastAsia="標楷體"/>
                <w:color w:val="FF0000"/>
              </w:rPr>
              <w:t>6</w:t>
            </w:r>
            <w:r>
              <w:rPr>
                <w:rFonts w:eastAsia="標楷體"/>
                <w:color w:val="FF0000"/>
              </w:rPr>
              <w:t>吋的蛇形管</w:t>
            </w:r>
            <w:r>
              <w:rPr>
                <w:rFonts w:eastAsia="Times New Roman"/>
                <w:color w:val="FF0000"/>
              </w:rPr>
              <w:t xml:space="preserve"> </w:t>
            </w:r>
            <w:r>
              <w:rPr>
                <w:rFonts w:eastAsia="標楷體"/>
                <w:color w:val="FF0000"/>
              </w:rPr>
              <w:t>mosby</w:t>
            </w:r>
            <w:r>
              <w:rPr>
                <w:rFonts w:eastAsia="標楷體"/>
                <w:color w:val="FF0000"/>
              </w:rPr>
              <w:t>寫</w:t>
            </w:r>
            <w:r>
              <w:rPr>
                <w:rFonts w:eastAsia="標楷體"/>
                <w:color w:val="FF0000"/>
              </w:rPr>
              <w:t>12-18</w:t>
            </w:r>
            <w:r>
              <w:rPr>
                <w:rFonts w:eastAsia="標楷體"/>
                <w:color w:val="FF0000"/>
              </w:rPr>
              <w:t>inches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接上氣源開始執行藥物吸入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使用至氣霧不在產生為止即可將噴霧瓶從呼吸器管路移除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接回人工鼻、將呼吸器調回原設定，並確認管路無漏氣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將小量噴霧器以無菌蒸餾水清洗並風乾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監測病人生命徵象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心跳、血氧、血壓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及與呼吸器是否同步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監測病人有無副作用</w:t>
            </w:r>
          </w:p>
          <w:p>
            <w:pPr>
              <w:pStyle w:val="Normal"/>
              <w:spacing w:lineRule="atLeas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1.</w:t>
            </w:r>
            <w:r>
              <w:rPr>
                <w:rFonts w:ascii="標楷體" w:hAnsi="標楷體" w:eastAsia="標楷體"/>
              </w:rPr>
              <w:t>使用加水管路時，於治療期間不需關閉加熱電源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eastAsia="標楷體"/>
              </w:rPr>
              <w:t>使用呼吸器內鍵氣源，則可同部吸氣間接給予藥物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外接連續氣源時，將流速開至</w:t>
            </w:r>
            <w:r>
              <w:rPr>
                <w:rFonts w:eastAsia="標楷體"/>
              </w:rPr>
              <w:t>6~10L</w:t>
            </w:r>
            <w:r>
              <w:rPr>
                <w:rFonts w:eastAsia="標楷體"/>
              </w:rPr>
              <w:t>/min</w:t>
            </w:r>
            <w:r>
              <w:rPr>
                <w:rFonts w:eastAsia="標楷體"/>
              </w:rPr>
              <w:t>，並調整呼吸器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volume /</w:t>
            </w:r>
            <w:r>
              <w:rPr>
                <w:rFonts w:eastAsia="標楷體"/>
              </w:rPr>
              <w:t>pressure limit and alarm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代償多出的體積或壓力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當用在孩子時，使用壓力限制換氣時要調整呼吸器流速以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確定總流速不變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6"/>
          <w:u w:val="single"/>
        </w:rPr>
      </w:pPr>
      <w:r>
        <w:rPr>
          <w:rFonts w:eastAsia="標楷體"/>
          <w:sz w:val="36"/>
          <w:u w:val="single"/>
        </w:rPr>
      </w:r>
    </w:p>
    <w:p>
      <w:pPr>
        <w:pStyle w:val="Normal"/>
        <w:spacing w:lineRule="exact" w:line="320"/>
        <w:ind w:firstLine="448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480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8-4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執行中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atLeast" w:line="0"/>
              <w:jc w:val="both"/>
              <w:rPr/>
            </w:pPr>
            <w:r>
              <w:rPr>
                <w:rFonts w:eastAsia="標楷體"/>
              </w:rPr>
              <w:t>五、使用</w:t>
            </w:r>
            <w:r>
              <w:rPr>
                <w:rFonts w:eastAsia="標楷體"/>
              </w:rPr>
              <w:t>Metered Dose Inhaler</w:t>
            </w:r>
            <w:r>
              <w:rPr>
                <w:rFonts w:eastAsia="標楷體"/>
              </w:rPr>
              <w:t xml:space="preserve"> -MDI</w:t>
            </w:r>
            <w:r>
              <w:rPr>
                <w:rFonts w:eastAsia="標楷體"/>
              </w:rPr>
              <w:t>的技術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/>
            </w:pPr>
            <w:r>
              <w:rPr>
                <w:rFonts w:eastAsia="標楷體"/>
              </w:rPr>
              <w:t>藉由雙手將</w:t>
            </w:r>
            <w:r>
              <w:rPr>
                <w:rFonts w:eastAsia="標楷體"/>
              </w:rPr>
              <w:t>MDI</w:t>
            </w:r>
            <w:r>
              <w:rPr>
                <w:rFonts w:eastAsia="標楷體"/>
              </w:rPr>
              <w:t>搓揉增溫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搖晃容器使藥物混合均勻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組裝設備並打開吹嘴，確保設備無鬆動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執行技巧：可分開嘴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合嘴</w:t>
            </w:r>
            <w:r>
              <w:rPr>
                <w:rFonts w:eastAsia="標楷體"/>
              </w:rPr>
              <w:t>/chamber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正常呼氣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當開始慢慢吸氣時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速度約</w:t>
            </w:r>
            <w:r>
              <w:rPr>
                <w:rFonts w:eastAsia="標楷體"/>
              </w:rPr>
              <w:t>0.5L/sec)</w:t>
            </w:r>
            <w:r>
              <w:rPr>
                <w:rFonts w:eastAsia="標楷體"/>
              </w:rPr>
              <w:t>，同時啟動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ind w:left="720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MDI</w:t>
            </w:r>
            <w:r>
              <w:rPr>
                <w:rFonts w:eastAsia="標楷體"/>
              </w:rPr>
              <w:t>藥物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持續吸入直至肺全量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屏氣至</w:t>
            </w:r>
            <w:r>
              <w:rPr>
                <w:rFonts w:eastAsia="標楷體"/>
              </w:rPr>
              <w:t>10</w:t>
            </w:r>
            <w:r>
              <w:rPr>
                <w:rFonts w:eastAsia="標楷體"/>
              </w:rPr>
              <w:t>秒然後正常呼氣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劑量之間間隔</w:t>
            </w: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分鐘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偵測病人所呈之副偵測病人所呈之副作用（如心跳加速及震顫），</w:t>
            </w:r>
            <w:r>
              <w:rPr>
                <w:rFonts w:ascii="Arial" w:hAnsi="Arial" w:eastAsia="標楷體"/>
                <w:color w:val="000000"/>
              </w:rPr>
              <w:t>並評估吸藥效果。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ascii="Arial" w:hAnsi="Arial" w:eastAsia="標楷體"/>
                <w:color w:val="000000"/>
              </w:rPr>
              <w:t>確認</w:t>
            </w:r>
            <w:r>
              <w:rPr>
                <w:rFonts w:ascii="新細明體" w:hAnsi="新細明體" w:eastAsia="標楷體"/>
                <w:color w:val="000000"/>
              </w:rPr>
              <w:t>病患和家屬能正確示範所有吸藥治療流</w:t>
            </w:r>
            <w:r>
              <w:rPr>
                <w:rFonts w:ascii="新細明體" w:hAnsi="新細明體" w:cs="新細明體"/>
                <w:color w:val="000000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ind w:left="720" w:hanging="0"/>
              <w:jc w:val="both"/>
              <w:rPr>
                <w:rFonts w:eastAsia="標楷體"/>
              </w:rPr>
            </w:pPr>
            <w:r>
              <w:rPr>
                <w:rFonts w:ascii="新細明體" w:hAnsi="新細明體" w:cs="新細明體"/>
                <w:color w:val="000000"/>
              </w:rPr>
              <w:t xml:space="preserve">   </w:t>
            </w:r>
            <w:r>
              <w:rPr>
                <w:rFonts w:ascii="新細明體" w:hAnsi="新細明體" w:eastAsia="標楷體"/>
                <w:color w:val="000000"/>
              </w:rPr>
              <w:t>程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Arial Unicode MS" w:hAnsi="Arial Unicode MS" w:eastAsia="標楷體" w:cs="Arial Unicode MS"/>
                <w:vanish/>
                <w:color w:val="000000"/>
                <w:kern w:val="0"/>
              </w:rPr>
            </w:pPr>
            <w:r>
              <w:rPr>
                <w:rFonts w:eastAsia="標楷體" w:cs="Arial Unicode MS" w:ascii="Arial Unicode MS" w:hAnsi="Arial Unicode MS"/>
                <w:vanish/>
                <w:color w:val="000000"/>
                <w:kern w:val="0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Arial Unicode MS" w:hAnsi="Arial Unicode MS" w:eastAsia="標楷體" w:cs="Arial Unicode MS"/>
                <w:vanish/>
                <w:color w:val="000000"/>
                <w:kern w:val="0"/>
              </w:rPr>
            </w:pPr>
            <w:r>
              <w:rPr>
                <w:rFonts w:eastAsia="標楷體" w:cs="Arial Unicode MS" w:ascii="Arial Unicode MS" w:hAnsi="Arial Unicode MS"/>
                <w:vanish/>
                <w:color w:val="000000"/>
                <w:kern w:val="0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Arial Unicode MS" w:hAnsi="Arial Unicode MS" w:eastAsia="標楷體" w:cs="Arial Unicode MS"/>
                <w:vanish/>
                <w:color w:val="000000"/>
                <w:kern w:val="0"/>
              </w:rPr>
            </w:pPr>
            <w:r>
              <w:rPr>
                <w:rFonts w:eastAsia="標楷體" w:cs="Arial Unicode MS" w:ascii="Arial Unicode MS" w:hAnsi="Arial Unicode MS"/>
                <w:vanish/>
                <w:color w:val="000000"/>
                <w:kern w:val="0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ascii="Arial Unicode MS" w:hAnsi="Arial Unicode MS" w:eastAsia="標楷體" w:cs="Arial Unicode MS"/>
                <w:vanish/>
                <w:color w:val="000000"/>
                <w:kern w:val="0"/>
              </w:rPr>
            </w:pPr>
            <w:r>
              <w:rPr>
                <w:rFonts w:eastAsia="標楷體" w:cs="Arial Unicode MS" w:ascii="Arial Unicode MS" w:hAnsi="Arial Unicode MS"/>
                <w:vanish/>
                <w:color w:val="000000"/>
                <w:kern w:val="0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1.</w:t>
            </w:r>
            <w:r>
              <w:rPr>
                <w:rFonts w:ascii="標楷體" w:hAnsi="標楷體" w:eastAsia="標楷體"/>
              </w:rPr>
              <w:t>若藥物為第一次或許久未使用，將藥物朝向無人方向按壓噴出兩次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開嘴執行技巧</w:t>
            </w:r>
            <w:r>
              <w:rPr>
                <w:rFonts w:eastAsia="標楷體" w:ascii="標楷體" w:hAnsi="標楷體"/>
              </w:rPr>
              <w:t>:</w:t>
            </w:r>
            <w:r>
              <w:rPr>
                <w:rFonts w:ascii="標楷體" w:hAnsi="標楷體" w:eastAsia="標楷體"/>
              </w:rPr>
              <w:t>張開嘴巴，舌頭向下，保持藥罐垂直並將出口對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準嘴巴</w:t>
            </w:r>
            <w:r>
              <w:rPr>
                <w:rFonts w:eastAsia="標楷體" w:ascii="標楷體" w:hAnsi="標楷體"/>
              </w:rPr>
              <w:t>(</w:t>
            </w:r>
            <w:r>
              <w:rPr>
                <w:rFonts w:ascii="標楷體" w:hAnsi="標楷體" w:eastAsia="標楷體"/>
              </w:rPr>
              <w:t>藥罐與嘴巴距離約</w:t>
            </w:r>
            <w:r>
              <w:rPr>
                <w:rFonts w:eastAsia="標楷體" w:ascii="標楷體" w:hAnsi="標楷體"/>
              </w:rPr>
              <w:t>4</w:t>
            </w:r>
            <w:r>
              <w:rPr>
                <w:rFonts w:ascii="標楷體" w:hAnsi="標楷體" w:eastAsia="標楷體"/>
              </w:rPr>
              <w:t>公分</w:t>
            </w:r>
            <w:r>
              <w:rPr>
                <w:rFonts w:eastAsia="標楷體" w:ascii="標楷體" w:hAnsi="標楷體"/>
              </w:rPr>
              <w:t>/</w:t>
            </w:r>
            <w:r>
              <w:rPr>
                <w:rFonts w:ascii="標楷體" w:hAnsi="標楷體" w:eastAsia="標楷體"/>
              </w:rPr>
              <w:t>兩手指</w:t>
            </w:r>
            <w:r>
              <w:rPr>
                <w:rFonts w:eastAsia="標楷體" w:ascii="標楷體" w:hAnsi="標楷體"/>
              </w:rPr>
              <w:t>)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閉嘴執行技巧：將咬嘴至於嘴唇中間，舌頭避開藥物出口路徑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4.</w:t>
            </w:r>
            <w:r>
              <w:rPr>
                <w:rFonts w:ascii="標楷體" w:hAnsi="標楷體" w:eastAsia="標楷體"/>
              </w:rPr>
              <w:t>使用</w:t>
            </w:r>
            <w:r>
              <w:rPr>
                <w:rFonts w:eastAsia="標楷體" w:ascii="標楷體" w:hAnsi="標楷體"/>
              </w:rPr>
              <w:t>Valved Holding Chamber</w:t>
            </w:r>
            <w:r>
              <w:rPr>
                <w:rFonts w:ascii="標楷體" w:hAnsi="標楷體" w:eastAsia="標楷體"/>
              </w:rPr>
              <w:t>技巧：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將藥罐與</w:t>
            </w:r>
            <w:r>
              <w:rPr>
                <w:rFonts w:eastAsia="標楷體" w:ascii="標楷體" w:hAnsi="標楷體"/>
              </w:rPr>
              <w:t>chamber</w:t>
            </w:r>
            <w:r>
              <w:rPr>
                <w:rFonts w:ascii="標楷體" w:hAnsi="標楷體" w:eastAsia="標楷體"/>
              </w:rPr>
              <w:t>組接後，目視檢查單項閥門功能是否正常。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啟動</w:t>
            </w:r>
            <w:r>
              <w:rPr>
                <w:rFonts w:eastAsia="標楷體" w:ascii="標楷體" w:hAnsi="標楷體"/>
              </w:rPr>
              <w:t>MDI</w:t>
            </w:r>
            <w:r>
              <w:rPr>
                <w:rFonts w:ascii="標楷體" w:hAnsi="標楷體" w:eastAsia="標楷體"/>
              </w:rPr>
              <w:t>藥物，成人執行三次正常呼吸</w:t>
            </w:r>
            <w:r>
              <w:rPr>
                <w:rFonts w:eastAsia="標楷體" w:ascii="標楷體" w:hAnsi="標楷體"/>
              </w:rPr>
              <w:t>/</w:t>
            </w:r>
            <w:r>
              <w:rPr>
                <w:rFonts w:ascii="標楷體" w:hAnsi="標楷體" w:eastAsia="標楷體"/>
              </w:rPr>
              <w:t>小孩七次。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每劑量之間間隔</w:t>
            </w:r>
            <w:r>
              <w:rPr>
                <w:rFonts w:eastAsia="標楷體" w:ascii="標楷體" w:hAnsi="標楷體"/>
              </w:rPr>
              <w:t>30-60</w:t>
            </w:r>
            <w:r>
              <w:rPr>
                <w:rFonts w:ascii="標楷體" w:hAnsi="標楷體" w:eastAsia="標楷體"/>
              </w:rPr>
              <w:t>秒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6"/>
          <w:u w:val="single"/>
        </w:rPr>
      </w:pPr>
      <w:r>
        <w:rPr>
          <w:rFonts w:eastAsia="標楷體"/>
          <w:sz w:val="36"/>
          <w:u w:val="single"/>
        </w:rPr>
      </w:r>
    </w:p>
    <w:p>
      <w:pPr>
        <w:pStyle w:val="Normal"/>
        <w:spacing w:lineRule="exact" w:line="320"/>
        <w:ind w:firstLine="4480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440" w:firstLine="120"/>
        <w:rPr/>
      </w:pPr>
      <w:r>
        <w:rPr>
          <w:rFonts w:eastAsia="Times New Roman"/>
        </w:rPr>
        <w:t xml:space="preserve">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 xml:space="preserve">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8-5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first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執行中</w:t>
            </w:r>
          </w:p>
          <w:p>
            <w:pPr>
              <w:pStyle w:val="Normal"/>
              <w:tabs>
                <w:tab w:val="clear" w:pos="480"/>
                <w:tab w:val="left" w:pos="1230" w:leader="none"/>
              </w:tabs>
              <w:spacing w:lineRule="atLeast" w:line="0"/>
              <w:jc w:val="both"/>
              <w:rPr/>
            </w:pPr>
            <w:r>
              <w:rPr>
                <w:rFonts w:eastAsia="標楷體"/>
              </w:rPr>
              <w:t>六、經由呼吸器使用</w:t>
            </w:r>
            <w:r>
              <w:rPr>
                <w:rFonts w:eastAsia="標楷體"/>
              </w:rPr>
              <w:t>MDI</w:t>
            </w:r>
            <w:r>
              <w:rPr>
                <w:rFonts w:eastAsia="標楷體"/>
              </w:rPr>
              <w:t>的技術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調整呼吸器設定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搖晃容器使藥物混合均勻並用雙手將</w:t>
            </w:r>
            <w:r>
              <w:rPr>
                <w:rFonts w:eastAsia="標楷體"/>
              </w:rPr>
              <w:t>MDI</w:t>
            </w:r>
            <w:r>
              <w:rPr>
                <w:rFonts w:eastAsia="標楷體"/>
              </w:rPr>
              <w:t>搓揉增溫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將連接器放至在</w:t>
            </w:r>
            <w:r>
              <w:rPr>
                <w:rFonts w:eastAsia="標楷體"/>
              </w:rPr>
              <w:t>Y-piece</w:t>
            </w:r>
            <w:r>
              <w:rPr>
                <w:rFonts w:eastAsia="標楷體"/>
              </w:rPr>
              <w:t>與吸氣端中間，並將</w:t>
            </w:r>
            <w:r>
              <w:rPr>
                <w:rFonts w:eastAsia="標楷體"/>
              </w:rPr>
              <w:t>MDI</w:t>
            </w:r>
            <w:r>
              <w:rPr>
                <w:rFonts w:eastAsia="標楷體"/>
              </w:rPr>
              <w:t>接至連接器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吸氣同時啟動</w:t>
            </w:r>
            <w:r>
              <w:rPr>
                <w:rFonts w:eastAsia="標楷體"/>
              </w:rPr>
              <w:t>MDI</w:t>
            </w:r>
            <w:r>
              <w:rPr>
                <w:rFonts w:eastAsia="標楷體"/>
              </w:rPr>
              <w:t>藥物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等待</w:t>
            </w:r>
            <w:r>
              <w:rPr>
                <w:rFonts w:eastAsia="標楷體"/>
              </w:rPr>
              <w:t>15</w:t>
            </w:r>
            <w:r>
              <w:rPr>
                <w:rFonts w:eastAsia="標楷體"/>
              </w:rPr>
              <w:t>秒後再啟動第二劑藥物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當所有藥物劑量機入完畢，將呼吸器調回原設定並接回人工鼻或是開啟加熱器，並確認管路無漏氣。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監測病人有無副作用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  <w:tab w:val="left" w:pos="1050" w:leader="none"/>
              </w:tabs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記錄病人治療反應。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1.</w:t>
            </w:r>
            <w:r>
              <w:rPr>
                <w:rFonts w:ascii="標楷體" w:hAnsi="標楷體" w:eastAsia="標楷體"/>
              </w:rPr>
              <w:t>關閉加熱器或是移除人工鼻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更好的藥物傳送：確保潮氣容積大於</w:t>
            </w:r>
            <w:r>
              <w:rPr>
                <w:rFonts w:eastAsia="標楷體" w:ascii="標楷體" w:hAnsi="標楷體"/>
              </w:rPr>
              <w:t>400ML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調整</w:t>
            </w:r>
            <w:r>
              <w:rPr>
                <w:rFonts w:eastAsia="標楷體" w:ascii="標楷體" w:hAnsi="標楷體"/>
              </w:rPr>
              <w:t>Ti&gt;33%</w:t>
            </w:r>
            <w:r>
              <w:rPr>
                <w:rFonts w:ascii="標楷體" w:hAnsi="標楷體" w:eastAsia="標楷體"/>
              </w:rPr>
              <w:t>，關掉連續流速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4.</w:t>
            </w:r>
            <w:r>
              <w:rPr>
                <w:rFonts w:ascii="標楷體" w:hAnsi="標楷體" w:eastAsia="標楷體"/>
              </w:rPr>
              <w:t>若病人可自呼且配合，可請病人吸藥時做深吸氣並憋氣</w:t>
            </w:r>
            <w:r>
              <w:rPr>
                <w:rFonts w:eastAsia="標楷體" w:ascii="標楷體" w:hAnsi="標楷體"/>
              </w:rPr>
              <w:t>4~10</w:t>
            </w:r>
            <w:r>
              <w:rPr>
                <w:rFonts w:ascii="標楷體" w:hAnsi="標楷體" w:eastAsia="標楷體"/>
              </w:rPr>
              <w:t>秒</w:t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6"/>
          <w:u w:val="single"/>
        </w:rPr>
      </w:pPr>
      <w:r>
        <w:rPr>
          <w:rFonts w:eastAsia="標楷體"/>
          <w:sz w:val="36"/>
          <w:u w:val="single"/>
        </w:rPr>
      </w:r>
    </w:p>
    <w:p>
      <w:pPr>
        <w:pStyle w:val="Normal"/>
        <w:spacing w:lineRule="exact" w:line="320"/>
        <w:rPr>
          <w:rFonts w:eastAsia="標楷體"/>
          <w:sz w:val="36"/>
          <w:u w:val="single"/>
        </w:rPr>
      </w:pPr>
      <w:r>
        <w:rPr>
          <w:rFonts w:eastAsia="標楷體"/>
          <w:sz w:val="36"/>
          <w:u w:val="single"/>
        </w:rPr>
      </w:r>
    </w:p>
    <w:p>
      <w:pPr>
        <w:pStyle w:val="Normal"/>
        <w:spacing w:lineRule="exact" w:line="320"/>
        <w:ind w:firstLine="4680"/>
        <w:rPr>
          <w:rFonts w:eastAsia="標楷體"/>
          <w:sz w:val="36"/>
          <w:u w:val="single"/>
        </w:rPr>
      </w:pPr>
      <w:r>
        <w:rPr>
          <w:rFonts w:eastAsia="標楷體"/>
          <w:sz w:val="36"/>
          <w:u w:val="single"/>
        </w:rPr>
      </w:r>
    </w:p>
    <w:p>
      <w:pPr>
        <w:pStyle w:val="Normal"/>
        <w:spacing w:lineRule="exact" w:line="320"/>
        <w:ind w:firstLine="4160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8-6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872" w:leader="none"/>
              </w:tabs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執行後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一、恢復氧氣設備的裝置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二、清潔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ascii="新細明體" w:hAnsi="新細明體" w:eastAsia="標楷體"/>
              </w:rPr>
              <w:t>三、正確記錄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四、</w:t>
            </w:r>
            <w:r>
              <w:rPr>
                <w:rFonts w:ascii="新細明體" w:hAnsi="新細明體" w:eastAsia="標楷體"/>
              </w:rPr>
              <w:t>洗手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新細明體" w:hAnsi="新細明體" w:eastAsia="標楷體"/>
              </w:rPr>
            </w:pPr>
            <w:r>
              <w:rPr>
                <w:rFonts w:eastAsia="標楷體" w:ascii="新細明體" w:hAnsi="新細明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新細明體" w:hAnsi="新細明體" w:eastAsia="標楷體"/>
              </w:rPr>
            </w:pPr>
            <w:r>
              <w:rPr>
                <w:rFonts w:eastAsia="標楷體" w:ascii="新細明體" w:hAnsi="新細明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60" w:hanging="360"/>
              <w:rPr/>
            </w:pPr>
            <w:r>
              <w:rPr>
                <w:rFonts w:eastAsia="標楷體"/>
              </w:rPr>
              <w:t>一</w:t>
            </w:r>
            <w:r>
              <w:rPr>
                <w:rFonts w:eastAsia="標楷體" w:ascii="標楷體" w:hAnsi="標楷體"/>
              </w:rPr>
              <w:t>.</w:t>
            </w:r>
            <w:r>
              <w:rPr>
                <w:rFonts w:ascii="標楷體" w:hAnsi="標楷體" w:eastAsia="標楷體"/>
              </w:rPr>
              <w:t>以冷開水</w:t>
            </w:r>
            <w:r>
              <w:rPr>
                <w:rFonts w:ascii="標楷體" w:hAnsi="標楷體" w:eastAsia="標楷體"/>
              </w:rPr>
              <w:t>或</w:t>
            </w:r>
            <w:r>
              <w:rPr>
                <w:rFonts w:ascii="標楷體" w:hAnsi="標楷體" w:eastAsia="標楷體"/>
              </w:rPr>
              <w:t>無菌蒸餾水清洗</w:t>
            </w:r>
            <w:r>
              <w:rPr>
                <w:rFonts w:ascii="標楷體" w:hAnsi="標楷體" w:eastAsia="標楷體"/>
              </w:rPr>
              <w:t>藥杯，置放於彎盆內晾乾。彎盆內請勿置放其他物品（如灌食空針），以確保藥杯之清潔。</w:t>
            </w:r>
          </w:p>
          <w:p>
            <w:pPr>
              <w:pStyle w:val="Normal"/>
              <w:ind w:left="24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ind w:firstLine="384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 w:before="240" w:after="120"/>
        <w:ind w:firstLine="4160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三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8-7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88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異  常  狀  況   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    生    原    因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      理       對       策</w:t>
            </w:r>
          </w:p>
        </w:tc>
      </w:tr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小量噴霧無煙霧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藥物漏出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一、氧氣接頭未連接</w:t>
            </w:r>
            <w:r>
              <w:rPr>
                <w:rFonts w:eastAsia="標楷體"/>
              </w:rPr>
              <w:t>緊密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二、虹吸現象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一、逐一檢查連接管路。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二、藥水沿藥杯慢慢注入。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ascii="標楷體" w:hAnsi="標楷體" w:cs="標楷體" w:eastAsia="標楷體"/>
          <w:sz w:val="32"/>
          <w:u w:val="single"/>
        </w:rPr>
        <w:t>藥物吸入治療</w:t>
      </w:r>
      <w:r>
        <w:rPr>
          <w:rFonts w:eastAsia="標楷體" w:cs="標楷體" w:ascii="標楷體" w:hAnsi="標楷體"/>
          <w:sz w:val="32"/>
          <w:u w:val="single"/>
        </w:rPr>
        <w:t>--</w:t>
      </w:r>
      <w:r>
        <w:rPr>
          <w:rFonts w:ascii="標楷體" w:hAnsi="標楷體" w:cs="標楷體" w:eastAsia="標楷體"/>
          <w:sz w:val="32"/>
          <w:u w:val="single"/>
        </w:rPr>
        <w:t>常見裝置</w:t>
      </w:r>
      <w:r>
        <w:rPr>
          <w:rFonts w:ascii="標楷體" w:hAnsi="標楷體" w:eastAsia="標楷體"/>
          <w:sz w:val="32"/>
          <w:u w:val="single"/>
        </w:rPr>
        <w:t>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721" w:firstLine="3360"/>
        <w:rPr/>
      </w:pPr>
      <w:r>
        <w:rPr>
          <w:rFonts w:ascii="標楷體" w:hAnsi="標楷體" w:cs="標楷體" w:eastAsia="標楷體"/>
          <w:sz w:val="32"/>
        </w:rPr>
        <w:t xml:space="preserve">     </w:t>
      </w:r>
      <w:r>
        <w:rPr>
          <w:rFonts w:ascii="標楷體" w:hAnsi="標楷體" w:cs="標楷體" w:eastAsia="標楷體"/>
          <w:sz w:val="28"/>
        </w:rPr>
        <w:t xml:space="preserve">                                                             </w:t>
      </w:r>
    </w:p>
    <w:p>
      <w:pPr>
        <w:pStyle w:val="Normal"/>
        <w:spacing w:lineRule="exact" w:line="320"/>
        <w:ind w:left="8158" w:firstLine="240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8-8           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附錄</w:t>
            </w:r>
            <w:r>
              <w:rPr>
                <w:rFonts w:eastAsia="標楷體" w:ascii="標楷體" w:hAnsi="標楷體"/>
                <w:sz w:val="28"/>
              </w:rPr>
              <w:t>(</w:t>
            </w:r>
            <w:r>
              <w:rPr>
                <w:rFonts w:ascii="標楷體" w:hAnsi="標楷體" w:eastAsia="標楷體"/>
                <w:sz w:val="28"/>
              </w:rPr>
              <w:t>圖片說明或參考文獻</w:t>
            </w:r>
            <w:r>
              <w:rPr>
                <w:rFonts w:eastAsia="標楷體" w:ascii="標楷體" w:hAnsi="標楷體"/>
                <w:sz w:val="28"/>
              </w:rPr>
              <w:t>)</w:t>
            </w:r>
          </w:p>
          <w:p>
            <w:pPr>
              <w:pStyle w:val="Aicheading"/>
              <w:spacing w:lineRule="exact" w:line="320"/>
              <w:ind w:left="480" w:hanging="480"/>
              <w:rPr>
                <w:rFonts w:ascii="標楷體" w:hAnsi="標楷體" w:eastAsia="標楷體"/>
                <w:sz w:val="24"/>
              </w:rPr>
            </w:pPr>
            <w:r>
              <w:rPr>
                <w:rFonts w:ascii="標楷體" w:hAnsi="標楷體" w:eastAsia="標楷體"/>
                <w:sz w:val="24"/>
              </w:rPr>
              <w:t>一、</w:t>
            </w:r>
            <w:r>
              <w:rPr>
                <w:rFonts w:eastAsia="標楷體" w:cs="Verdana" w:ascii="標楷體" w:hAnsi="標楷體"/>
                <w:sz w:val="24"/>
              </w:rPr>
              <w:t>Robert</w:t>
            </w:r>
            <w:r>
              <w:rPr>
                <w:rFonts w:ascii="標楷體" w:hAnsi="標楷體" w:cs="Verdana" w:eastAsia="標楷體"/>
                <w:sz w:val="24"/>
              </w:rPr>
              <w:t>，</w:t>
            </w:r>
            <w:r>
              <w:rPr>
                <w:rFonts w:eastAsia="標楷體" w:cs="Verdana" w:ascii="標楷體" w:hAnsi="標楷體"/>
                <w:sz w:val="24"/>
              </w:rPr>
              <w:t>M.K.</w:t>
            </w:r>
            <w:r>
              <w:rPr>
                <w:rFonts w:ascii="標楷體" w:hAnsi="標楷體" w:cs="Verdana" w:eastAsia="標楷體"/>
                <w:sz w:val="24"/>
              </w:rPr>
              <w:t>，</w:t>
            </w:r>
            <w:r>
              <w:rPr>
                <w:rFonts w:eastAsia="標楷體" w:cs="Verdana" w:ascii="標楷體" w:hAnsi="標楷體"/>
                <w:sz w:val="24"/>
              </w:rPr>
              <w:t>James</w:t>
            </w:r>
            <w:r>
              <w:rPr>
                <w:rFonts w:ascii="標楷體" w:hAnsi="標楷體" w:cs="Verdana" w:eastAsia="標楷體"/>
                <w:sz w:val="24"/>
              </w:rPr>
              <w:t>，</w:t>
            </w:r>
            <w:r>
              <w:rPr>
                <w:rFonts w:eastAsia="標楷體" w:cs="Verdana" w:ascii="標楷體" w:hAnsi="標楷體"/>
                <w:sz w:val="24"/>
              </w:rPr>
              <w:t>K.S.</w:t>
            </w:r>
            <w:r>
              <w:rPr>
                <w:rFonts w:ascii="標楷體" w:hAnsi="標楷體" w:cs="Verdana" w:eastAsia="標楷體"/>
                <w:sz w:val="24"/>
              </w:rPr>
              <w:t>，</w:t>
            </w:r>
            <w:r>
              <w:rPr>
                <w:rFonts w:eastAsia="標楷體" w:ascii="標楷體" w:hAnsi="標楷體"/>
                <w:sz w:val="24"/>
              </w:rPr>
              <w:t>Albert</w:t>
            </w:r>
            <w:r>
              <w:rPr>
                <w:rFonts w:ascii="標楷體" w:hAnsi="標楷體" w:cs="Verdana" w:eastAsia="標楷體"/>
                <w:sz w:val="24"/>
              </w:rPr>
              <w:t>，</w:t>
            </w:r>
            <w:r>
              <w:rPr>
                <w:rFonts w:eastAsia="標楷體" w:ascii="標楷體" w:hAnsi="標楷體"/>
                <w:sz w:val="24"/>
              </w:rPr>
              <w:t>J.H.</w:t>
            </w:r>
            <w:r>
              <w:rPr>
                <w:rFonts w:ascii="標楷體" w:hAnsi="標楷體" w:eastAsia="標楷體"/>
                <w:sz w:val="24"/>
              </w:rPr>
              <w:t>（</w:t>
            </w:r>
            <w:r>
              <w:rPr>
                <w:rFonts w:eastAsia="標楷體" w:ascii="標楷體" w:hAnsi="標楷體"/>
                <w:sz w:val="24"/>
              </w:rPr>
              <w:t>2017</w:t>
            </w:r>
            <w:r>
              <w:rPr>
                <w:rFonts w:ascii="標楷體" w:hAnsi="標楷體" w:eastAsia="標楷體"/>
                <w:sz w:val="24"/>
              </w:rPr>
              <w:t>）</w:t>
            </w:r>
            <w:r>
              <w:rPr>
                <w:rFonts w:eastAsia="標楷體" w:ascii="標楷體" w:hAnsi="標楷體"/>
                <w:sz w:val="24"/>
              </w:rPr>
              <w:t>.</w:t>
            </w:r>
            <w:r>
              <w:rPr>
                <w:rFonts w:eastAsia="標楷體" w:cs="Arial" w:ascii="標楷體" w:hAnsi="標楷體"/>
                <w:i/>
                <w:sz w:val="24"/>
              </w:rPr>
              <w:t>Egan’s fundamentals of respiratory care</w:t>
            </w:r>
            <w:r>
              <w:rPr>
                <w:rFonts w:eastAsia="標楷體" w:cs="Arial" w:ascii="標楷體" w:hAnsi="標楷體"/>
                <w:sz w:val="24"/>
              </w:rPr>
              <w:t xml:space="preserve"> </w:t>
            </w:r>
            <w:r>
              <w:rPr>
                <w:rFonts w:ascii="標楷體" w:hAnsi="標楷體" w:cs="Arial" w:eastAsia="標楷體"/>
                <w:sz w:val="24"/>
              </w:rPr>
              <w:t>（</w:t>
            </w:r>
            <w:r>
              <w:rPr>
                <w:rFonts w:eastAsia="標楷體" w:cs="Verdana" w:ascii="標楷體" w:hAnsi="標楷體"/>
                <w:sz w:val="24"/>
              </w:rPr>
              <w:t xml:space="preserve">11th </w:t>
            </w:r>
            <w:r>
              <w:rPr>
                <w:rFonts w:eastAsia="標楷體" w:ascii="標楷體" w:hAnsi="標楷體"/>
                <w:sz w:val="24"/>
              </w:rPr>
              <w:t>ed.</w:t>
            </w:r>
            <w:r>
              <w:rPr>
                <w:rFonts w:ascii="標楷體" w:hAnsi="標楷體" w:cs="Arial" w:eastAsia="標楷體"/>
                <w:sz w:val="24"/>
              </w:rPr>
              <w:t>）</w:t>
            </w:r>
          </w:p>
          <w:p>
            <w:pPr>
              <w:pStyle w:val="Aicheading"/>
              <w:spacing w:lineRule="exact" w:line="320"/>
              <w:ind w:left="480" w:hanging="480"/>
              <w:rPr>
                <w:rFonts w:ascii="標楷體" w:hAnsi="標楷體" w:eastAsia="標楷體"/>
                <w:sz w:val="24"/>
              </w:rPr>
            </w:pPr>
            <w:r>
              <w:rPr>
                <w:rFonts w:ascii="標楷體" w:hAnsi="標楷體" w:cs="Verdana" w:eastAsia="標楷體"/>
                <w:sz w:val="24"/>
              </w:rPr>
              <w:t>二、</w:t>
            </w:r>
            <w:r>
              <w:rPr>
                <w:rFonts w:eastAsia="標楷體" w:cs="Verdana" w:ascii="標楷體" w:hAnsi="標楷體"/>
                <w:sz w:val="24"/>
              </w:rPr>
              <w:t>J.M. Cairo</w:t>
            </w:r>
            <w:r>
              <w:rPr>
                <w:rFonts w:ascii="標楷體" w:hAnsi="標楷體" w:eastAsia="標楷體"/>
                <w:sz w:val="24"/>
              </w:rPr>
              <w:t>（</w:t>
            </w:r>
            <w:r>
              <w:rPr>
                <w:rFonts w:eastAsia="標楷體" w:ascii="標楷體" w:hAnsi="標楷體"/>
                <w:sz w:val="24"/>
              </w:rPr>
              <w:t>2014</w:t>
            </w:r>
            <w:r>
              <w:rPr>
                <w:rFonts w:ascii="標楷體" w:hAnsi="標楷體" w:eastAsia="標楷體"/>
                <w:sz w:val="24"/>
              </w:rPr>
              <w:t>）</w:t>
            </w:r>
            <w:r>
              <w:rPr>
                <w:rFonts w:eastAsia="標楷體" w:ascii="標楷體" w:hAnsi="標楷體"/>
                <w:sz w:val="24"/>
              </w:rPr>
              <w:t>.</w:t>
            </w:r>
            <w:r>
              <w:rPr>
                <w:rFonts w:eastAsia="標楷體" w:cs="Arial" w:ascii="標楷體" w:hAnsi="標楷體"/>
                <w:i/>
                <w:sz w:val="24"/>
              </w:rPr>
              <w:t xml:space="preserve">MOSBY’S RESPIRATORY CARE EQUIPMENT </w:t>
            </w:r>
            <w:r>
              <w:rPr>
                <w:rFonts w:ascii="標楷體" w:hAnsi="標楷體" w:cs="Arial" w:eastAsia="標楷體"/>
                <w:sz w:val="24"/>
              </w:rPr>
              <w:t>（</w:t>
            </w:r>
            <w:r>
              <w:rPr>
                <w:rFonts w:eastAsia="標楷體" w:cs="Verdana" w:ascii="標楷體" w:hAnsi="標楷體"/>
                <w:sz w:val="24"/>
              </w:rPr>
              <w:t xml:space="preserve">9th </w:t>
            </w:r>
            <w:r>
              <w:rPr>
                <w:rFonts w:eastAsia="標楷體" w:ascii="標楷體" w:hAnsi="標楷體"/>
                <w:sz w:val="24"/>
              </w:rPr>
              <w:t>ed.</w:t>
            </w:r>
            <w:r>
              <w:rPr>
                <w:rFonts w:ascii="標楷體" w:hAnsi="標楷體" w:cs="Arial" w:eastAsia="標楷體"/>
                <w:sz w:val="24"/>
              </w:rPr>
              <w:t>）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/>
            </w:pPr>
            <w:r>
              <w:rPr/>
            </w:r>
          </w:p>
          <w:p>
            <w:pPr>
              <w:pStyle w:val="Aicheading"/>
              <w:spacing w:lineRule="exact" w:line="320"/>
              <w:rPr/>
            </w:pPr>
            <w:r>
              <w:rPr/>
            </w:r>
          </w:p>
          <w:p>
            <w:pPr>
              <w:pStyle w:val="Aicheading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ind w:firstLine="1117"/>
        <w:rPr>
          <w:rFonts w:eastAsia="標楷體"/>
          <w:b/>
          <w:b/>
        </w:rPr>
      </w:pPr>
      <w:r>
        <w:rPr>
          <w:rFonts w:eastAsia="標楷體"/>
          <w:b/>
        </w:rPr>
      </w:r>
    </w:p>
    <w:p>
      <w:pPr>
        <w:pStyle w:val="Normal"/>
        <w:ind w:firstLine="931"/>
        <w:rPr>
          <w:rFonts w:eastAsia="標楷體"/>
          <w:b/>
          <w:b/>
        </w:rPr>
      </w:pPr>
      <w:r>
        <w:rPr>
          <w:rFonts w:eastAsia="標楷體"/>
          <w:b/>
        </w:rPr>
      </w:r>
    </w:p>
    <w:p>
      <w:pPr>
        <w:pStyle w:val="Normal"/>
        <w:ind w:firstLine="931"/>
        <w:rPr>
          <w:rFonts w:eastAsia="標楷體"/>
          <w:b/>
          <w:b/>
        </w:rPr>
      </w:pPr>
      <w:r>
        <w:rPr>
          <w:rFonts w:eastAsia="標楷體"/>
          <w:b/>
        </w:rPr>
      </w:r>
    </w:p>
    <w:p>
      <w:pPr>
        <w:pStyle w:val="Normal"/>
        <w:ind w:firstLine="931"/>
        <w:rPr/>
      </w:pPr>
      <w:r>
        <w:rPr>
          <w:rFonts w:eastAsia="標楷體"/>
          <w:b/>
        </w:rP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1714500</wp:posOffset>
                </wp:positionH>
                <wp:positionV relativeFrom="paragraph">
                  <wp:posOffset>457200</wp:posOffset>
                </wp:positionV>
                <wp:extent cx="342900" cy="0"/>
                <wp:effectExtent l="0" t="38100" r="0" b="3810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pt,36pt" to="161.95pt,3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1600200</wp:posOffset>
                </wp:positionH>
                <wp:positionV relativeFrom="paragraph">
                  <wp:posOffset>7200900</wp:posOffset>
                </wp:positionV>
                <wp:extent cx="800100" cy="457200"/>
                <wp:effectExtent l="0" t="4445" r="254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0028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567pt" to="188.95pt,602.9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2743200</wp:posOffset>
                </wp:positionH>
                <wp:positionV relativeFrom="paragraph">
                  <wp:posOffset>7200900</wp:posOffset>
                </wp:positionV>
                <wp:extent cx="800100" cy="457200"/>
                <wp:effectExtent l="2540" t="4445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pt,567pt" to="278.95pt,602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w:t>高雄長庚紀念醫院呼吸治療科</w:t>
      </w:r>
      <w:r>
        <w:rPr>
          <w:rFonts w:eastAsia="Times New Roman"/>
          <w:b/>
        </w:rPr>
        <w:t xml:space="preserve">  </w:t>
      </w:r>
      <w:r>
        <w:rPr>
          <w:rFonts w:eastAsia="標楷體"/>
          <w:b/>
        </w:rPr>
        <w:t>藥物吸入治療作業流程</w:t>
      </w:r>
      <w:r>
        <w:rPr>
          <w:rFonts w:eastAsia="Times New Roman"/>
        </w:rPr>
        <w:t xml:space="preserve"> </w:t>
      </w:r>
      <w:r>
        <w:rPr>
          <w:rFonts w:eastAsia="標楷體" w:ascii="標楷體" w:hAnsi="標楷體"/>
          <w:sz w:val="20"/>
        </w:rPr>
        <w:t>99</w:t>
      </w:r>
      <w:r>
        <w:rPr>
          <w:rFonts w:ascii="標楷體" w:hAnsi="標楷體" w:eastAsia="標楷體"/>
          <w:sz w:val="20"/>
        </w:rPr>
        <w:t>年</w:t>
      </w:r>
      <w:r>
        <w:rPr>
          <w:rFonts w:eastAsia="標楷體" w:ascii="標楷體" w:hAnsi="標楷體"/>
          <w:sz w:val="20"/>
        </w:rPr>
        <w:t>6</w:t>
      </w:r>
      <w:r>
        <w:rPr>
          <w:rFonts w:ascii="標楷體" w:hAnsi="標楷體" w:eastAsia="標楷體"/>
          <w:sz w:val="20"/>
        </w:rPr>
        <w:t>月</w:t>
      </w:r>
      <w:r>
        <w:rPr>
          <w:rFonts w:eastAsia="標楷體" w:ascii="標楷體" w:hAnsi="標楷體"/>
          <w:sz w:val="20"/>
        </w:rPr>
        <w:t>25</w:t>
      </w:r>
      <w:r>
        <w:rPr>
          <w:rFonts w:ascii="標楷體" w:hAnsi="標楷體" w:eastAsia="標楷體"/>
          <w:sz w:val="20"/>
        </w:rPr>
        <w:t>日修定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561975</wp:posOffset>
                </wp:positionH>
                <wp:positionV relativeFrom="paragraph">
                  <wp:posOffset>219075</wp:posOffset>
                </wp:positionV>
                <wp:extent cx="1047750" cy="590550"/>
                <wp:effectExtent l="0" t="0" r="0" b="0"/>
                <wp:wrapNone/>
                <wp:docPr id="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接獲藥物吸入治療醫囑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2.5pt;height:46.5pt;mso-wrap-distance-left:9.05pt;mso-wrap-distance-right:9.05pt;mso-wrap-distance-top:0pt;mso-wrap-distance-bottom:0pt;margin-top:17.25pt;mso-position-vertical-relative:text;margin-left:44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接獲藥物吸入治療醫囑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2162175</wp:posOffset>
                </wp:positionH>
                <wp:positionV relativeFrom="paragraph">
                  <wp:posOffset>333375</wp:posOffset>
                </wp:positionV>
                <wp:extent cx="1390650" cy="361950"/>
                <wp:effectExtent l="0" t="0" r="0" b="0"/>
                <wp:wrapNone/>
                <wp:docPr id="1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619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核對醫囑（三讀五對）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9.5pt;height:28.5pt;mso-wrap-distance-left:9.05pt;mso-wrap-distance-right:9.05pt;mso-wrap-distance-top:0pt;mso-wrap-distance-bottom:0pt;margin-top:26.25pt;mso-position-vertical-relative:text;margin-left:170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核對醫囑（三讀五對）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1019175</wp:posOffset>
                </wp:positionH>
                <wp:positionV relativeFrom="paragraph">
                  <wp:posOffset>7648575</wp:posOffset>
                </wp:positionV>
                <wp:extent cx="1276350" cy="819150"/>
                <wp:effectExtent l="0" t="0" r="0" b="0"/>
                <wp:wrapNone/>
                <wp:docPr id="1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8191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改善，可建議醫師是否採降階治療或維持原治療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64.5pt;mso-wrap-distance-left:9.05pt;mso-wrap-distance-right:9.05pt;mso-wrap-distance-top:0pt;mso-wrap-distance-bottom:0pt;margin-top:602.25pt;mso-position-vertical-relative:text;margin-left:80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改善，可建議醫師是否採降階治療或維持原治療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2505075</wp:posOffset>
                </wp:positionH>
                <wp:positionV relativeFrom="paragraph">
                  <wp:posOffset>7648575</wp:posOffset>
                </wp:positionV>
                <wp:extent cx="2190750" cy="476250"/>
                <wp:effectExtent l="0" t="0" r="0" b="0"/>
                <wp:wrapNone/>
                <wp:docPr id="1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未改善，建議醫師是否調整使用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2.5pt;height:37.5pt;mso-wrap-distance-left:9.05pt;mso-wrap-distance-right:9.05pt;mso-wrap-distance-top:0pt;mso-wrap-distance-bottom:0pt;margin-top:602.25pt;mso-position-vertical-relative:text;margin-left:197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未改善，建議醫師是否調整使用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ascii="標楷體" w:hAnsi="標楷體" w:eastAsia="標楷體"/>
          <w:sz w:val="20"/>
        </w:rPr>
      </w:pPr>
      <w:r>
        <w:rPr>
          <w:rFonts w:eastAsia="標楷體" w:ascii="標楷體" w:hAnsi="標楷體"/>
          <w:sz w:val="20"/>
        </w:rPr>
      </w:r>
    </w:p>
    <w:p>
      <w:pPr>
        <w:pStyle w:val="Normal"/>
        <w:spacing w:lineRule="exact" w:line="320"/>
        <w:rPr>
          <w:rFonts w:eastAsia="標楷體"/>
          <w:b/>
          <w:b/>
          <w:sz w:val="20"/>
          <w:lang w:val="zh-TW" w:eastAsia="zh-TW"/>
        </w:rPr>
      </w:pPr>
      <w:r>
        <w:rPr>
          <w:rFonts w:eastAsia="標楷體"/>
          <w:b/>
          <w:sz w:val="20"/>
          <w:lang w:val="zh-TW" w:eastAsia="zh-TW"/>
        </w:rP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4000500</wp:posOffset>
                </wp:positionH>
                <wp:positionV relativeFrom="paragraph">
                  <wp:posOffset>2286000</wp:posOffset>
                </wp:positionV>
                <wp:extent cx="228600" cy="114300"/>
                <wp:effectExtent l="2540" t="4445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144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180pt" to="332.95pt,188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5143500</wp:posOffset>
                </wp:positionH>
                <wp:positionV relativeFrom="paragraph">
                  <wp:posOffset>5194300</wp:posOffset>
                </wp:positionV>
                <wp:extent cx="2171700" cy="457200"/>
                <wp:effectExtent l="184785" t="636270" r="5715" b="5715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457200"/>
                        </a:xfrm>
                        <a:prstGeom prst="wedgeRoundRectCallout">
                          <a:avLst>
                            <a:gd name="adj1" fmla="val -57513"/>
                            <a:gd name="adj2" fmla="val -185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rFonts w:ascii="Times New Roman" w:hAnsi="Times New Roman" w:eastAsia="新細明體" w:cs="Times New Roman"/>
                                <w:color w:val="auto"/>
                                <w:lang w:val="en-US" w:eastAsia="zh-TW" w:bidi="ar-SA"/>
                              </w:rPr>
                              <w:t>護理部認為需再討論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2" coordsize="21600,21600" o:spt="62" adj="3600,13500,-4500" path="m0@31qy@37@38l@9,l@18@26l@10,l@32,qx@39@37l21600@13l@20@28l21600@14l21600@33qy@40@41l@10,21600l@22@30l@9,21600l@31,21600qx@38@40l0@14l@16@24l0@13xe">
                <v:stroke joinstyle="miter"/>
                <v:formulas>
                  <v:f eqn="val #2"/>
                  <v:f eqn="val #1"/>
                  <v:f eqn="sum 10800 @0 0"/>
                  <v:f eqn="sum 10800 @1 0"/>
                  <v:f eqn="abs @1"/>
                  <v:f eqn="abs @0"/>
                  <v:f eqn="sum @4 0 @5"/>
                  <v:f eqn="if @0 7 2"/>
                  <v:f eqn="if @0 10 5"/>
                  <v:f eqn="prod 5400 @7 3"/>
                  <v:f eqn="prod 5400 @8 3"/>
                  <v:f eqn="if @1 7 2"/>
                  <v:f eqn="if @1 10 5"/>
                  <v:f eqn="prod 5400 @11 3"/>
                  <v:f eqn="prod 5400 @12 3"/>
                  <v:f eqn="if @0 0 @2"/>
                  <v:f eqn="if @6 0 @15"/>
                  <v:f eqn="if @1 @9 @2"/>
                  <v:f eqn="if @6 @17 @9"/>
                  <v:f eqn="if @0 @2 width"/>
                  <v:f eqn="if @6 width @19"/>
                  <v:f eqn="if @1 @2 @9"/>
                  <v:f eqn="if @6 @21 @9"/>
                  <v:f eqn="if @0 @13 @3"/>
                  <v:f eqn="if @6 @13 @23"/>
                  <v:f eqn="if @1 0 @3"/>
                  <v:f eqn="if @6 @25 0"/>
                  <v:f eqn="if @0 @3 @13"/>
                  <v:f eqn="if @6 @13 @27"/>
                  <v:f eqn="if @1 @3 height"/>
                  <v:f eqn="if @6 @29 height"/>
                  <v:f eqn="val #0"/>
                  <v:f eqn="sum width 0 @31"/>
                  <v:f eqn="sum height 0 @31"/>
                  <v:f eqn="prod @31 2929 10000"/>
                  <v:f eqn="sum width 0 @34"/>
                  <v:f eqn="sum height 0 @34"/>
                  <v:f eqn="sum @31 0 0"/>
                  <v:f eqn="sum 0 @31 @31"/>
                  <v:f eqn="sum @31 @32 0"/>
                  <v:f eqn="sum 0 21600 @31"/>
                  <v:f eqn="sum @31 @33 0"/>
                </v:formulas>
                <v:path gradientshapeok="t" o:connecttype="rect" textboxrect="@34,@34,@35,@36"/>
                <v:handles>
                  <v:h position="@2,@3"/>
                </v:handles>
              </v:shapetype>
              <v:shape id="shape_0" fillcolor="white" stroked="t" o:allowincell="f" style="position:absolute;margin-left:405pt;margin-top:409pt;width:170.95pt;height:35.95pt;mso-wrap-style:square;v-text-anchor:top" type="_x0000_t6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kern w:val="2"/>
                          <w:sz w:val="24"/>
                          <w:szCs w:val="24"/>
                          <w:rFonts w:ascii="Times New Roman" w:hAnsi="Times New Roman" w:eastAsia="新細明體" w:cs="Times New Roman"/>
                          <w:color w:val="auto"/>
                          <w:lang w:val="en-US" w:eastAsia="zh-TW" w:bidi="ar-SA"/>
                        </w:rPr>
                        <w:t>護理部認為需再討論</w:t>
                      </w:r>
                    </w:p>
                  </w:txbxContent>
                </v:textbox>
                <v:fill o:detectmouseclick="t" type="solid" color2="black"/>
                <v:stroke color="red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column">
                  <wp:posOffset>3886200</wp:posOffset>
                </wp:positionH>
                <wp:positionV relativeFrom="paragraph">
                  <wp:posOffset>4914900</wp:posOffset>
                </wp:positionV>
                <wp:extent cx="571500" cy="342900"/>
                <wp:effectExtent l="0" t="4445" r="2540" b="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68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6pt,387pt" to="350.95pt,413.9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2057400</wp:posOffset>
                </wp:positionH>
                <wp:positionV relativeFrom="paragraph">
                  <wp:posOffset>4686300</wp:posOffset>
                </wp:positionV>
                <wp:extent cx="800100" cy="571500"/>
                <wp:effectExtent l="3175" t="4445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571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369pt" to="224.95pt,413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5029200</wp:posOffset>
                </wp:positionH>
                <wp:positionV relativeFrom="paragraph">
                  <wp:posOffset>3429000</wp:posOffset>
                </wp:positionV>
                <wp:extent cx="0" cy="228600"/>
                <wp:effectExtent l="38100" t="0" r="3810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pt,270pt" to="396pt,287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1828800</wp:posOffset>
                </wp:positionH>
                <wp:positionV relativeFrom="paragraph">
                  <wp:posOffset>3657600</wp:posOffset>
                </wp:positionV>
                <wp:extent cx="0" cy="228600"/>
                <wp:effectExtent l="38100" t="0" r="38100" b="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pt,288pt" to="144pt,305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column">
                  <wp:posOffset>3657600</wp:posOffset>
                </wp:positionH>
                <wp:positionV relativeFrom="paragraph">
                  <wp:posOffset>4279900</wp:posOffset>
                </wp:positionV>
                <wp:extent cx="1600200" cy="571500"/>
                <wp:effectExtent l="5080" t="5080" r="5715" b="5715"/>
                <wp:wrapSquare wrapText="bothSides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71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288pt;margin-top:337pt;width:125.95pt;height:44.95pt;mso-wrap-style:none;v-text-anchor:middle">
                <v:fill o:detectmouseclick="t" type="solid" color2="black"/>
                <v:stroke color="red" weight="9360" joinstyle="miter" endcap="flat"/>
                <w10:wrap type="square"/>
              </v:oval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2171700</wp:posOffset>
                </wp:positionH>
                <wp:positionV relativeFrom="paragraph">
                  <wp:posOffset>2286000</wp:posOffset>
                </wp:positionV>
                <wp:extent cx="228600" cy="114300"/>
                <wp:effectExtent l="0" t="4445" r="2540" b="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8600" cy="1144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pt,180pt" to="188.95pt,188.9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3657600</wp:posOffset>
                </wp:positionH>
                <wp:positionV relativeFrom="paragraph">
                  <wp:posOffset>1714500</wp:posOffset>
                </wp:positionV>
                <wp:extent cx="0" cy="228600"/>
                <wp:effectExtent l="38100" t="0" r="38100" b="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8pt,135pt" to="288pt,152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2628900</wp:posOffset>
                </wp:positionH>
                <wp:positionV relativeFrom="paragraph">
                  <wp:posOffset>457200</wp:posOffset>
                </wp:positionV>
                <wp:extent cx="0" cy="228600"/>
                <wp:effectExtent l="38100" t="0" r="38100" b="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pt,36pt" to="207pt,53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2505075</wp:posOffset>
                </wp:positionH>
                <wp:positionV relativeFrom="paragraph">
                  <wp:posOffset>5248275</wp:posOffset>
                </wp:positionV>
                <wp:extent cx="1962150" cy="819150"/>
                <wp:effectExtent l="0" t="0" r="0" b="0"/>
                <wp:wrapNone/>
                <wp:docPr id="2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8191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執行後評估成效：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呼吸音是否改善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呼吸型態是否趨於穩定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4.5pt;height:64.5pt;mso-wrap-distance-left:9.05pt;mso-wrap-distance-right:9.05pt;mso-wrap-distance-top:0pt;mso-wrap-distance-bottom:0pt;margin-top:413.25pt;mso-position-vertical-relative:text;margin-left:197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執行後評估成效：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呼吸音是否改善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呼吸型態是否趨於穩定</w:t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3419475</wp:posOffset>
                </wp:positionH>
                <wp:positionV relativeFrom="paragraph">
                  <wp:posOffset>3648075</wp:posOffset>
                </wp:positionV>
                <wp:extent cx="4019550" cy="1276350"/>
                <wp:effectExtent l="0" t="0" r="0" b="0"/>
                <wp:wrapNone/>
                <wp:docPr id="2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2763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" w:ascii="標楷體" w:hAnsi="標楷體"/>
                                <w:sz w:val="20"/>
                              </w:rPr>
                              <w:t>RT</w:t>
                            </w: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因照護其他緊急病患，或同時間點執行多種藥物吸入，而不克前來執行藥杯更換時，為顧及病患吸藥時效及品質，可委託護理人員代為執行</w:t>
                            </w:r>
                            <w:r>
                              <w:rPr>
                                <w:rFonts w:eastAsia="標楷體"/>
                                <w:sz w:val="20"/>
                              </w:rPr>
                              <w:t>項目：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0"/>
                              </w:numPr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更換藥杯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恢復氧氣設備的裝置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16.5pt;height:100.5pt;mso-wrap-distance-left:9.05pt;mso-wrap-distance-right:9.05pt;mso-wrap-distance-top:0pt;mso-wrap-distance-bottom:0pt;margin-top:287.25pt;mso-position-vertical-relative:text;margin-left:269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" w:ascii="標楷體" w:hAnsi="標楷體"/>
                          <w:sz w:val="20"/>
                        </w:rPr>
                        <w:t>RT</w:t>
                      </w:r>
                      <w:r>
                        <w:rPr>
                          <w:rFonts w:ascii="標楷體" w:hAnsi="標楷體" w:eastAsia="標楷體"/>
                          <w:sz w:val="20"/>
                        </w:rPr>
                        <w:t>因照護其他緊急病患，或同時間點執行多種藥物吸入，而不克前來執行藥杯更換時，為顧及病患吸藥時效及品質，可委託護理人員代為執行</w:t>
                      </w:r>
                      <w:r>
                        <w:rPr>
                          <w:rFonts w:eastAsia="標楷體"/>
                          <w:sz w:val="20"/>
                        </w:rPr>
                        <w:t>項目：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0"/>
                        </w:numPr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更換藥杯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0"/>
                        </w:numPr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恢復氧氣設備的裝置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column">
                  <wp:posOffset>1133475</wp:posOffset>
                </wp:positionH>
                <wp:positionV relativeFrom="paragraph">
                  <wp:posOffset>3876675</wp:posOffset>
                </wp:positionV>
                <wp:extent cx="1390650" cy="819150"/>
                <wp:effectExtent l="0" t="0" r="0" b="0"/>
                <wp:wrapNone/>
                <wp:docPr id="2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8191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RT</w:t>
                            </w:r>
                            <w:r>
                              <w:rPr>
                                <w:rFonts w:eastAsia="標楷體"/>
                                <w:sz w:val="20"/>
                              </w:rPr>
                              <w:t>需經常性檢視病患使用情況（含給予衛教單張）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9.5pt;height:64.5pt;mso-wrap-distance-left:9.05pt;mso-wrap-distance-right:9.05pt;mso-wrap-distance-top:0pt;mso-wrap-distance-bottom:0pt;margin-top:305.25pt;mso-position-vertical-relative:text;margin-left:89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RT</w:t>
                      </w:r>
                      <w:r>
                        <w:rPr>
                          <w:rFonts w:eastAsia="標楷體"/>
                          <w:sz w:val="20"/>
                        </w:rPr>
                        <w:t>需經常性檢視病患使用情況（含給予衛教單張）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3762375</wp:posOffset>
                </wp:positionH>
                <wp:positionV relativeFrom="paragraph">
                  <wp:posOffset>2390775</wp:posOffset>
                </wp:positionV>
                <wp:extent cx="3562350" cy="1047750"/>
                <wp:effectExtent l="0" t="0" r="0" b="0"/>
                <wp:wrapNone/>
                <wp:docPr id="26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0477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以下情況由</w:t>
                            </w:r>
                            <w:r>
                              <w:rPr>
                                <w:rFonts w:eastAsia="標楷體" w:ascii="標楷體" w:hAnsi="標楷體"/>
                                <w:sz w:val="20"/>
                              </w:rPr>
                              <w:t>RT</w:t>
                            </w: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全程執行：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若沒有照護家屬、家屬不具學習意願、或無法正確回覆示教。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使用呼吸器的病患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80.5pt;height:82.5pt;mso-wrap-distance-left:9.05pt;mso-wrap-distance-right:9.05pt;mso-wrap-distance-top:0pt;mso-wrap-distance-bottom:0pt;margin-top:188.25pt;mso-position-vertical-relative:text;margin-left:296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以下情況由</w:t>
                      </w:r>
                      <w:r>
                        <w:rPr>
                          <w:rFonts w:eastAsia="標楷體" w:ascii="標楷體" w:hAnsi="標楷體"/>
                          <w:sz w:val="20"/>
                        </w:rPr>
                        <w:t>RT</w:t>
                      </w:r>
                      <w:r>
                        <w:rPr>
                          <w:rFonts w:ascii="標楷體" w:hAnsi="標楷體" w:eastAsia="標楷體"/>
                          <w:sz w:val="20"/>
                        </w:rPr>
                        <w:t>全程執行：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若沒有照護家屬、家屬不具學習意願、或無法正確回覆示教。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使用呼吸器的病患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219075</wp:posOffset>
                </wp:positionH>
                <wp:positionV relativeFrom="paragraph">
                  <wp:posOffset>2390775</wp:posOffset>
                </wp:positionV>
                <wp:extent cx="2419350" cy="1276350"/>
                <wp:effectExtent l="0" t="0" r="0" b="0"/>
                <wp:wrapNone/>
                <wp:docPr id="2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2763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若家屬</w:t>
                            </w:r>
                            <w:r>
                              <w:rPr>
                                <w:rFonts w:eastAsia="標楷體"/>
                                <w:sz w:val="20"/>
                              </w:rPr>
                              <w:t>能正確回覆示教</w:t>
                            </w: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及具有意願，可由</w:t>
                            </w:r>
                            <w:r>
                              <w:rPr>
                                <w:rFonts w:eastAsia="標楷體" w:ascii="標楷體" w:hAnsi="標楷體"/>
                                <w:sz w:val="20"/>
                              </w:rPr>
                              <w:t>RT</w:t>
                            </w: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指導下共同完成如下的項目：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更換藥杯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恢復氧氣設備的裝置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（以上項目屬長期照護</w:t>
                            </w:r>
                            <w:r>
                              <w:rPr>
                                <w:rFonts w:eastAsia="標楷體"/>
                                <w:sz w:val="20"/>
                              </w:rPr>
                              <w:t>簡易基本動作</w:t>
                            </w: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rPr>
                                <w:rFonts w:ascii="標楷體" w:hAnsi="標楷體" w:eastAsia="標楷體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20"/>
                              </w:rPr>
                              <w:t>清洗藥杯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0.5pt;height:100.5pt;mso-wrap-distance-left:9.05pt;mso-wrap-distance-right:9.05pt;mso-wrap-distance-top:0pt;mso-wrap-distance-bottom:0pt;margin-top:188.25pt;mso-position-vertical-relative:text;margin-left:17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若家屬</w:t>
                      </w:r>
                      <w:r>
                        <w:rPr>
                          <w:rFonts w:eastAsia="標楷體"/>
                          <w:sz w:val="20"/>
                        </w:rPr>
                        <w:t>能正確回覆示教</w:t>
                      </w:r>
                      <w:r>
                        <w:rPr>
                          <w:rFonts w:ascii="標楷體" w:hAnsi="標楷體" w:eastAsia="標楷體"/>
                          <w:sz w:val="20"/>
                        </w:rPr>
                        <w:t>及具有意願，可由</w:t>
                      </w:r>
                      <w:r>
                        <w:rPr>
                          <w:rFonts w:eastAsia="標楷體" w:ascii="標楷體" w:hAnsi="標楷體"/>
                          <w:sz w:val="20"/>
                        </w:rPr>
                        <w:t>RT</w:t>
                      </w:r>
                      <w:r>
                        <w:rPr>
                          <w:rFonts w:ascii="標楷體" w:hAnsi="標楷體" w:eastAsia="標楷體"/>
                          <w:sz w:val="20"/>
                        </w:rPr>
                        <w:t>指導下共同完成如下的項目：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更換藥杯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恢復氧氣設備的裝置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（以上項目屬長期照護</w:t>
                      </w:r>
                      <w:r>
                        <w:rPr>
                          <w:rFonts w:eastAsia="標楷體"/>
                          <w:sz w:val="20"/>
                        </w:rPr>
                        <w:t>簡易基本動作</w:t>
                      </w:r>
                      <w:r>
                        <w:rPr>
                          <w:rFonts w:ascii="標楷體" w:hAnsi="標楷體" w:eastAsia="標楷體"/>
                          <w:sz w:val="20"/>
                        </w:rPr>
                        <w:t>）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rPr>
                          <w:rFonts w:ascii="標楷體" w:hAnsi="標楷體" w:eastAsia="標楷體"/>
                          <w:sz w:val="20"/>
                        </w:rPr>
                      </w:pPr>
                      <w:r>
                        <w:rPr>
                          <w:rFonts w:ascii="標楷體" w:hAnsi="標楷體" w:eastAsia="標楷體"/>
                          <w:sz w:val="20"/>
                        </w:rPr>
                        <w:t>清洗藥杯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2390775</wp:posOffset>
                </wp:positionH>
                <wp:positionV relativeFrom="paragraph">
                  <wp:posOffset>1933575</wp:posOffset>
                </wp:positionV>
                <wp:extent cx="2305050" cy="361950"/>
                <wp:effectExtent l="0" t="0" r="0" b="0"/>
                <wp:wrapNone/>
                <wp:docPr id="2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619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執行吸藥衛教及呼吸治療師自我介紹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81.5pt;height:28.5pt;mso-wrap-distance-left:9.05pt;mso-wrap-distance-right:9.05pt;mso-wrap-distance-top:0pt;mso-wrap-distance-bottom:0pt;margin-top:152.25pt;mso-position-vertical-relative:text;margin-left:188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20"/>
                        </w:rPr>
                      </w:pPr>
                      <w:r>
                        <w:rPr>
                          <w:rFonts w:eastAsia="標楷體"/>
                          <w:sz w:val="20"/>
                        </w:rPr>
                        <w:t>執行吸藥衛教及呼吸治療師自我介紹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1704975</wp:posOffset>
                </wp:positionH>
                <wp:positionV relativeFrom="paragraph">
                  <wp:posOffset>676275</wp:posOffset>
                </wp:positionV>
                <wp:extent cx="4248150" cy="1047750"/>
                <wp:effectExtent l="0" t="0" r="0" b="0"/>
                <wp:wrapNone/>
                <wp:docPr id="2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10477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18"/>
                              </w:rPr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進行病人辨識系統：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="標楷體"/>
                                <w:sz w:val="18"/>
                              </w:rPr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在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RT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引導下由病患說出自己姓名，需執行兩項以上之辨識系統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="標楷體"/>
                                <w:sz w:val="18"/>
                              </w:rPr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若病人不在病房，而無法執行病人辨識，則不能給予治療。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="標楷體"/>
                                <w:sz w:val="18"/>
                              </w:rPr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評估病患是否需要，若有疑問，請與醫師確認。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34.5pt;height:82.5pt;mso-wrap-distance-left:9.05pt;mso-wrap-distance-right:9.05pt;mso-wrap-distance-top:0pt;mso-wrap-distance-bottom:0pt;margin-top:53.25pt;mso-position-vertical-relative:text;margin-left:134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18"/>
                        </w:rPr>
                      </w:pPr>
                      <w:r>
                        <w:rPr>
                          <w:rFonts w:eastAsia="標楷體"/>
                          <w:sz w:val="18"/>
                        </w:rPr>
                        <w:t>進行病人辨識系統：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rPr>
                          <w:rFonts w:eastAsia="標楷體"/>
                          <w:sz w:val="18"/>
                        </w:rPr>
                      </w:pPr>
                      <w:r>
                        <w:rPr>
                          <w:rFonts w:eastAsia="標楷體"/>
                          <w:sz w:val="18"/>
                        </w:rPr>
                        <w:t>在</w:t>
                      </w:r>
                      <w:r>
                        <w:rPr>
                          <w:rFonts w:eastAsia="標楷體"/>
                          <w:sz w:val="18"/>
                        </w:rPr>
                        <w:t>RT</w:t>
                      </w:r>
                      <w:r>
                        <w:rPr>
                          <w:rFonts w:eastAsia="標楷體"/>
                          <w:sz w:val="18"/>
                        </w:rPr>
                        <w:t>引導下由病患說出自己姓名，需執行兩項以上之辨識系統</w:t>
                      </w:r>
                      <w:r>
                        <w:rPr>
                          <w:rFonts w:eastAsia="標楷體"/>
                          <w:sz w:val="18"/>
                        </w:rPr>
                        <w:t>)</w:t>
                      </w:r>
                      <w:r>
                        <w:rPr>
                          <w:rFonts w:eastAsia="標楷體"/>
                          <w:sz w:val="18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rPr>
                          <w:rFonts w:eastAsia="標楷體"/>
                          <w:sz w:val="18"/>
                        </w:rPr>
                      </w:pPr>
                      <w:r>
                        <w:rPr>
                          <w:rFonts w:eastAsia="標楷體"/>
                          <w:sz w:val="18"/>
                        </w:rPr>
                        <w:t>若病人不在病房，而無法執行病人辨識，則不能給予治療。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rPr>
                          <w:rFonts w:eastAsia="標楷體"/>
                          <w:sz w:val="18"/>
                        </w:rPr>
                      </w:pPr>
                      <w:r>
                        <w:rPr>
                          <w:rFonts w:eastAsia="標楷體"/>
                          <w:sz w:val="18"/>
                        </w:rPr>
                        <w:t>評估病患是否需要，若有疑問，請與醫師確認。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5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新細明體">
    <w:charset w:val="88"/>
    <w:family w:val="auto"/>
    <w:pitch w:val="variable"/>
  </w:font>
  <w:font w:name="標楷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auto"/>
    <w:pitch w:val="variable"/>
  </w:font>
  <w:font w:name="Arial Unicode M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標楷體" w:hAnsi="標楷體" w:cs="標楷體" w:eastAsia="標楷體"/>
      </w:rPr>
      <w:t>藥物吸入治療</w:t>
    </w:r>
    <w:r>
      <w:rPr>
        <w:rFonts w:eastAsia="標楷體" w:cs="標楷體" w:ascii="標楷體" w:hAnsi="標楷體"/>
      </w:rPr>
      <w:t>--</w:t>
    </w:r>
    <w:r>
      <w:rPr>
        <w:rFonts w:ascii="標楷體" w:hAnsi="標楷體" w:cs="標楷體" w:eastAsia="標楷體"/>
      </w:rPr>
      <w:t>常見裝置</w:t>
    </w:r>
    <w:r>
      <w:rPr>
        <w:rFonts w:ascii="標楷體" w:hAnsi="標楷體" w:eastAsia="標楷體"/>
      </w:rPr>
      <w:t>作業規範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/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510" w:hanging="510"/>
      </w:pPr>
      <w:rPr/>
    </w:lvl>
  </w:abstractNum>
  <w:abstractNum w:abstractNumId="3"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4">
    <w:lvl w:ilvl="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/>
    </w:lvl>
  </w:abstractNum>
  <w:abstractNum w:abstractNumId="5"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6">
    <w:lvl w:ilvl="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/>
    </w:lvl>
  </w:abstractNum>
  <w:abstractNum w:abstractNumId="7"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 w:cs="新細明體"/>
      </w:rPr>
    </w:lvl>
  </w:abstractNum>
  <w:abstractNum w:abstractNumId="9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0"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11"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12">
    <w:lvl w:ilvl="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/>
    </w:lvl>
  </w:abstractNum>
  <w:abstractNum w:abstractNumId="1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54" w:hanging="454"/>
      </w:pPr>
      <w:rPr>
        <w:rFonts w:ascii="標楷體" w:hAnsi="標楷體" w:eastAsia="標楷體" w:cs="新細明體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color w:val="000000"/>
    </w:rPr>
  </w:style>
  <w:style w:type="character" w:styleId="WW8Num3z0">
    <w:name w:val="WW8Num3z0"/>
    <w:qFormat/>
    <w:rPr>
      <w:rFonts w:ascii="新細明體" w:hAnsi="新細明體" w:eastAsia="新細明體" w:cs="新細明體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標楷體" w:hAnsi="標楷體" w:eastAsia="標楷體" w:cs="新細明體"/>
    </w:rPr>
  </w:style>
  <w:style w:type="character" w:styleId="WW8Num9z1">
    <w:name w:val="WW8Num9z1"/>
    <w:qFormat/>
    <w:rPr>
      <w:rFonts w:ascii="新細明體" w:hAnsi="新細明體" w:eastAsia="新細明體" w:cs="新細明體"/>
    </w:rPr>
  </w:style>
  <w:style w:type="character" w:styleId="WW8Num10z0">
    <w:name w:val="WW8Num10z0"/>
    <w:qFormat/>
    <w:rPr>
      <w:rFonts w:ascii="標楷體" w:hAnsi="標楷體" w:eastAsia="標楷體"/>
    </w:rPr>
  </w:style>
  <w:style w:type="character" w:styleId="WW8Num10z1">
    <w:name w:val="WW8Num10z1"/>
    <w:qFormat/>
    <w:rPr>
      <w:rFonts w:ascii="新細明體" w:hAnsi="新細明體" w:eastAsia="新細明體" w:cs="新細明體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5z0">
    <w:name w:val="WW8Num15z0"/>
    <w:qFormat/>
    <w:rPr>
      <w:rFonts w:ascii="標楷體" w:hAnsi="標楷體" w:eastAsia="標楷體" w:cs="新細明體"/>
    </w:rPr>
  </w:style>
  <w:style w:type="character" w:styleId="WW8Num15z1">
    <w:name w:val="WW8Num15z1"/>
    <w:qFormat/>
    <w:rPr>
      <w:rFonts w:ascii="新細明體" w:hAnsi="新細明體" w:eastAsia="新細明體" w:cs="新細明體"/>
    </w:rPr>
  </w:style>
  <w:style w:type="character" w:styleId="WW8Num16z0">
    <w:name w:val="WW8Num16z0"/>
    <w:qFormat/>
    <w:rPr>
      <w:rFonts w:ascii="標楷體" w:hAnsi="標楷體" w:eastAsia="標楷體"/>
    </w:rPr>
  </w:style>
  <w:style w:type="character" w:styleId="WW8Num16z1">
    <w:name w:val="WW8Num16z1"/>
    <w:qFormat/>
    <w:rPr>
      <w:rFonts w:ascii="新細明體" w:hAnsi="新細明體" w:eastAsia="新細明體" w:cs="新細明體"/>
    </w:rPr>
  </w:style>
  <w:style w:type="character" w:styleId="Style14">
    <w:name w:val="預設段落字型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nkwww.cgmh.org.tw/webwork/non/non_log.asp?serialno=01319&amp;nsno=N26001" TargetMode="External"/><Relationship Id="rId3" Type="http://schemas.openxmlformats.org/officeDocument/2006/relationships/hyperlink" Target="http://cghasp.cgmh.org.tw/rule/rule_10_04/070320004_upload_pdf.pdf" TargetMode="External"/><Relationship Id="rId4" Type="http://schemas.openxmlformats.org/officeDocument/2006/relationships/hyperlink" Target="http://lnkwww.cgmh.org.tw/webwork/non/non_log.asp?serialno=01274&amp;nsno=N11071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2010-06-29T04:36:00Z</dcterms:created>
  <dc:creator>CGMH</dc:creator>
  <dc:description/>
  <cp:keywords/>
  <dc:language>zh-TW</dc:language>
  <cp:lastModifiedBy>陸蔓綺</cp:lastModifiedBy>
  <cp:lastPrinted>2005-07-13T10:06:00Z</cp:lastPrinted>
  <dcterms:modified xsi:type="dcterms:W3CDTF">2019-06-19T11:56:00Z</dcterms:modified>
  <cp:revision>25</cp:revision>
  <dc:subject/>
  <dc:title>最大吸氣壓最大吐氣壓技術評核表標準作業規範(一)</dc:title>
</cp:coreProperties>
</file>