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  <w:t>超音波噴霧治療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(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52"/>
                              </w:rPr>
                              <w:t>Ultrasonic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nebulizer)</w:t>
                            </w:r>
                            <w:r>
                              <w:rPr>
                                <w:rFonts w:ascii="Arial Narrow" w:hAnsi="Arial Narrow" w:cs="Arial Narrow"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ascii="Arial Narrow" w:hAnsi="Arial Narrow" w:cs="Arial Narrow"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ascii="Arial Narrow" w:hAnsi="Arial Narrow" w:cs="Arial Narrow"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sz w:val="52"/>
                        </w:rPr>
                        <w:t>超音波噴霧治療</w:t>
                      </w:r>
                      <w:r>
                        <w:rPr>
                          <w:rFonts w:eastAsia="標楷體"/>
                          <w:sz w:val="52"/>
                        </w:rPr>
                        <w:t>(</w:t>
                      </w:r>
                      <w:r>
                        <w:rPr>
                          <w:rFonts w:eastAsia="標楷體"/>
                          <w:color w:val="000000"/>
                          <w:sz w:val="52"/>
                        </w:rPr>
                        <w:t>Ultrasonic</w:t>
                      </w:r>
                      <w:r>
                        <w:rPr>
                          <w:rFonts w:eastAsia="標楷體"/>
                          <w:color w:val="000000"/>
                          <w:sz w:val="5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52"/>
                        </w:rPr>
                        <w:t>nebulizer)</w:t>
                      </w:r>
                      <w:r>
                        <w:rPr>
                          <w:rFonts w:ascii="Arial Narrow" w:hAnsi="Arial Narrow" w:cs="Arial Narrow" w:eastAsia="標楷體"/>
                          <w:sz w:val="52"/>
                        </w:rPr>
                        <w:t>標準作</w:t>
                      </w:r>
                      <w:r>
                        <w:rPr>
                          <w:rFonts w:ascii="Arial Narrow" w:hAnsi="Arial Narrow" w:cs="Arial Narrow" w:eastAsia="標楷體"/>
                          <w:sz w:val="52"/>
                        </w:rPr>
                        <w:t>業</w:t>
                      </w:r>
                      <w:r>
                        <w:rPr>
                          <w:rFonts w:ascii="Arial Narrow" w:hAnsi="Arial Narrow" w:cs="Arial Narrow"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A020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A020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2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</w:rPr>
        <w:t>超音波噴霧治療</w:t>
      </w:r>
      <w:r>
        <w:rPr>
          <w:rFonts w:eastAsia="標楷體"/>
          <w:sz w:val="32"/>
        </w:rPr>
        <w:t>(</w:t>
      </w:r>
      <w:r>
        <w:rPr>
          <w:rFonts w:eastAsia="標楷體"/>
          <w:color w:val="000000"/>
          <w:sz w:val="32"/>
        </w:rPr>
        <w:t>ultrasonic</w:t>
      </w:r>
      <w:r>
        <w:rPr>
          <w:rFonts w:eastAsia="標楷體"/>
          <w:sz w:val="32"/>
        </w:rPr>
        <w:t xml:space="preserve"> nebulizer)</w:t>
      </w:r>
      <w:r>
        <w:rPr>
          <w:rFonts w:eastAsia="標楷體"/>
          <w:sz w:val="32"/>
        </w:rPr>
        <w:t>標準作業規範</w:t>
      </w:r>
      <w:r>
        <w:rPr>
          <w:rFonts w:ascii="標楷體" w:hAnsi="標楷體" w:cs="標楷體" w:eastAsia="標楷體"/>
          <w:sz w:val="32"/>
        </w:rPr>
        <w:t xml:space="preserve">  </w:t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lang w:val="zh-TW" w:eastAsia="zh-TW"/>
        </w:rPr>
      </w:pPr>
      <w:r>
        <w:rPr>
          <w:rFonts w:eastAsia="標楷體" w:cs="標楷體" w:ascii="標楷體" w:hAnsi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-105410</wp:posOffset>
                </wp:positionH>
                <wp:positionV relativeFrom="paragraph">
                  <wp:posOffset>720090</wp:posOffset>
                </wp:positionV>
                <wp:extent cx="8924290" cy="475869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4758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"/>
                                <w:color w:val="FF0000"/>
                                <w:sz w:val="44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4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color w:val="FF0000"/>
                                <w:sz w:val="44"/>
                              </w:rPr>
                            </w:pPr>
                            <w:r>
                              <w:rPr>
                                <w:rFonts w:eastAsia="標楷體"/>
                                <w:color w:val="FF0000"/>
                                <w:sz w:val="44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640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4813935" cy="3441700"/>
                                  <wp:effectExtent l="0" t="0" r="0" b="0"/>
                                  <wp:docPr id="7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17" r="-11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35" cy="344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374.7pt;mso-wrap-distance-left:9.05pt;mso-wrap-distance-right:9.05pt;mso-wrap-distance-top:0pt;mso-wrap-distance-bottom:0pt;margin-top:56.7pt;mso-position-vertical-relative:text;margin-left:-8.3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"/>
                          <w:color w:val="FF0000"/>
                          <w:sz w:val="44"/>
                        </w:rPr>
                      </w:pPr>
                      <w:r>
                        <w:rPr>
                          <w:rFonts w:eastAsia="標楷體"/>
                          <w:color w:val="FF0000"/>
                          <w:sz w:val="44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color w:val="FF0000"/>
                          <w:sz w:val="44"/>
                        </w:rPr>
                      </w:pPr>
                      <w:r>
                        <w:rPr>
                          <w:rFonts w:eastAsia="標楷體"/>
                          <w:color w:val="FF0000"/>
                          <w:sz w:val="44"/>
                        </w:rPr>
                      </w:r>
                    </w:p>
                    <w:p>
                      <w:pPr>
                        <w:pStyle w:val="Normal"/>
                        <w:ind w:firstLine="2640"/>
                        <w:rPr/>
                      </w:pPr>
                      <w:r>
                        <w:rPr>
                          <w:rFonts w:eastAsia="Times New Roman"/>
                        </w:rPr>
                        <w:t xml:space="preserve">     </w:t>
                      </w:r>
                      <w:r>
                        <w:rPr/>
                        <w:drawing>
                          <wp:inline distT="0" distB="0" distL="0" distR="0">
                            <wp:extent cx="4813935" cy="3441700"/>
                            <wp:effectExtent l="0" t="0" r="0" b="0"/>
                            <wp:docPr id="8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1" t="-17" r="-11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35" cy="344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  <w:u w:val="single"/>
        </w:rPr>
        <w:t>(</w:t>
      </w:r>
      <w:r>
        <w:rPr>
          <w:rFonts w:ascii="標楷體" w:hAnsi="標楷體" w:eastAsia="標楷體"/>
          <w:color w:val="000000"/>
          <w:sz w:val="32"/>
          <w:u w:val="single"/>
        </w:rPr>
        <w:t>一</w:t>
      </w:r>
      <w:r>
        <w:rPr>
          <w:rFonts w:eastAsia="標楷體" w:ascii="標楷體" w:hAnsi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7-1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628"/>
        <w:gridCol w:w="3960"/>
        <w:gridCol w:w="2520"/>
        <w:gridCol w:w="3708"/>
        <w:gridCol w:w="12"/>
      </w:tblGrid>
      <w:tr>
        <w:trPr/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作業目的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適用範圍</w:t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 xml:space="preserve">使用器材 、 </w:t>
            </w:r>
            <w:r>
              <w:rPr>
                <w:rFonts w:eastAsia="標楷體"/>
                <w:color w:val="000000"/>
                <w:sz w:val="28"/>
              </w:rPr>
              <w:t>工具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Indent"/>
              <w:numPr>
                <w:ilvl w:val="0"/>
                <w:numId w:val="3"/>
              </w:numPr>
              <w:ind w:left="567" w:hanging="567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提供較大量，且顆粒小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       </w:t>
            </w:r>
            <w:r>
              <w:rPr>
                <w:rFonts w:ascii="Times New Roman" w:hAnsi="Times New Roman"/>
                <w:color w:val="000000"/>
                <w:sz w:val="24"/>
              </w:rPr>
              <w:t>而均勻的噴霧治療</w:t>
            </w:r>
          </w:p>
          <w:p>
            <w:pPr>
              <w:pStyle w:val="Normal"/>
              <w:numPr>
                <w:ilvl w:val="0"/>
                <w:numId w:val="3"/>
              </w:numPr>
              <w:ind w:left="567" w:hanging="567"/>
              <w:rPr/>
            </w:pPr>
            <w:r>
              <w:rPr>
                <w:rFonts w:eastAsia="標楷體"/>
                <w:color w:val="000000"/>
              </w:rPr>
              <w:t>Ultra-Neb</w:t>
            </w:r>
            <w:r>
              <w:rPr>
                <w:rFonts w:eastAsia="標楷體"/>
                <w:color w:val="000000"/>
              </w:rPr>
              <w:t>所提供的噴霧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/>
                <w:color w:val="000000"/>
              </w:rPr>
              <w:t>顆粒大小在</w:t>
            </w:r>
            <w:r>
              <w:rPr>
                <w:rFonts w:eastAsia="標楷體"/>
                <w:color w:val="000000"/>
              </w:rPr>
              <w:t>0.5micron</w:t>
            </w:r>
            <w:r>
              <w:rPr>
                <w:rFonts w:eastAsia="標楷體"/>
                <w:color w:val="000000"/>
              </w:rPr>
              <w:t>至</w:t>
            </w:r>
            <w:r>
              <w:rPr>
                <w:rFonts w:eastAsia="標楷體"/>
                <w:color w:val="000000"/>
              </w:rPr>
              <w:br/>
              <w:t>5micron</w:t>
            </w:r>
            <w:r>
              <w:rPr>
                <w:rFonts w:eastAsia="標楷體"/>
                <w:color w:val="000000"/>
              </w:rPr>
              <w:t>之間，使給予的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/>
                <w:color w:val="000000"/>
              </w:rPr>
              <w:t>噴霧能達到較深的</w:t>
            </w:r>
            <w:r>
              <w:rPr>
                <w:rFonts w:eastAsia="標楷體"/>
                <w:color w:val="000000"/>
              </w:rPr>
              <w:t>Airway</w:t>
            </w:r>
          </w:p>
          <w:p>
            <w:pPr>
              <w:pStyle w:val="Normal"/>
              <w:numPr>
                <w:ilvl w:val="0"/>
                <w:numId w:val="3"/>
              </w:numPr>
              <w:ind w:left="426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Particles size</w:t>
            </w:r>
            <w:r>
              <w:rPr>
                <w:rFonts w:eastAsia="標楷體"/>
                <w:color w:val="000000"/>
              </w:rPr>
              <w:t>：</w:t>
            </w:r>
          </w:p>
          <w:p>
            <w:pPr>
              <w:pStyle w:val="Normal"/>
              <w:ind w:left="120" w:hanging="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大於</w:t>
            </w:r>
            <w:r>
              <w:rPr>
                <w:rFonts w:eastAsia="標楷體"/>
                <w:color w:val="000000"/>
              </w:rPr>
              <w:t>10micron</w:t>
            </w:r>
            <w:r>
              <w:rPr>
                <w:rFonts w:eastAsia="標楷體"/>
                <w:color w:val="000000"/>
              </w:rPr>
              <w:t>：沉積於大的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br/>
              <w:t xml:space="preserve">     Airway</w:t>
            </w:r>
          </w:p>
          <w:p>
            <w:pPr>
              <w:pStyle w:val="Normal"/>
              <w:ind w:left="120" w:hanging="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小於</w:t>
            </w:r>
            <w:r>
              <w:rPr>
                <w:rFonts w:eastAsia="標楷體"/>
                <w:color w:val="000000"/>
              </w:rPr>
              <w:t>0.5micron</w:t>
            </w:r>
            <w:r>
              <w:rPr>
                <w:rFonts w:eastAsia="標楷體"/>
                <w:color w:val="000000"/>
              </w:rPr>
              <w:t>：隨呼吸</w:t>
            </w:r>
            <w:r>
              <w:rPr>
                <w:rFonts w:eastAsia="標楷體"/>
                <w:color w:val="000000"/>
              </w:rPr>
              <w:t xml:space="preserve">flow  </w:t>
            </w:r>
          </w:p>
          <w:p>
            <w:pPr>
              <w:pStyle w:val="Normal"/>
              <w:ind w:left="120" w:hanging="0"/>
              <w:rPr/>
            </w:pPr>
            <w:r>
              <w:rPr>
                <w:rFonts w:eastAsia="Times New Roman"/>
                <w:color w:val="FF0000"/>
              </w:rPr>
              <w:t xml:space="preserve">    </w:t>
            </w:r>
            <w:r>
              <w:rPr>
                <w:rFonts w:eastAsia="標楷體"/>
                <w:color w:val="000000"/>
              </w:rPr>
              <w:t>漂浮，而無治療效果</w:t>
            </w:r>
          </w:p>
          <w:p>
            <w:pPr>
              <w:pStyle w:val="TextBody"/>
              <w:rPr>
                <w:rFonts w:ascii="Times New Roman" w:hAnsi="Times New Roman" w:eastAsia="標楷體"/>
                <w:color w:val="000000"/>
                <w:sz w:val="24"/>
              </w:rPr>
            </w:pPr>
            <w:r>
              <w:rPr>
                <w:rFonts w:eastAsia="標楷體"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  <w:p>
            <w:pPr>
              <w:pStyle w:val="TextBody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一、小兒細支氣管炎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Bronchiectasis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</w:t>
            </w:r>
            <w:r>
              <w:rPr>
                <w:rFonts w:eastAsia="標楷體"/>
                <w:color w:val="000000"/>
              </w:rPr>
              <w:t>3% Nacl sputum induction</w:t>
            </w:r>
          </w:p>
          <w:p>
            <w:pPr>
              <w:pStyle w:val="Style13"/>
              <w:spacing w:lineRule="exact" w:line="320"/>
              <w:ind w:left="120" w:hanging="120"/>
              <w:rPr>
                <w:color w:val="000000"/>
              </w:rPr>
            </w:pPr>
            <w:r>
              <w:rPr>
                <w:rFonts w:eastAsia="標楷體"/>
                <w:color w:val="000000"/>
              </w:rPr>
              <w:t>四、</w:t>
            </w:r>
            <w:r>
              <w:rPr>
                <w:rFonts w:eastAsia="標楷體"/>
                <w:color w:val="000000"/>
              </w:rPr>
              <w:t>Airway</w:t>
            </w:r>
            <w:r>
              <w:rPr>
                <w:rFonts w:eastAsia="標楷體"/>
                <w:color w:val="000000"/>
              </w:rPr>
              <w:t>乾燥</w:t>
            </w:r>
            <w:r>
              <w:rPr>
                <w:rFonts w:eastAsia="標楷體"/>
                <w:color w:val="000000"/>
              </w:rPr>
              <w:t>sputum</w:t>
            </w:r>
            <w:r>
              <w:rPr>
                <w:rFonts w:eastAsia="標楷體"/>
                <w:color w:val="000000"/>
              </w:rPr>
              <w:t>黏稠而需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br/>
              <w:t xml:space="preserve">   Hydration</w:t>
            </w:r>
            <w:r>
              <w:rPr>
                <w:rFonts w:eastAsia="標楷體"/>
                <w:color w:val="000000"/>
              </w:rPr>
              <w:t>者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1.</w:t>
            </w:r>
            <w:r>
              <w:rPr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SVN</w:t>
            </w:r>
            <w:r>
              <w:rPr>
                <w:rFonts w:eastAsia="標楷體"/>
                <w:color w:val="000000"/>
              </w:rPr>
              <w:t>藥物吸入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次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SVN</w:t>
            </w:r>
            <w:r>
              <w:rPr>
                <w:rFonts w:eastAsia="標楷體"/>
                <w:color w:val="000000"/>
              </w:rPr>
              <w:t>藥物吸入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天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＊收費項目編號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1.</w:t>
            </w:r>
            <w:r>
              <w:rPr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57021C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次</w:t>
            </w:r>
          </w:p>
          <w:p>
            <w:pPr>
              <w:pStyle w:val="Style13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2.</w:t>
            </w:r>
            <w:r>
              <w:rPr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57022C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天</w:t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/>
                <w:color w:val="000000"/>
              </w:rPr>
              <w:t>必須準備下列物品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</w:t>
            </w:r>
            <w:r>
              <w:rPr>
                <w:rFonts w:eastAsia="標楷體"/>
                <w:color w:val="000000"/>
              </w:rPr>
              <w:t>Aerosol Mask(</w:t>
            </w:r>
            <w:r>
              <w:rPr>
                <w:rFonts w:eastAsia="標楷體"/>
                <w:color w:val="000000"/>
              </w:rPr>
              <w:t>噴霧氧氣面罩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10</w:t>
            </w:r>
            <w:r>
              <w:rPr>
                <w:rFonts w:eastAsia="標楷體"/>
                <w:color w:val="000000"/>
              </w:rPr>
              <w:t>節蛇型管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三、噴霧小杯及杯蓋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四、</w:t>
            </w:r>
            <w:r>
              <w:rPr>
                <w:rFonts w:eastAsia="標楷體"/>
                <w:color w:val="000000"/>
              </w:rPr>
              <w:t>Ultra-Neb</w:t>
            </w:r>
            <w:r>
              <w:rPr>
                <w:rFonts w:eastAsia="標楷體"/>
                <w:color w:val="000000"/>
              </w:rPr>
              <w:t>噴霧機及噴霧容器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五、吸入的溶液或藥物</w:t>
            </w:r>
          </w:p>
          <w:p>
            <w:pPr>
              <w:pStyle w:val="Normal"/>
              <w:tabs>
                <w:tab w:val="clear" w:pos="480"/>
                <w:tab w:val="left" w:pos="2300" w:leader="none"/>
              </w:tabs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ab/>
            </w:r>
          </w:p>
        </w:tc>
      </w:tr>
      <w:tr>
        <w:trPr/>
        <w:tc>
          <w:tcPr>
            <w:tcW w:w="758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91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color w:val="000000"/>
          <w:sz w:val="32"/>
        </w:rPr>
      </w:pPr>
      <w:r>
        <w:br w:type="page"/>
      </w: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二</w:t>
      </w:r>
      <w:r>
        <w:rPr>
          <w:rFonts w:eastAsia="標楷體" w:ascii="標楷體" w:hAnsi="標楷體"/>
          <w:color w:val="000000"/>
          <w:sz w:val="32"/>
        </w:rPr>
        <w:t>)</w:t>
      </w:r>
    </w:p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color w:val="000000"/>
          <w:sz w:val="32"/>
        </w:rPr>
      </w:pPr>
      <w:r>
        <w:rPr>
          <w:rFonts w:eastAsia="標楷體" w:ascii="標楷體" w:hAnsi="標楷體"/>
          <w:color w:val="000000"/>
          <w:sz w:val="32"/>
        </w:rPr>
      </w:r>
    </w:p>
    <w:p>
      <w:pPr>
        <w:pStyle w:val="Normal"/>
        <w:spacing w:lineRule="exact" w:line="320"/>
        <w:ind w:firstLine="10080"/>
        <w:rPr/>
      </w:pPr>
      <w:r>
        <w:rPr>
          <w:rFonts w:eastAsia="Times New Roman"/>
          <w:color w:val="000000"/>
        </w:rPr>
        <w:t xml:space="preserve">    </w:t>
      </w: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7-2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color w:val="000000"/>
                <w:sz w:val="28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一、檢查醫囑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230" w:leader="none"/>
              </w:tabs>
              <w:ind w:left="720" w:hanging="21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醫囑的必要性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1230" w:leader="none"/>
              </w:tabs>
              <w:ind w:left="720" w:hanging="21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確定醫囑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clear" w:pos="480"/>
                <w:tab w:val="left" w:pos="1230" w:leader="none"/>
              </w:tabs>
              <w:ind w:left="105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治療的目的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clear" w:pos="480"/>
                <w:tab w:val="left" w:pos="1230" w:leader="none"/>
              </w:tabs>
              <w:ind w:left="105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治療頻率</w:t>
            </w:r>
          </w:p>
          <w:p>
            <w:pPr>
              <w:pStyle w:val="Normal"/>
              <w:numPr>
                <w:ilvl w:val="1"/>
                <w:numId w:val="6"/>
              </w:numPr>
              <w:tabs>
                <w:tab w:val="clear" w:pos="480"/>
                <w:tab w:val="left" w:pos="1230" w:leader="none"/>
              </w:tabs>
              <w:ind w:left="105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藥物及劑量</w:t>
            </w:r>
          </w:p>
          <w:p>
            <w:pPr>
              <w:pStyle w:val="Normal"/>
              <w:numPr>
                <w:ilvl w:val="2"/>
                <w:numId w:val="6"/>
              </w:numPr>
              <w:tabs>
                <w:tab w:val="clear" w:pos="480"/>
                <w:tab w:val="left" w:pos="1230" w:leader="none"/>
                <w:tab w:val="left" w:pos="2880" w:leader="none"/>
              </w:tabs>
              <w:ind w:left="692" w:hanging="1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若有問題，須與醫師討論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二、檢閱病歷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1230" w:leader="none"/>
              </w:tabs>
              <w:ind w:left="1680" w:hanging="117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確認有關數據</w:t>
            </w:r>
          </w:p>
          <w:p>
            <w:pPr>
              <w:pStyle w:val="Normal"/>
              <w:ind w:left="480" w:firstLine="56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病史及身體檢查</w:t>
            </w:r>
          </w:p>
          <w:p>
            <w:pPr>
              <w:pStyle w:val="Normal"/>
              <w:ind w:left="480" w:firstLine="56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住院診斷</w:t>
            </w:r>
          </w:p>
          <w:p>
            <w:pPr>
              <w:pStyle w:val="Normal"/>
              <w:ind w:left="480" w:firstLine="56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病程記錄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（二）檢閱相關數據</w:t>
            </w:r>
          </w:p>
          <w:p>
            <w:pPr>
              <w:pStyle w:val="Normal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1.CXR</w:t>
            </w:r>
            <w:r>
              <w:rPr>
                <w:rFonts w:eastAsia="標楷體"/>
                <w:color w:val="000000"/>
              </w:rPr>
              <w:t>報告</w:t>
            </w:r>
          </w:p>
          <w:p>
            <w:pPr>
              <w:pStyle w:val="Normal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檢驗室報告</w:t>
            </w:r>
          </w:p>
          <w:p>
            <w:pPr>
              <w:pStyle w:val="Normal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動脈血氧分析</w:t>
            </w:r>
          </w:p>
          <w:p>
            <w:pPr>
              <w:pStyle w:val="Normal"/>
              <w:spacing w:lineRule="exact" w:line="320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4.</w:t>
            </w:r>
            <w:r>
              <w:rPr>
                <w:rFonts w:eastAsia="標楷體"/>
                <w:color w:val="000000"/>
              </w:rPr>
              <w:t>肺功能測試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（三）確定病人情況，需了解</w:t>
            </w:r>
          </w:p>
          <w:p>
            <w:pPr>
              <w:pStyle w:val="Normal"/>
              <w:ind w:firstLine="10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適應症</w:t>
            </w:r>
          </w:p>
          <w:p>
            <w:pPr>
              <w:pStyle w:val="Normal"/>
              <w:spacing w:lineRule="exact" w:line="240"/>
              <w:ind w:firstLine="10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禁忌症</w:t>
            </w:r>
          </w:p>
          <w:p>
            <w:pPr>
              <w:pStyle w:val="Normal"/>
              <w:spacing w:lineRule="exact" w:line="320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危險性</w:t>
            </w:r>
          </w:p>
          <w:p>
            <w:pPr>
              <w:pStyle w:val="Normal"/>
              <w:spacing w:lineRule="exact" w:line="240"/>
              <w:ind w:firstLine="108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禁忌症：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病人意識不清楚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無排痰能力</w:t>
            </w:r>
            <w:r>
              <w:rPr>
                <w:rFonts w:eastAsia="標楷體"/>
                <w:color w:val="000000"/>
              </w:rPr>
              <w:br/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二</w:t>
      </w:r>
      <w:r>
        <w:rPr>
          <w:rFonts w:eastAsia="標楷體" w:ascii="標楷體" w:hAnsi="標楷體"/>
          <w:color w:val="000000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7-3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480"/>
        <w:gridCol w:w="28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color w:val="000000"/>
                <w:sz w:val="28"/>
              </w:rPr>
              <w:t>操作說明或作業流程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三、保持無菌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480"/>
                <w:tab w:val="left" w:pos="1230" w:leader="none"/>
              </w:tabs>
              <w:ind w:left="1200" w:hanging="69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洗手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480"/>
                <w:tab w:val="left" w:pos="1230" w:leader="none"/>
              </w:tabs>
              <w:ind w:left="1200" w:hanging="69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使用無菌技術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抽藥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480"/>
                <w:tab w:val="left" w:pos="1230" w:leader="none"/>
              </w:tabs>
              <w:ind w:left="1200" w:hanging="69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執行過程保持無菌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四、組合工具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1230" w:leader="none"/>
                <w:tab w:val="left" w:pos="1361" w:leader="none"/>
              </w:tabs>
              <w:ind w:left="1230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倒</w:t>
            </w:r>
            <w:r>
              <w:rPr>
                <w:rFonts w:eastAsia="標楷體"/>
                <w:color w:val="000000"/>
              </w:rPr>
              <w:t>D.W</w:t>
            </w:r>
            <w:r>
              <w:rPr>
                <w:rFonts w:eastAsia="標楷體"/>
                <w:color w:val="000000"/>
              </w:rPr>
              <w:t>至噴霧容器中，以不</w:t>
            </w:r>
            <w:r>
              <w:rPr>
                <w:rFonts w:eastAsia="標楷體"/>
                <w:color w:val="000000"/>
              </w:rPr>
              <w:t>over maximum line</w:t>
            </w:r>
            <w:r>
              <w:rPr>
                <w:rFonts w:eastAsia="標楷體"/>
                <w:color w:val="000000"/>
              </w:rPr>
              <w:t>，且水面能接觸到噴霧小杯杯底為限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1361" w:leader="none"/>
              </w:tabs>
              <w:ind w:left="1230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加入欲吸入的溶液及藥物至噴霧小杯，並將噴霧小杯放入噴霧容器，此時水位應在</w:t>
            </w:r>
            <w:r>
              <w:rPr>
                <w:rFonts w:eastAsia="標楷體"/>
                <w:color w:val="000000"/>
              </w:rPr>
              <w:t>Fill-Line</w:t>
            </w:r>
            <w:r>
              <w:rPr>
                <w:rFonts w:eastAsia="標楷體"/>
                <w:color w:val="000000"/>
              </w:rPr>
              <w:t>內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1361" w:leader="none"/>
              </w:tabs>
              <w:ind w:left="1230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空氣管一端接在噴霧小杯之杯蓋，一端與空氣控制鈕管連接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1361" w:leader="none"/>
              </w:tabs>
              <w:ind w:left="1230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接上蛇型管及</w:t>
            </w:r>
            <w:r>
              <w:rPr>
                <w:rFonts w:eastAsia="標楷體"/>
                <w:color w:val="000000"/>
              </w:rPr>
              <w:t>Aerosol Mask</w:t>
            </w:r>
            <w:r>
              <w:rPr>
                <w:rFonts w:eastAsia="標楷體"/>
                <w:color w:val="000000"/>
              </w:rPr>
              <w:t>於噴霧小杯之病人端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五、測試工具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230" w:leader="none"/>
                <w:tab w:val="left" w:pos="1527" w:leader="none"/>
                <w:tab w:val="left" w:pos="1920" w:leader="none"/>
              </w:tabs>
              <w:ind w:left="1680" w:hanging="117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儀器功能是否正常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230" w:leader="none"/>
                <w:tab w:val="left" w:pos="1527" w:leader="none"/>
                <w:tab w:val="left" w:pos="1920" w:leader="none"/>
              </w:tabs>
              <w:ind w:left="1680" w:hanging="117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是否有噴霧</w:t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br/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firstLine="7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注意：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測試時若主機指示紅燈亮時，表示</w:t>
            </w:r>
            <w:r>
              <w:rPr>
                <w:rFonts w:eastAsia="標楷體"/>
                <w:color w:val="000000"/>
              </w:rPr>
              <w:t>：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噴霧容器水位過低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噴霧容器二端電極沒有插好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噴霧容器浮球堵塞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color w:val="000000"/>
          <w:sz w:val="32"/>
        </w:rPr>
      </w:pPr>
      <w:r>
        <w:br w:type="page"/>
      </w: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二</w:t>
      </w:r>
      <w:r>
        <w:rPr>
          <w:rFonts w:eastAsia="標楷體" w:ascii="標楷體" w:hAnsi="標楷體"/>
          <w:color w:val="000000"/>
          <w:sz w:val="32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color w:val="000000"/>
          <w:sz w:val="32"/>
        </w:rPr>
      </w:pPr>
      <w:r>
        <w:rPr>
          <w:rFonts w:eastAsia="標楷體" w:ascii="標楷體" w:hAnsi="標楷體"/>
          <w:color w:val="000000"/>
          <w:sz w:val="32"/>
        </w:rPr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7-4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153"/>
        <w:gridCol w:w="3207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color w:val="000000"/>
                <w:sz w:val="28"/>
              </w:rPr>
              <w:t>操作說明或作業流程</w:t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/>
              <w:jc w:val="both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六、確定病人</w:t>
            </w:r>
            <w:r>
              <w:rPr>
                <w:rFonts w:eastAsia="Times New Roman"/>
                <w:color w:val="000000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1230" w:leader="none"/>
              </w:tabs>
              <w:ind w:left="1680" w:hanging="117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確定病人應包括</w:t>
            </w:r>
          </w:p>
          <w:p>
            <w:pPr>
              <w:pStyle w:val="Normal"/>
              <w:ind w:left="480" w:firstLine="56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核對床號</w:t>
            </w:r>
          </w:p>
          <w:p>
            <w:pPr>
              <w:pStyle w:val="Normal"/>
              <w:ind w:left="480" w:firstLine="56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核對病人名字於床頭卡</w:t>
            </w:r>
          </w:p>
          <w:p>
            <w:pPr>
              <w:pStyle w:val="Normal"/>
              <w:ind w:firstLine="104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3.</w:t>
            </w:r>
            <w:r>
              <w:rPr>
                <w:rFonts w:eastAsia="標楷體"/>
                <w:color w:val="000000"/>
              </w:rPr>
              <w:t>核對手圈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（二）以詢問方式問病人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（三）若有不符，詢問護</w:t>
            </w:r>
            <w:r>
              <w:rPr>
                <w:rFonts w:eastAsia="標楷體"/>
                <w:color w:val="FF0000"/>
              </w:rPr>
              <w:t>理師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七、詢問病人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（一）簡介自己所屬部門</w:t>
            </w:r>
          </w:p>
          <w:p>
            <w:pPr>
              <w:pStyle w:val="Normal"/>
              <w:ind w:firstLine="50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（二）向病人解釋治療的目的，過程及所需時間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八、操作步驟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（一）將已準備及測試好的</w:t>
            </w:r>
            <w:r>
              <w:rPr>
                <w:rFonts w:eastAsia="標楷體"/>
                <w:color w:val="000000"/>
              </w:rPr>
              <w:t>Ultra-Neb</w:t>
            </w:r>
            <w:r>
              <w:rPr>
                <w:rFonts w:eastAsia="標楷體"/>
                <w:color w:val="000000"/>
              </w:rPr>
              <w:t>噴霧機推至病人單位並插上電源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（二）幫病人半坐臥，戴上</w:t>
            </w:r>
            <w:r>
              <w:rPr>
                <w:rFonts w:eastAsia="標楷體"/>
                <w:color w:val="000000"/>
              </w:rPr>
              <w:t>Aerosol Mask</w:t>
            </w:r>
            <w:r>
              <w:rPr>
                <w:rFonts w:eastAsia="標楷體"/>
                <w:color w:val="000000"/>
              </w:rPr>
              <w:t>打開</w:t>
            </w:r>
            <w:r>
              <w:rPr>
                <w:rFonts w:eastAsia="標楷體"/>
                <w:color w:val="000000"/>
              </w:rPr>
              <w:t>power</w:t>
            </w:r>
            <w:r>
              <w:rPr>
                <w:rFonts w:eastAsia="標楷體"/>
                <w:color w:val="000000"/>
              </w:rPr>
              <w:t>，並請病人嘴巴微張，由口作較深的呼吸，調節機器的</w:t>
            </w:r>
            <w:r>
              <w:rPr>
                <w:rFonts w:eastAsia="標楷體"/>
                <w:color w:val="000000"/>
              </w:rPr>
              <w:t>Flow</w:t>
            </w:r>
            <w:r>
              <w:rPr>
                <w:rFonts w:eastAsia="標楷體"/>
                <w:color w:val="000000"/>
              </w:rPr>
              <w:t>輸出鈕，以控制</w:t>
            </w:r>
            <w:r>
              <w:rPr>
                <w:rFonts w:eastAsia="標楷體"/>
                <w:color w:val="000000"/>
              </w:rPr>
              <w:t>output</w:t>
            </w:r>
            <w:r>
              <w:rPr>
                <w:rFonts w:eastAsia="標楷體"/>
                <w:color w:val="000000"/>
              </w:rPr>
              <w:t>之大小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（三）隨時聽診病人的呼吸聲，若病人發生</w:t>
            </w:r>
            <w:r>
              <w:rPr>
                <w:rFonts w:eastAsia="標楷體"/>
                <w:color w:val="000000"/>
              </w:rPr>
              <w:t>Bronchospasm</w:t>
            </w:r>
            <w:r>
              <w:rPr>
                <w:rFonts w:eastAsia="標楷體"/>
                <w:color w:val="000000"/>
              </w:rPr>
              <w:t>，則先停止治療，並通知醫師</w:t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（四）給完</w:t>
            </w:r>
            <w:r>
              <w:rPr>
                <w:rFonts w:eastAsia="標楷體"/>
                <w:color w:val="000000"/>
              </w:rPr>
              <w:t>Ultra-Neb</w:t>
            </w:r>
            <w:r>
              <w:rPr>
                <w:rFonts w:eastAsia="標楷體"/>
                <w:color w:val="000000"/>
              </w:rPr>
              <w:t>治療後需作一次姿位引流</w:t>
            </w:r>
          </w:p>
          <w:p>
            <w:pPr>
              <w:pStyle w:val="Normal"/>
              <w:spacing w:lineRule="exact" w:line="320"/>
              <w:ind w:left="96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6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一般治療時間為</w:t>
            </w:r>
            <w:r>
              <w:rPr>
                <w:rFonts w:eastAsia="標楷體"/>
                <w:color w:val="000000"/>
              </w:rPr>
              <w:t>10-20</w:t>
            </w:r>
            <w:r>
              <w:rPr>
                <w:rFonts w:eastAsia="標楷體"/>
                <w:color w:val="000000"/>
              </w:rPr>
              <w:t>分鐘，不超過</w:t>
            </w:r>
            <w:r>
              <w:rPr>
                <w:rFonts w:eastAsia="標楷體"/>
                <w:color w:val="000000"/>
              </w:rPr>
              <w:t>30</w:t>
            </w:r>
            <w:r>
              <w:rPr>
                <w:rFonts w:eastAsia="標楷體"/>
                <w:color w:val="000000"/>
              </w:rPr>
              <w:t>分鐘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Ultra-Neb</w:t>
            </w:r>
            <w:r>
              <w:rPr>
                <w:rFonts w:eastAsia="標楷體"/>
                <w:color w:val="000000"/>
              </w:rPr>
              <w:t>屬大量的</w:t>
            </w:r>
            <w:r>
              <w:rPr>
                <w:rFonts w:eastAsia="標楷體"/>
                <w:color w:val="000000"/>
              </w:rPr>
              <w:t>inhalation</w:t>
            </w:r>
            <w:r>
              <w:rPr>
                <w:rFonts w:eastAsia="標楷體"/>
                <w:color w:val="000000"/>
              </w:rPr>
              <w:t>治療，因此給完治療需作姿位引流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/>
                <w:color w:val="000000"/>
              </w:rPr>
              <w:br/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/>
        <w:tc>
          <w:tcPr>
            <w:tcW w:w="690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color w:val="000000"/>
          <w:sz w:val="32"/>
        </w:rPr>
      </w:pP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(ultrasion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二</w:t>
      </w:r>
      <w:r>
        <w:rPr>
          <w:rFonts w:eastAsia="標楷體" w:ascii="標楷體" w:hAnsi="標楷體"/>
          <w:color w:val="000000"/>
          <w:sz w:val="32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color w:val="000000"/>
          <w:sz w:val="32"/>
        </w:rPr>
      </w:pPr>
      <w:r>
        <w:rPr>
          <w:rFonts w:eastAsia="標楷體" w:ascii="標楷體" w:hAnsi="標楷體"/>
          <w:color w:val="000000"/>
          <w:sz w:val="32"/>
        </w:rPr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  <w:color w:val="000000"/>
        </w:rPr>
      </w:pP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7-5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480"/>
        <w:gridCol w:w="28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項次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color w:val="000000"/>
                <w:sz w:val="28"/>
              </w:rPr>
              <w:t>操作說明或作業流程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九、清潔保養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（一）主機面板用濕布擦拭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（二）機器背面主機過濾網每個星期用清水清洗一次，陰乾後即可再使用</w:t>
            </w:r>
          </w:p>
          <w:p>
            <w:pPr>
              <w:pStyle w:val="Normal"/>
              <w:ind w:left="122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（三）空氣管每星期直接泡</w:t>
            </w:r>
            <w:r>
              <w:rPr>
                <w:rFonts w:eastAsia="標楷體"/>
                <w:color w:val="000000"/>
              </w:rPr>
              <w:t>Cidex</w:t>
            </w:r>
          </w:p>
          <w:p>
            <w:pPr>
              <w:pStyle w:val="Normal"/>
              <w:spacing w:lineRule="exact" w:line="320"/>
              <w:ind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（四）噴霧容器每星期泡</w:t>
            </w:r>
            <w:r>
              <w:rPr>
                <w:rFonts w:eastAsia="標楷體"/>
                <w:color w:val="000000"/>
              </w:rPr>
              <w:t>Cidex</w:t>
            </w:r>
            <w:r>
              <w:rPr>
                <w:rFonts w:eastAsia="標楷體"/>
                <w:color w:val="000000"/>
              </w:rPr>
              <w:t>，並用</w:t>
            </w:r>
            <w:r>
              <w:rPr>
                <w:rFonts w:eastAsia="標楷體"/>
                <w:color w:val="000000"/>
              </w:rPr>
              <w:t>D.W</w:t>
            </w:r>
            <w:r>
              <w:rPr>
                <w:rFonts w:eastAsia="標楷體"/>
                <w:color w:val="000000"/>
              </w:rPr>
              <w:t>清洗內部</w:t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96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br/>
              <w:br/>
            </w:r>
          </w:p>
          <w:p>
            <w:pPr>
              <w:pStyle w:val="Normal"/>
              <w:spacing w:lineRule="exact" w:line="320"/>
              <w:ind w:left="96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br/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/>
      </w:pPr>
      <w:r>
        <w:br w:type="page"/>
      </w: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三</w:t>
      </w:r>
      <w:r>
        <w:rPr>
          <w:rFonts w:eastAsia="標楷體" w:ascii="標楷體" w:hAnsi="標楷體"/>
          <w:color w:val="000000"/>
          <w:sz w:val="32"/>
        </w:rPr>
        <w:t>)</w:t>
      </w:r>
    </w:p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  <w:color w:val="000000"/>
          <w:sz w:val="28"/>
        </w:rPr>
        <w:t xml:space="preserve">                                                                     </w:t>
      </w: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7-6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55"/>
        <w:gridCol w:w="5073"/>
        <w:gridCol w:w="2880"/>
        <w:gridCol w:w="3720"/>
      </w:tblGrid>
      <w:tr>
        <w:trPr/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 xml:space="preserve">異  常  狀  況    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發    生    原   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處       理       對       策</w:t>
            </w:r>
          </w:p>
        </w:tc>
      </w:tr>
      <w:tr>
        <w:trPr/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ind w:left="0" w:hanging="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沒有氣霧噴出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ind w:left="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ind w:left="0" w:hanging="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霧氣太少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 w:cs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</w:r>
          </w:p>
          <w:p>
            <w:pPr>
              <w:pStyle w:val="Style14"/>
              <w:ind w:left="0" w:hanging="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氣體流量太低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numPr>
                <w:ilvl w:val="1"/>
                <w:numId w:val="13"/>
              </w:numPr>
              <w:tabs>
                <w:tab w:val="clear" w:pos="480"/>
                <w:tab w:val="left" w:pos="822" w:leader="none"/>
              </w:tabs>
              <w:ind w:left="840" w:hanging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未插電</w:t>
            </w:r>
          </w:p>
          <w:p>
            <w:pPr>
              <w:pStyle w:val="Style14"/>
              <w:numPr>
                <w:ilvl w:val="1"/>
                <w:numId w:val="13"/>
              </w:numPr>
              <w:tabs>
                <w:tab w:val="clear" w:pos="480"/>
                <w:tab w:val="left" w:pos="822" w:leader="none"/>
              </w:tabs>
              <w:ind w:left="840" w:hanging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開關未開</w:t>
            </w:r>
          </w:p>
          <w:p>
            <w:pPr>
              <w:pStyle w:val="Style14"/>
              <w:numPr>
                <w:ilvl w:val="1"/>
                <w:numId w:val="13"/>
              </w:numPr>
              <w:tabs>
                <w:tab w:val="clear" w:pos="480"/>
                <w:tab w:val="left" w:pos="822" w:leader="none"/>
              </w:tabs>
              <w:ind w:left="840" w:hanging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輸出鈕設定太低</w:t>
            </w:r>
          </w:p>
          <w:p>
            <w:pPr>
              <w:pStyle w:val="Style14"/>
              <w:numPr>
                <w:ilvl w:val="1"/>
                <w:numId w:val="13"/>
              </w:numPr>
              <w:tabs>
                <w:tab w:val="clear" w:pos="480"/>
                <w:tab w:val="left" w:pos="822" w:leader="none"/>
              </w:tabs>
              <w:ind w:left="840" w:hanging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水位低於最低水平線</w:t>
            </w:r>
          </w:p>
          <w:p>
            <w:pPr>
              <w:pStyle w:val="Style14"/>
              <w:numPr>
                <w:ilvl w:val="1"/>
                <w:numId w:val="13"/>
              </w:numPr>
              <w:tabs>
                <w:tab w:val="clear" w:pos="480"/>
                <w:tab w:val="left" w:pos="822" w:leader="none"/>
              </w:tabs>
              <w:ind w:left="840" w:hanging="36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內部系統或保險絲過熱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numPr>
                <w:ilvl w:val="0"/>
                <w:numId w:val="9"/>
              </w:numPr>
              <w:tabs>
                <w:tab w:val="clear" w:pos="480"/>
                <w:tab w:val="left" w:pos="785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輸出鈕設定太低</w:t>
            </w:r>
          </w:p>
          <w:p>
            <w:pPr>
              <w:pStyle w:val="Style14"/>
              <w:numPr>
                <w:ilvl w:val="0"/>
                <w:numId w:val="9"/>
              </w:numPr>
              <w:tabs>
                <w:tab w:val="clear" w:pos="480"/>
                <w:tab w:val="left" w:pos="785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水位低於最低水平線</w:t>
            </w:r>
          </w:p>
          <w:p>
            <w:pPr>
              <w:pStyle w:val="Style14"/>
              <w:numPr>
                <w:ilvl w:val="0"/>
                <w:numId w:val="9"/>
              </w:numPr>
              <w:tabs>
                <w:tab w:val="clear" w:pos="480"/>
                <w:tab w:val="left" w:pos="785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轉接器無法清潔</w:t>
            </w:r>
          </w:p>
          <w:p>
            <w:pPr>
              <w:pStyle w:val="Style14"/>
              <w:numPr>
                <w:ilvl w:val="0"/>
                <w:numId w:val="9"/>
              </w:numPr>
              <w:tabs>
                <w:tab w:val="clear" w:pos="480"/>
                <w:tab w:val="left" w:pos="785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噴霧容器未在適當的位置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numPr>
                <w:ilvl w:val="0"/>
                <w:numId w:val="7"/>
              </w:numPr>
              <w:tabs>
                <w:tab w:val="clear" w:pos="480"/>
                <w:tab w:val="left" w:pos="822" w:leader="none"/>
              </w:tabs>
              <w:ind w:left="960" w:hanging="480"/>
              <w:rPr>
                <w:rFonts w:eastAsia="標楷體" w:cs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風扇沒有功能</w:t>
            </w:r>
          </w:p>
          <w:p>
            <w:pPr>
              <w:pStyle w:val="Style14"/>
              <w:numPr>
                <w:ilvl w:val="0"/>
                <w:numId w:val="7"/>
              </w:numPr>
              <w:tabs>
                <w:tab w:val="clear" w:pos="480"/>
                <w:tab w:val="left" w:pos="822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進端過濾器無法清潔</w:t>
            </w:r>
          </w:p>
          <w:p>
            <w:pPr>
              <w:pStyle w:val="Style14"/>
              <w:numPr>
                <w:ilvl w:val="0"/>
                <w:numId w:val="7"/>
              </w:numPr>
              <w:tabs>
                <w:tab w:val="clear" w:pos="480"/>
                <w:tab w:val="left" w:pos="822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病人管路發生阻塞</w:t>
            </w:r>
          </w:p>
          <w:p>
            <w:pPr>
              <w:pStyle w:val="Style14"/>
              <w:numPr>
                <w:ilvl w:val="0"/>
                <w:numId w:val="7"/>
              </w:numPr>
              <w:tabs>
                <w:tab w:val="clear" w:pos="480"/>
                <w:tab w:val="left" w:pos="822" w:leader="none"/>
              </w:tabs>
              <w:ind w:left="960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噴霧容器與</w:t>
            </w:r>
            <w:r>
              <w:rPr>
                <w:rFonts w:cs="標楷體" w:eastAsia="標楷體"/>
                <w:color w:val="000000"/>
              </w:rPr>
              <w:t>管</w:t>
            </w:r>
            <w:r>
              <w:rPr>
                <w:rFonts w:cs="標楷體" w:eastAsia="標楷體"/>
                <w:color w:val="000000"/>
              </w:rPr>
              <w:t>路間有阻塞的情形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numPr>
                <w:ilvl w:val="0"/>
                <w:numId w:val="14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檢查電源開關是否在適當位置</w:t>
            </w:r>
          </w:p>
          <w:p>
            <w:pPr>
              <w:pStyle w:val="Style14"/>
              <w:numPr>
                <w:ilvl w:val="0"/>
                <w:numId w:val="14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將水加至適當水位</w:t>
            </w:r>
          </w:p>
          <w:p>
            <w:pPr>
              <w:pStyle w:val="Style14"/>
              <w:numPr>
                <w:ilvl w:val="0"/>
                <w:numId w:val="14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檢查轉接器是否清潔乾淨</w:t>
            </w:r>
          </w:p>
          <w:p>
            <w:pPr>
              <w:pStyle w:val="Style14"/>
              <w:numPr>
                <w:ilvl w:val="0"/>
                <w:numId w:val="14"/>
              </w:numPr>
              <w:ind w:left="708" w:hanging="480"/>
              <w:rPr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更換保</w:t>
            </w:r>
            <w:r>
              <w:rPr>
                <w:rFonts w:ascii="標楷體" w:hAnsi="標楷體" w:cs="標楷體" w:eastAsia="標楷體"/>
                <w:color w:val="000000"/>
              </w:rPr>
              <w:t>險絲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numPr>
                <w:ilvl w:val="0"/>
                <w:numId w:val="10"/>
              </w:numPr>
              <w:ind w:left="708" w:hanging="480"/>
              <w:rPr/>
            </w:pPr>
            <w:r>
              <w:rPr>
                <w:rFonts w:cs="標楷體" w:eastAsia="標楷體"/>
                <w:color w:val="000000"/>
              </w:rPr>
              <w:t>增加輸出鈕的設定</w:t>
            </w:r>
            <w:r>
              <w:rPr>
                <w:rFonts w:ascii="新細明體" w:hAnsi="新細明體" w:cs="新細明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amplitude)</w:t>
            </w:r>
          </w:p>
          <w:p>
            <w:pPr>
              <w:pStyle w:val="Style14"/>
              <w:numPr>
                <w:ilvl w:val="0"/>
                <w:numId w:val="10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噴霧容器的水加至適當位置</w:t>
            </w:r>
          </w:p>
          <w:p>
            <w:pPr>
              <w:pStyle w:val="Style14"/>
              <w:numPr>
                <w:ilvl w:val="0"/>
                <w:numId w:val="10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可由</w:t>
            </w:r>
            <w:r>
              <w:rPr>
                <w:rFonts w:eastAsia="標楷體"/>
                <w:color w:val="000000"/>
              </w:rPr>
              <w:t>2%</w:t>
            </w:r>
            <w:r>
              <w:rPr>
                <w:rFonts w:eastAsia="標楷體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醋酸清潔轉接器</w:t>
            </w:r>
          </w:p>
          <w:p>
            <w:pPr>
              <w:pStyle w:val="Style14"/>
              <w:numPr>
                <w:ilvl w:val="0"/>
                <w:numId w:val="10"/>
              </w:numPr>
              <w:ind w:left="708" w:hanging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重新放置噴霧容器</w:t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numPr>
                <w:ilvl w:val="1"/>
                <w:numId w:val="15"/>
              </w:numPr>
              <w:tabs>
                <w:tab w:val="clear" w:pos="480"/>
                <w:tab w:val="left" w:pos="285" w:leader="none"/>
              </w:tabs>
              <w:ind w:left="841" w:hanging="555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清潔並檢查風扇</w:t>
            </w:r>
          </w:p>
          <w:p>
            <w:pPr>
              <w:pStyle w:val="Style14"/>
              <w:numPr>
                <w:ilvl w:val="1"/>
                <w:numId w:val="15"/>
              </w:numPr>
              <w:tabs>
                <w:tab w:val="clear" w:pos="480"/>
                <w:tab w:val="left" w:pos="285" w:leader="none"/>
              </w:tabs>
              <w:ind w:left="1036" w:hanging="75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移出過濾器並用肥皂水清潔然後重新放置</w:t>
            </w:r>
          </w:p>
          <w:p>
            <w:pPr>
              <w:pStyle w:val="Style14"/>
              <w:numPr>
                <w:ilvl w:val="1"/>
                <w:numId w:val="15"/>
              </w:numPr>
              <w:tabs>
                <w:tab w:val="clear" w:pos="480"/>
                <w:tab w:val="left" w:pos="285" w:leader="none"/>
              </w:tabs>
              <w:ind w:left="1036" w:hanging="75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用無菌水清潔阻塞管路</w:t>
            </w:r>
          </w:p>
          <w:p>
            <w:pPr>
              <w:pStyle w:val="Style14"/>
              <w:numPr>
                <w:ilvl w:val="1"/>
                <w:numId w:val="15"/>
              </w:numPr>
              <w:tabs>
                <w:tab w:val="clear" w:pos="480"/>
                <w:tab w:val="left" w:pos="285" w:leader="none"/>
              </w:tabs>
              <w:ind w:left="1231" w:hanging="945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清潔阻塞處</w:t>
            </w:r>
          </w:p>
          <w:p>
            <w:pPr>
              <w:pStyle w:val="Style14"/>
              <w:ind w:left="480"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br/>
            </w:r>
          </w:p>
          <w:p>
            <w:pPr>
              <w:pStyle w:val="Style14"/>
              <w:ind w:left="480" w:firstLine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Style14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color w:val="000000"/>
          <w:sz w:val="32"/>
          <w:u w:val="single"/>
        </w:rPr>
        <w:t>超音波噴霧治療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ultrasonic</w:t>
      </w:r>
      <w:r>
        <w:rPr>
          <w:rFonts w:eastAsia="標楷體"/>
          <w:color w:val="000000"/>
          <w:sz w:val="32"/>
          <w:u w:val="single"/>
        </w:rPr>
        <w:t xml:space="preserve"> nebulizer)</w:t>
      </w:r>
      <w:r>
        <w:rPr>
          <w:rFonts w:eastAsia="標楷體"/>
          <w:color w:val="000000"/>
          <w:sz w:val="32"/>
          <w:u w:val="single"/>
        </w:rPr>
        <w:t>標準作業規範</w:t>
      </w:r>
      <w:r>
        <w:rPr>
          <w:rFonts w:eastAsia="標楷體" w:ascii="標楷體" w:hAnsi="標楷體"/>
          <w:color w:val="000000"/>
          <w:sz w:val="32"/>
        </w:rPr>
        <w:t>(</w:t>
      </w:r>
      <w:r>
        <w:rPr>
          <w:rFonts w:ascii="標楷體" w:hAnsi="標楷體" w:eastAsia="標楷體"/>
          <w:color w:val="000000"/>
          <w:sz w:val="32"/>
        </w:rPr>
        <w:t>四</w:t>
      </w:r>
      <w:r>
        <w:rPr>
          <w:rFonts w:eastAsia="標楷體" w:ascii="標楷體" w:hAnsi="標楷體"/>
          <w:color w:val="000000"/>
          <w:sz w:val="32"/>
        </w:rPr>
        <w:t xml:space="preserve">)     </w:t>
      </w:r>
      <w:r>
        <w:rPr>
          <w:rFonts w:eastAsia="標楷體" w:ascii="標楷體" w:hAnsi="標楷體"/>
          <w:color w:val="000000"/>
          <w:sz w:val="28"/>
        </w:rPr>
        <w:t xml:space="preserve">                                                                        </w:t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color w:val="000000"/>
          <w:sz w:val="28"/>
        </w:rPr>
        <w:t xml:space="preserve">                                                                         </w:t>
      </w: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AUNW00/AUPW00-A020</w:t>
      </w:r>
    </w:p>
    <w:p>
      <w:pPr>
        <w:pStyle w:val="Normal"/>
        <w:spacing w:lineRule="exact" w:line="3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7-7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參考資料</w:t>
            </w:r>
            <w:r>
              <w:rPr>
                <w:rFonts w:eastAsia="標楷體" w:ascii="標楷體" w:hAnsi="標楷體"/>
                <w:color w:val="000000"/>
              </w:rPr>
              <w:t>: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 w:before="240" w:after="1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 xml:space="preserve">Equipment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 w:before="240" w:after="1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Egan’s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 xml:space="preserve">91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 xml:space="preserve">01  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04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標楷體">
    <w:charset w:val="88"/>
    <w:family w:val="auto"/>
    <w:pitch w:val="variable"/>
  </w:font>
  <w:font w:name="新細明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auto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（%1）"/>
      <w:lvlJc w:val="left"/>
      <w:pPr>
        <w:tabs>
          <w:tab w:val="num" w:pos="1680"/>
        </w:tabs>
        <w:ind w:left="1680" w:hanging="720"/>
      </w:pPr>
      <w:rPr/>
    </w:lvl>
    <w:lvl w:ilvl="1">
      <w:start w:val="1"/>
      <w:numFmt w:val="taiwaneseCountingThousand"/>
      <w:lvlText w:val="（%2）"/>
      <w:lvlJc w:val="left"/>
      <w:pPr>
        <w:tabs>
          <w:tab w:val="num" w:pos="480"/>
        </w:tabs>
        <w:ind w:left="1200" w:hanging="720"/>
      </w:pPr>
      <w:rPr/>
    </w:lvl>
    <w:lvl w:ilvl="2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/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 w:cs="新細明體"/>
      </w:rPr>
    </w:lvl>
  </w:abstractNum>
  <w:abstractNum w:abstractNumId="4">
    <w:lvl w:ilvl="0">
      <w:start w:val="1"/>
      <w:numFmt w:val="taiwaneseCountingThousand"/>
      <w:lvlText w:val="（%1）"/>
      <w:lvlJc w:val="left"/>
      <w:pPr>
        <w:tabs>
          <w:tab w:val="num" w:pos="480"/>
        </w:tabs>
        <w:ind w:left="720" w:hanging="720"/>
      </w:pPr>
      <w:rPr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/>
    </w:lvl>
    <w:lvl w:ilvl="2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/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840"/>
        </w:tabs>
        <w:ind w:left="645" w:hanging="165"/>
      </w:pPr>
      <w:rPr/>
    </w:lvl>
    <w:lvl w:ilvl="1">
      <w:start w:val="1"/>
      <w:numFmt w:val="decimal"/>
      <w:lvlText w:val="%2."/>
      <w:lvlJc w:val="left"/>
      <w:pPr>
        <w:tabs>
          <w:tab w:val="num" w:pos="840"/>
        </w:tabs>
        <w:ind w:left="645" w:hanging="165"/>
      </w:pPr>
      <w:rPr/>
    </w:lvl>
    <w:lvl w:ilvl="2">
      <w:start w:val="3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/>
    </w:lvl>
    <w:lvl w:ilvl="3">
      <w:start w:val="1"/>
      <w:numFmt w:val="decimalFullWidth"/>
      <w:lvlText w:val="%4．"/>
      <w:lvlJc w:val="left"/>
      <w:pPr>
        <w:tabs>
          <w:tab w:val="num" w:pos="1920"/>
        </w:tabs>
        <w:ind w:left="1920" w:hanging="480"/>
      </w:pPr>
      <w:rPr/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40" w:hanging="480"/>
      </w:pPr>
    </w:lvl>
  </w:abstractNum>
  <w:abstractNum w:abstractNumId="8">
    <w:lvl w:ilvl="0">
      <w:start w:val="1"/>
      <w:numFmt w:val="taiwaneseCountingThousand"/>
      <w:lvlText w:val="（%1）"/>
      <w:lvlJc w:val="left"/>
      <w:pPr>
        <w:tabs>
          <w:tab w:val="num" w:pos="480"/>
        </w:tabs>
        <w:ind w:left="1680" w:hanging="720"/>
      </w:pPr>
      <w:rPr/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40" w:hanging="48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331" w:hanging="480"/>
      </w:pPr>
    </w:lvl>
  </w:abstractNum>
  <w:abstractNum w:abstractNumId="11">
    <w:lvl w:ilvl="0">
      <w:start w:val="1"/>
      <w:numFmt w:val="taiwaneseCountingThousand"/>
      <w:lvlText w:val="（%1）"/>
      <w:lvlJc w:val="left"/>
      <w:pPr>
        <w:tabs>
          <w:tab w:val="num" w:pos="480"/>
        </w:tabs>
        <w:ind w:left="1680" w:hanging="720"/>
      </w:pPr>
      <w:rPr/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3">
    <w:lvl w:ilvl="0">
      <w:start w:val="1"/>
      <w:numFmt w:val="taiwaneseCountingThousand"/>
      <w:lvlText w:val="（%1）"/>
      <w:lvlJc w:val="left"/>
      <w:pPr>
        <w:tabs>
          <w:tab w:val="num" w:pos="1680"/>
        </w:tabs>
        <w:ind w:left="1680" w:hanging="72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331" w:hanging="480"/>
      </w:pPr>
    </w:lvl>
  </w:abstractNum>
  <w:abstractNum w:abstractNumId="15">
    <w:lvl w:ilvl="0">
      <w:start w:val="1"/>
      <w:numFmt w:val="taiwaneseCountingThousand"/>
      <w:lvlText w:val="（%1）"/>
      <w:lvlJc w:val="left"/>
      <w:pPr>
        <w:tabs>
          <w:tab w:val="num" w:pos="1680"/>
        </w:tabs>
        <w:ind w:left="1680" w:hanging="72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>
    <w:lvl w:ilvl="0">
      <w:start w:val="1"/>
      <w:numFmt w:val="taiwaneseCountingThousand"/>
      <w:lvlText w:val="（%1）"/>
      <w:lvlJc w:val="left"/>
      <w:pPr>
        <w:tabs>
          <w:tab w:val="num" w:pos="480"/>
        </w:tabs>
        <w:ind w:left="1680" w:hanging="720"/>
      </w:pPr>
      <w:rPr/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2z2">
    <w:name w:val="WW8Num2z2"/>
    <w:qFormat/>
    <w:rPr/>
  </w:style>
  <w:style w:type="character" w:styleId="WW8Num3z0">
    <w:name w:val="WW8Num3z0"/>
    <w:qFormat/>
    <w:rPr>
      <w:rFonts w:ascii="標楷體" w:hAnsi="標楷體" w:eastAsia="標楷體" w:cs="新細明體"/>
    </w:rPr>
  </w:style>
  <w:style w:type="character" w:styleId="WW8Num3z1">
    <w:name w:val="WW8Num3z1"/>
    <w:qFormat/>
    <w:rPr>
      <w:rFonts w:ascii="新細明體" w:hAnsi="新細明體" w:eastAsia="新細明體" w:cs="新細明體"/>
    </w:rPr>
  </w:style>
  <w:style w:type="character" w:styleId="WW8Num4z0">
    <w:name w:val="WW8Num4z0"/>
    <w:qFormat/>
    <w:rPr/>
  </w:style>
  <w:style w:type="character" w:styleId="WW8Num4z2">
    <w:name w:val="WW8Num4z2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6z2">
    <w:name w:val="WW8Num6z2"/>
    <w:qFormat/>
    <w:rPr/>
  </w:style>
  <w:style w:type="character" w:styleId="WW8Num8z0">
    <w:name w:val="WW8Num8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lang w:val="en-US"/>
    </w:rPr>
  </w:style>
  <w:style w:type="character" w:styleId="WW8Num13z1">
    <w:name w:val="WW8Num13z1"/>
    <w:qFormat/>
    <w:rPr/>
  </w:style>
  <w:style w:type="character" w:styleId="WW8Num15z0">
    <w:name w:val="WW8Num15z0"/>
    <w:qFormat/>
    <w:rPr>
      <w:lang w:val="en-US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細明體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3">
    <w:name w:val="註解文字"/>
    <w:basedOn w:val="Normal"/>
    <w:qFormat/>
    <w:pPr/>
    <w:rPr/>
  </w:style>
  <w:style w:type="paragraph" w:styleId="Style14">
    <w:name w:val="清單段落"/>
    <w:basedOn w:val="Normal"/>
    <w:qFormat/>
    <w:pPr>
      <w:ind w:left="48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2019-04-26T11:41:00Z</dcterms:created>
  <dc:creator>CGMH</dc:creator>
  <dc:description/>
  <cp:keywords/>
  <dc:language>zh-TW</dc:language>
  <cp:lastModifiedBy>陸蔓綺</cp:lastModifiedBy>
  <cp:lastPrinted>2009-01-13T09:32:00Z</cp:lastPrinted>
  <dcterms:modified xsi:type="dcterms:W3CDTF">2019-06-19T12:18:00Z</dcterms:modified>
  <cp:revision>4</cp:revision>
  <dc:subject/>
  <dc:title>最大吸氣壓最大吐氣壓技術評核表標準作業規範(一)</dc:title>
</cp:coreProperties>
</file>