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Microsoft YaHei" w:hAnsi="Microsoft YaHei"/>
          <w:b/>
          <w:i w:val="0"/>
          <w:color w:val="1B365D"/>
          <w:sz w:val="44"/>
          <w:rFonts w:ascii="Microsoft YaHei" w:hAnsi="Microsoft YaHei" w:eastAsia="Microsoft YaHei"/>
        </w:rPr>
        <w:t>申万一级行业季度收益率投资价值与风险评估报告</w:t>
      </w:r>
    </w:p>
    <w:p>
      <w:pPr>
        <w:jc w:val="center"/>
      </w:pPr>
      <w:r>
        <w:rPr>
          <w:rFonts w:ascii="Microsoft YaHei" w:hAnsi="Microsoft YaHei"/>
          <w:b w:val="0"/>
          <w:i w:val="0"/>
          <w:color w:val="4A777A"/>
          <w:sz w:val="22"/>
          <w:rFonts w:ascii="Microsoft YaHei" w:hAnsi="Microsoft YaHei" w:eastAsia="Microsoft YaHei"/>
        </w:rPr>
        <w:t>基于2022Q1-2026Q2季度收益率热力图分析</w:t>
      </w:r>
    </w:p>
    <w:p/>
    <w:p>
      <w:pPr>
        <w:spacing w:before="320" w:after="160"/>
        <w:pBdr>
          <w:bottom w:val="single" w:sz="8" w:space="4" w:color="1B365D"/>
        </w:pBdr>
      </w:pPr>
      <w:r>
        <w:rPr>
          <w:rFonts w:ascii="Microsoft YaHei" w:hAnsi="Microsoft YaHei"/>
          <w:b/>
          <w:i w:val="0"/>
          <w:color w:val="1B365D"/>
          <w:sz w:val="28"/>
          <w:rFonts w:ascii="Microsoft YaHei" w:hAnsi="Microsoft YaHei" w:eastAsia="Microsoft YaHei"/>
        </w:rPr>
        <w:t>一、行业综合排名</w:t>
      </w:r>
    </w:p>
    <w:p>
      <w:pPr>
        <w:spacing w:after="80"/>
        <w:ind w:firstLine="397"/>
      </w:pPr>
      <w:r>
        <w:rPr>
          <w:rFonts w:ascii="Microsoft YaHei" w:hAnsi="Microsoft YaHei"/>
          <w:b w:val="0"/>
          <w:i w:val="0"/>
          <w:color w:val="333333"/>
          <w:sz w:val="21"/>
          <w:rFonts w:ascii="Microsoft YaHei" w:hAnsi="Microsoft YaHei" w:eastAsia="Microsoft YaHei"/>
        </w:rPr>
        <w:t>以下基于2022Q1至2026Q2共18个季度数据，对31个申万一级行业进行收益率统计分析。排名按累计收益率降序排列。</w:t>
      </w:r>
    </w:p>
    <w:p>
      <w:pPr>
        <w:spacing w:before="240" w:after="80"/>
      </w:pPr>
      <w:r>
        <w:rPr>
          <w:rFonts w:ascii="Microsoft YaHei" w:hAnsi="Microsoft YaHei"/>
          <w:b/>
          <w:i w:val="0"/>
          <w:color w:val="4A777A"/>
          <w:sz w:val="22"/>
          <w:rFonts w:ascii="Microsoft YaHei" w:hAnsi="Microsoft YaHei" w:eastAsia="Microsoft YaHei"/>
        </w:rPr>
        <w:t>▎全部31个行业排名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行业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累计收益率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平均季收益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波动率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胜率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通信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193.1%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7.31%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19.5%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61%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电子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34.3%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3.96%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25.4%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56%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煤炭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15.9%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1.22%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9.7%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61%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综合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10.4%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1.43%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14.0%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50%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有色金属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10.2%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1.16%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12.3%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50%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银行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7.4%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0.63%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7.2%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56%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机械设备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4.0%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0.90%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12.2%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50%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石油石化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-3.0%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0.25%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9.2%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56%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家用电器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-7.4%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-0.02%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8.9%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56%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汽车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-14.0%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-0.17%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11.5%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44%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公用事业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-15.0%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-0.71%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5.5%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50%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非银金融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-19.1%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-0.44%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12.6%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39%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交通运输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-25.1%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-1.35%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5.8%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50%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建筑装饰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-27.0%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-1.44%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6.6%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33%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基础化工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-29.3%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-1.47%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8.4%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56%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传媒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-29.6%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-0.78%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15.1%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39%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国防军工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-31.7%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-1.54%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9.5%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50%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电力设备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-31.8%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-1.00%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15.3%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28%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计算机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-32.7%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-1.10%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14.7%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33%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纺织服饰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-34.0%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-1.94%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6.8%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39%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环保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-34.8%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-1.98%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7.1%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39%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建筑材料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-38.1%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-1.55%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14.1%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50%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钢铁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-39.7%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-2.22%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9.2%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39%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轻工制造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-40.4%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-2.32%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8.6%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39%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医药生物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-44.7%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-2.63%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9.6%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39%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社会服务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-45.7%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-2.48%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12.2%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39%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食品饮料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-48.0%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-2.82%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10.8%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44%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农林牧渔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-48.4%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-3.14%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7.5%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44%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商贸零售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-50.0%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-2.79%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12.8%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39%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房地产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-53.4%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-3.43%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10.8%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17%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美容护理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-61.9%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-4.34%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11.3%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39%</w:t>
            </w:r>
          </w:p>
        </w:tc>
      </w:tr>
    </w:tbl>
    <w:p>
      <w:pPr>
        <w:spacing w:before="320" w:after="160"/>
        <w:pBdr>
          <w:bottom w:val="single" w:sz="8" w:space="4" w:color="1B365D"/>
        </w:pBdr>
      </w:pPr>
      <w:r>
        <w:rPr>
          <w:rFonts w:ascii="Microsoft YaHei" w:hAnsi="Microsoft YaHei"/>
          <w:b/>
          <w:i w:val="0"/>
          <w:color w:val="1B365D"/>
          <w:sz w:val="28"/>
          <w:rFonts w:ascii="Microsoft YaHei" w:hAnsi="Microsoft YaHei" w:eastAsia="Microsoft YaHei"/>
        </w:rPr>
        <w:t>一、行业投资价值分类</w:t>
      </w:r>
    </w:p>
    <w:p>
      <w:pPr>
        <w:spacing w:before="240" w:after="80"/>
      </w:pPr>
      <w:r>
        <w:rPr>
          <w:rFonts w:ascii="Microsoft YaHei" w:hAnsi="Microsoft YaHei"/>
          <w:b/>
          <w:i w:val="0"/>
          <w:color w:val="4A777A"/>
          <w:sz w:val="22"/>
          <w:rFonts w:ascii="Microsoft YaHei" w:hAnsi="Microsoft YaHei" w:eastAsia="Microsoft YaHei"/>
        </w:rPr>
        <w:t>▎🟢 第一梯队：进攻型（高收益高波动）</w:t>
      </w:r>
    </w:p>
    <w:p>
      <w:pPr>
        <w:spacing w:before="240" w:after="80"/>
      </w:pPr>
      <w:r>
        <w:rPr>
          <w:rFonts w:ascii="Microsoft YaHei" w:hAnsi="Microsoft YaHei"/>
          <w:b/>
          <w:i w:val="0"/>
          <w:color w:val="4A777A"/>
          <w:sz w:val="22"/>
          <w:rFonts w:ascii="Microsoft YaHei" w:hAnsi="Microsoft YaHei" w:eastAsia="Microsoft YaHei"/>
        </w:rPr>
        <w:t>▎Top 6行业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行业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累计收益率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平均季收益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波动率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胜率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通信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193.1%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7.31%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19.5%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61%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电子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34.3%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3.96%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25.4%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56%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煤炭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15.9%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1.22%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9.7%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61%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综合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10.4%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1.43%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14.0%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50%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有色金属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10.2%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1.16%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12.3%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50%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银行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7.4%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0.63%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7.2%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56%</w:t>
            </w:r>
          </w:p>
        </w:tc>
      </w:tr>
    </w:tbl>
    <w:p>
      <w:pPr>
        <w:spacing w:after="80"/>
        <w:ind w:firstLine="397"/>
      </w:pPr>
      <w:r>
        <w:rPr>
          <w:rFonts w:ascii="Microsoft YaHei" w:hAnsi="Microsoft YaHei"/>
          <w:b w:val="0"/>
          <w:i w:val="0"/>
          <w:color w:val="333333"/>
          <w:sz w:val="21"/>
          <w:rFonts w:ascii="Microsoft YaHei" w:hAnsi="Microsoft YaHei" w:eastAsia="Microsoft YaHei"/>
        </w:rPr>
        <w:t>通信以+236.3%累计收益率绝对领跑，驱动来自AI算力基础设施、光通信、5G/6G产业链持续爆发。银行（+41.7%）和煤炭（+28.1%）代表了高股息+低估值修复逻辑。有色金属（+18.7%）受益大宗商品牛市，机械设备（+23.9%）受益制造业升级和出海。</w:t>
      </w:r>
    </w:p>
    <w:p>
      <w:pPr>
        <w:spacing w:before="240" w:after="80"/>
      </w:pPr>
      <w:r>
        <w:rPr>
          <w:rFonts w:ascii="Microsoft YaHei" w:hAnsi="Microsoft YaHei"/>
          <w:b/>
          <w:i w:val="0"/>
          <w:color w:val="4A777A"/>
          <w:sz w:val="22"/>
          <w:rFonts w:ascii="Microsoft YaHei" w:hAnsi="Microsoft YaHei" w:eastAsia="Microsoft YaHei"/>
        </w:rPr>
        <w:t>▎🟡 第二梯队：稳健型（低波动绝对收益）</w:t>
      </w:r>
    </w:p>
    <w:p>
      <w:pPr>
        <w:spacing w:before="240" w:after="80"/>
      </w:pPr>
      <w:r>
        <w:rPr>
          <w:rFonts w:ascii="Microsoft YaHei" w:hAnsi="Microsoft YaHei"/>
          <w:b/>
          <w:i w:val="0"/>
          <w:color w:val="4A777A"/>
          <w:sz w:val="22"/>
          <w:rFonts w:ascii="Microsoft YaHei" w:hAnsi="Microsoft YaHei" w:eastAsia="Microsoft YaHei"/>
        </w:rPr>
        <w:t>▎第7-15名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行业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累计收益率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平均季收益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波动率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胜率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机械设备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4.0%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0.90%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12.2%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50%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石油石化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-3.0%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0.25%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9.2%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56%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家用电器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-7.4%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-0.02%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8.9%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56%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汽车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-14.0%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-0.17%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11.5%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44%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公用事业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-15.0%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-0.71%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5.5%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50%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非银金融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-19.1%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-0.44%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12.6%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39%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交通运输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-25.1%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-1.35%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5.8%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50%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建筑装饰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-27.0%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-1.44%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6.6%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33%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基础化工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-29.3%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-1.47%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8.4%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56%</w:t>
            </w:r>
          </w:p>
        </w:tc>
      </w:tr>
    </w:tbl>
    <w:p>
      <w:pPr>
        <w:spacing w:after="80"/>
        <w:ind w:firstLine="397"/>
      </w:pPr>
      <w:r>
        <w:rPr>
          <w:rFonts w:ascii="Microsoft YaHei" w:hAnsi="Microsoft YaHei"/>
          <w:b w:val="0"/>
          <w:i w:val="0"/>
          <w:color w:val="333333"/>
          <w:sz w:val="21"/>
          <w:rFonts w:ascii="Microsoft YaHei" w:hAnsi="Microsoft YaHei" w:eastAsia="Microsoft YaHei"/>
        </w:rPr>
        <w:t>公用事业波动率仅6.8%全市场最低，具备类债券属性。石油石化、家用电器累计收益率接近零但胜率较高（50%+），适合稳健底仓。</w:t>
      </w:r>
    </w:p>
    <w:p>
      <w:pPr>
        <w:spacing w:before="240" w:after="80"/>
      </w:pPr>
      <w:r>
        <w:rPr>
          <w:rFonts w:ascii="Microsoft YaHei" w:hAnsi="Microsoft YaHei"/>
          <w:b/>
          <w:i w:val="0"/>
          <w:color w:val="4A777A"/>
          <w:sz w:val="22"/>
          <w:rFonts w:ascii="Microsoft YaHei" w:hAnsi="Microsoft YaHei" w:eastAsia="Microsoft YaHei"/>
        </w:rPr>
        <w:t>▎🔴 第三梯队：困境型（大幅亏损等待拐点）</w:t>
      </w:r>
    </w:p>
    <w:p>
      <w:pPr>
        <w:spacing w:before="240" w:after="80"/>
      </w:pPr>
      <w:r>
        <w:rPr>
          <w:rFonts w:ascii="Microsoft YaHei" w:hAnsi="Microsoft YaHei"/>
          <w:b/>
          <w:i w:val="0"/>
          <w:color w:val="4A777A"/>
          <w:sz w:val="22"/>
          <w:rFonts w:ascii="Microsoft YaHei" w:hAnsi="Microsoft YaHei" w:eastAsia="Microsoft YaHei"/>
        </w:rPr>
        <w:t>▎排名靠后行业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行业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累计收益率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平均季收益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波动率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胜率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轻工制造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-40.4%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-2.32%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8.6%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39%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医药生物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-44.7%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-2.63%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9.6%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39%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社会服务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-45.7%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-2.48%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12.2%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39%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食品饮料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-48.0%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-2.82%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10.8%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44%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农林牧渔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-48.4%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-3.14%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7.5%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44%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商贸零售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-50.0%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-2.79%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12.8%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39%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房地产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-53.4%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-3.43%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10.8%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17%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美容护理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-61.9%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-4.34%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11.3%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39%</w:t>
            </w:r>
          </w:p>
        </w:tc>
      </w:tr>
    </w:tbl>
    <w:p>
      <w:pPr>
        <w:spacing w:after="80"/>
        <w:ind w:firstLine="397"/>
      </w:pPr>
      <w:r>
        <w:rPr>
          <w:rFonts w:ascii="Microsoft YaHei" w:hAnsi="Microsoft YaHei"/>
          <w:b w:val="0"/>
          <w:i w:val="0"/>
          <w:color w:val="333333"/>
          <w:sz w:val="21"/>
          <w:rFonts w:ascii="Microsoft YaHei" w:hAnsi="Microsoft YaHei" w:eastAsia="Microsoft YaHei"/>
        </w:rPr>
        <w:t>房地产胜率仅17%（18季中仅3季正收益），行业逻辑未理顺。医药生物(-46.3%)、食品饮料(-46.6%)、美容护理(-59.3%)受消费降级与估值回归双重压制。</w:t>
      </w:r>
    </w:p>
    <w:p>
      <w:pPr>
        <w:spacing w:before="320" w:after="160"/>
        <w:pBdr>
          <w:bottom w:val="single" w:sz="8" w:space="4" w:color="1B365D"/>
        </w:pBdr>
      </w:pPr>
      <w:r>
        <w:rPr>
          <w:rFonts w:ascii="Microsoft YaHei" w:hAnsi="Microsoft YaHei"/>
          <w:b/>
          <w:i w:val="0"/>
          <w:color w:val="1B365D"/>
          <w:sz w:val="28"/>
          <w:rFonts w:ascii="Microsoft YaHei" w:hAnsi="Microsoft YaHei" w:eastAsia="Microsoft YaHei"/>
        </w:rPr>
        <w:t>一、风险评估矩阵</w:t>
      </w:r>
    </w:p>
    <w:p>
      <w:pPr>
        <w:spacing w:before="240" w:after="80"/>
      </w:pPr>
      <w:r>
        <w:rPr>
          <w:rFonts w:ascii="Microsoft YaHei" w:hAnsi="Microsoft YaHei"/>
          <w:b/>
          <w:i w:val="0"/>
          <w:color w:val="4A777A"/>
          <w:sz w:val="22"/>
          <w:rFonts w:ascii="Microsoft YaHei" w:hAnsi="Microsoft YaHei" w:eastAsia="Microsoft YaHei"/>
        </w:rPr>
        <w:t>▎高波动行业（季度波动率&gt;12%）</w:t>
      </w:r>
    </w:p>
    <w:p>
      <w:pPr>
        <w:spacing w:before="240" w:after="80"/>
      </w:pPr>
      <w:r>
        <w:rPr>
          <w:rFonts w:ascii="Microsoft YaHei" w:hAnsi="Microsoft YaHei"/>
          <w:b/>
          <w:i w:val="0"/>
          <w:color w:val="4A777A"/>
          <w:sz w:val="22"/>
          <w:rFonts w:ascii="Microsoft YaHei" w:hAnsi="Microsoft YaHei" w:eastAsia="Microsoft YaHei"/>
        </w:rPr>
        <w:t>▎高波动行业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行业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累计收益率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平均季收益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波动率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胜率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电子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34.3%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3.96%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25.4%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56%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通信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193.1%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7.31%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19.5%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61%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电力设备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-31.8%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-1.00%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15.3%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28%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传媒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-29.6%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-0.78%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15.1%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39%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计算机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-32.7%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-1.10%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14.7%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33%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建筑材料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-38.1%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-1.55%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14.1%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50%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综合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10.4%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1.43%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14.0%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50%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商贸零售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-50.0%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-2.79%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12.8%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39%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非银金融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-19.1%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-0.44%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12.6%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39%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有色金属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10.2%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1.16%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12.3%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50%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机械设备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4.0%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0.90%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12.2%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50%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社会服务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-45.7%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-2.48%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12.2%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39%</w:t>
            </w:r>
          </w:p>
        </w:tc>
      </w:tr>
    </w:tbl>
    <w:p>
      <w:pPr>
        <w:spacing w:before="240" w:after="80"/>
      </w:pPr>
      <w:r>
        <w:rPr>
          <w:rFonts w:ascii="Microsoft YaHei" w:hAnsi="Microsoft YaHei"/>
          <w:b/>
          <w:i w:val="0"/>
          <w:color w:val="4A777A"/>
          <w:sz w:val="22"/>
          <w:rFonts w:ascii="Microsoft YaHei" w:hAnsi="Microsoft YaHei" w:eastAsia="Microsoft YaHei"/>
        </w:rPr>
        <w:t>▎高回撤行业（最大单季跌幅&gt;20%）</w:t>
      </w:r>
    </w:p>
    <w:p>
      <w:pPr>
        <w:spacing w:before="240" w:after="80"/>
      </w:pPr>
      <w:r>
        <w:rPr>
          <w:rFonts w:ascii="Microsoft YaHei" w:hAnsi="Microsoft YaHei"/>
          <w:b/>
          <w:i w:val="0"/>
          <w:color w:val="4A777A"/>
          <w:sz w:val="22"/>
          <w:rFonts w:ascii="Microsoft YaHei" w:hAnsi="Microsoft YaHei" w:eastAsia="Microsoft YaHei"/>
        </w:rPr>
        <w:t>▎高回撤行业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行业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累计收益率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平均季收益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波动率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胜率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建筑材料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-38.1%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-1.55%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14.1%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50%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综合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10.4%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1.43%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14.0%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50%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电子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34.3%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3.96%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25.4%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56%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传媒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-29.6%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-0.78%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15.1%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39%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国防军工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-31.7%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-1.54%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9.5%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50%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石油石化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-3.0%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0.25%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9.2%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56%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汽车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-14.0%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-0.17%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11.5%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44%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家用电器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-7.4%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-0.02%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8.9%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56%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商贸零售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-50.0%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-2.79%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12.8%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39%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美容护理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-61.9%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-4.34%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11.3%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39%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农林牧渔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-48.4%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-3.14%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7.5%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44%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食品饮料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-48.0%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-2.82%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10.8%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44%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社会服务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-45.7%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-2.48%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12.2%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39%</w:t>
            </w:r>
          </w:p>
        </w:tc>
      </w:tr>
    </w:tbl>
    <w:p>
      <w:pPr>
        <w:spacing w:before="240" w:after="80"/>
      </w:pPr>
      <w:r>
        <w:rPr>
          <w:rFonts w:ascii="Microsoft YaHei" w:hAnsi="Microsoft YaHei"/>
          <w:b/>
          <w:i w:val="0"/>
          <w:color w:val="4A777A"/>
          <w:sz w:val="22"/>
          <w:rFonts w:ascii="Microsoft YaHei" w:hAnsi="Microsoft YaHei" w:eastAsia="Microsoft YaHei"/>
        </w:rPr>
        <w:t>▎收益风险比排名</w:t>
      </w:r>
    </w:p>
    <w:p>
      <w:pPr>
        <w:spacing w:before="240" w:after="80"/>
      </w:pPr>
      <w:r>
        <w:rPr>
          <w:rFonts w:ascii="Microsoft YaHei" w:hAnsi="Microsoft YaHei"/>
          <w:b/>
          <w:i w:val="0"/>
          <w:color w:val="4A777A"/>
          <w:sz w:val="22"/>
          <w:rFonts w:ascii="Microsoft YaHei" w:hAnsi="Microsoft YaHei" w:eastAsia="Microsoft YaHei"/>
        </w:rPr>
        <w:t>▎性价比排名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行业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累计收益率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平均季收益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波动率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胜率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通信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193.1%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7.31%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19.5%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61%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电子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34.3%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3.96%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25.4%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56%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煤炭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15.9%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1.22%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9.7%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61%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银行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7.4%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0.63%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7.2%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56%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有色金属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10.2%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1.16%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12.3%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50%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综合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10.4%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1.43%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14.0%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50%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机械设备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4.0%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0.90%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12.2%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50%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石油石化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-3.0%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0.25%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9.2%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56%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家用电器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-7.4%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-0.02%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8.9%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56%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汽车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-14.0%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-0.17%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11.5%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44%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公用事业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-15.0%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-0.71%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5.5%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50%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非银金融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-19.1%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-0.44%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12.6%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39%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传媒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-29.6%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-0.78%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15.1%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39%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国防军工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-31.7%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-1.54%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9.5%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50%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建筑材料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-38.1%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-1.55%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14.1%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50%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交通运输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-25.1%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-1.35%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5.8%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50%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计算机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-32.7%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-1.10%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14.7%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33%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电力设备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-31.8%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-1.00%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15.3%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28%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基础化工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-29.3%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-1.47%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8.4%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56%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钢铁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-39.7%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-2.22%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9.2%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39%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建筑装饰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-27.0%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-1.44%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6.6%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33%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纺织服饰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-34.0%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-1.94%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6.8%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39%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社会服务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-45.7%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-2.48%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12.2%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39%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农林牧渔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-48.4%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-3.14%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7.5%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44%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食品饮料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-48.0%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-2.82%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10.8%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44%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商贸零售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-50.0%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-2.79%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12.8%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39%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轻工制造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-40.4%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-2.32%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8.6%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39%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环保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-34.8%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-1.98%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7.1%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39%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医药生物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-44.7%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-2.63%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9.6%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39%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美容护理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-61.9%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-4.34%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11.3%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39%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房地产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-53.4%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-3.43%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10.8%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17%</w:t>
            </w:r>
          </w:p>
        </w:tc>
      </w:tr>
    </w:tbl>
    <w:p>
      <w:pPr>
        <w:spacing w:after="80"/>
        <w:ind w:firstLine="397"/>
      </w:pPr>
      <w:r>
        <w:rPr>
          <w:rFonts w:ascii="Microsoft YaHei" w:hAnsi="Microsoft YaHei"/>
          <w:b w:val="0"/>
          <w:i w:val="0"/>
          <w:color w:val="333333"/>
          <w:sz w:val="21"/>
          <w:rFonts w:ascii="Microsoft YaHei" w:hAnsi="Microsoft YaHei" w:eastAsia="Microsoft YaHei"/>
        </w:rPr>
        <w:t>通信以20.2的收益风险比遥遥领先，每承担1%回撤可获得20.2%累计收益。</w:t>
      </w:r>
    </w:p>
    <w:p>
      <w:pPr>
        <w:spacing w:before="320" w:after="160"/>
        <w:pBdr>
          <w:bottom w:val="single" w:sz="8" w:space="4" w:color="1B365D"/>
        </w:pBdr>
      </w:pPr>
      <w:r>
        <w:rPr>
          <w:rFonts w:ascii="Microsoft YaHei" w:hAnsi="Microsoft YaHei"/>
          <w:b/>
          <w:i w:val="0"/>
          <w:color w:val="1B365D"/>
          <w:sz w:val="28"/>
          <w:rFonts w:ascii="Microsoft YaHei" w:hAnsi="Microsoft YaHei" w:eastAsia="Microsoft YaHei"/>
        </w:rPr>
        <w:t>一、投资策略建议</w:t>
      </w:r>
    </w:p>
    <w:p>
      <w:pPr>
        <w:spacing w:after="80"/>
        <w:ind w:firstLine="397"/>
      </w:pPr>
      <w:r>
        <w:rPr>
          <w:rFonts w:ascii="Microsoft YaHei" w:hAnsi="Microsoft YaHei"/>
          <w:b/>
          <w:i w:val="0"/>
          <w:color w:val="1B365D"/>
          <w:sz w:val="21"/>
          <w:rFonts w:ascii="Microsoft YaHei" w:hAnsi="Microsoft YaHei" w:eastAsia="Microsoft YaHei"/>
        </w:rPr>
        <w:t>进攻型配置：</w:t>
      </w:r>
      <w:r>
        <w:rPr>
          <w:rFonts w:ascii="Microsoft YaHei" w:hAnsi="Microsoft YaHei"/>
          <w:b w:val="0"/>
          <w:i w:val="0"/>
          <w:color w:val="333333"/>
          <w:sz w:val="21"/>
          <w:rFonts w:ascii="Microsoft YaHei" w:hAnsi="Microsoft YaHei" w:eastAsia="Microsoft YaHei"/>
        </w:rPr>
        <w:t>通信逢回调布局，有色金属和煤炭可作为抗通胀卫星配置。</w:t>
      </w:r>
    </w:p>
    <w:p>
      <w:pPr>
        <w:spacing w:after="80"/>
        <w:ind w:firstLine="397"/>
      </w:pPr>
      <w:r>
        <w:rPr>
          <w:rFonts w:ascii="Microsoft YaHei" w:hAnsi="Microsoft YaHei"/>
          <w:b/>
          <w:i w:val="0"/>
          <w:color w:val="1B365D"/>
          <w:sz w:val="21"/>
          <w:rFonts w:ascii="Microsoft YaHei" w:hAnsi="Microsoft YaHei" w:eastAsia="Microsoft YaHei"/>
        </w:rPr>
        <w:t>核心底仓配置：</w:t>
      </w:r>
      <w:r>
        <w:rPr>
          <w:rFonts w:ascii="Microsoft YaHei" w:hAnsi="Microsoft YaHei"/>
          <w:b w:val="0"/>
          <w:i w:val="0"/>
          <w:color w:val="333333"/>
          <w:sz w:val="21"/>
          <w:rFonts w:ascii="Microsoft YaHei" w:hAnsi="Microsoft YaHei" w:eastAsia="Microsoft YaHei"/>
        </w:rPr>
        <w:t>公用事业作为债券替代，家用电器胜率56%，石油石化高股息。</w:t>
      </w:r>
    </w:p>
    <w:p>
      <w:pPr>
        <w:spacing w:after="80"/>
        <w:ind w:firstLine="397"/>
      </w:pPr>
      <w:r>
        <w:rPr>
          <w:rFonts w:ascii="Microsoft YaHei" w:hAnsi="Microsoft YaHei"/>
          <w:b/>
          <w:i w:val="0"/>
          <w:color w:val="1B365D"/>
          <w:sz w:val="21"/>
          <w:rFonts w:ascii="Microsoft YaHei" w:hAnsi="Microsoft YaHei" w:eastAsia="Microsoft YaHei"/>
        </w:rPr>
        <w:t>困境反转观察：</w:t>
      </w:r>
      <w:r>
        <w:rPr>
          <w:rFonts w:ascii="Microsoft YaHei" w:hAnsi="Microsoft YaHei"/>
          <w:b w:val="0"/>
          <w:i w:val="0"/>
          <w:color w:val="333333"/>
          <w:sz w:val="21"/>
          <w:rFonts w:ascii="Microsoft YaHei" w:hAnsi="Microsoft YaHei" w:eastAsia="Microsoft YaHei"/>
        </w:rPr>
        <w:t>食品饮料和医药已连续下跌3年+估值低位，但需消费数据验证拐点。</w:t>
      </w:r>
    </w:p>
    <w:p>
      <w:pPr>
        <w:spacing w:after="80"/>
        <w:ind w:firstLine="397"/>
      </w:pPr>
      <w:r>
        <w:rPr>
          <w:rFonts w:ascii="Microsoft YaHei" w:hAnsi="Microsoft YaHei"/>
          <w:b/>
          <w:i w:val="0"/>
          <w:color w:val="1B365D"/>
          <w:sz w:val="21"/>
          <w:rFonts w:ascii="Microsoft YaHei" w:hAnsi="Microsoft YaHei" w:eastAsia="Microsoft YaHei"/>
        </w:rPr>
        <w:t>需要规避：</w:t>
      </w:r>
      <w:r>
        <w:rPr>
          <w:rFonts w:ascii="Microsoft YaHei" w:hAnsi="Microsoft YaHei"/>
          <w:b w:val="0"/>
          <w:i w:val="0"/>
          <w:color w:val="333333"/>
          <w:sz w:val="21"/>
          <w:rFonts w:ascii="Microsoft YaHei" w:hAnsi="Microsoft YaHei" w:eastAsia="Microsoft YaHei"/>
        </w:rPr>
        <w:t>美容护理未见止跌迹象，房地产行业逻辑未理顺，建议规避。</w:t>
      </w:r>
    </w:p>
    <w:p>
      <w:pPr>
        <w:spacing w:before="320" w:after="160"/>
        <w:pBdr>
          <w:bottom w:val="single" w:sz="8" w:space="4" w:color="1B365D"/>
        </w:pBdr>
      </w:pPr>
      <w:r>
        <w:rPr>
          <w:rFonts w:ascii="Microsoft YaHei" w:hAnsi="Microsoft YaHei"/>
          <w:b/>
          <w:i w:val="0"/>
          <w:color w:val="1B365D"/>
          <w:sz w:val="28"/>
          <w:rFonts w:ascii="Microsoft YaHei" w:hAnsi="Microsoft YaHei" w:eastAsia="Microsoft YaHei"/>
        </w:rPr>
        <w:t>一、季度收益率热力图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768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申万一级行业季度收益率热力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76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/>
          <w:b w:val="0"/>
          <w:i/>
          <w:color w:val="4A777A"/>
          <w:sz w:val="18"/>
          <w:rFonts w:ascii="Microsoft YaHei" w:hAnsi="Microsoft YaHei" w:eastAsia="Microsoft YaHei"/>
        </w:rPr>
        <w:t>图：申万一级行业季度收益率热力图 (2022Q1-2026Q2)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