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/>
          <w:b/>
          <w:i w:val="0"/>
          <w:color w:val="1B365D"/>
          <w:sz w:val="44"/>
          <w:rFonts w:ascii="Microsoft YaHei" w:hAnsi="Microsoft YaHei" w:eastAsia="Microsoft YaHei"/>
        </w:rPr>
        <w:t>申万一级行业年度收益率投资价值与风险评估报告</w:t>
      </w:r>
    </w:p>
    <w:p>
      <w:pPr>
        <w:jc w:val="center"/>
      </w:pPr>
      <w:r>
        <w:rPr>
          <w:rFonts w:ascii="Microsoft YaHei" w:hAnsi="Microsoft YaHei"/>
          <w:b w:val="0"/>
          <w:i w:val="0"/>
          <w:color w:val="4A777A"/>
          <w:sz w:val="22"/>
          <w:rFonts w:ascii="Microsoft YaHei" w:hAnsi="Microsoft YaHei" w:eastAsia="Microsoft YaHei"/>
        </w:rPr>
        <w:t>基于2016-2026共11个自然年度收益率分析</w:t>
      </w:r>
    </w:p>
    <w:p/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一、行业综合排名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以下基于2016至2026年共11个年度数据，对31个申万一级行业进行收益率统计分析。排名按累计收益率降序排列。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▎全部31个行业排名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平均年收益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158.5%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14.35%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34.6%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食品饮料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12.77%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通信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117.6%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11.33%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33.3%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11.75%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煤炭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67.1%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6.23%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家用电器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63.8%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7.95%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电力设备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33.9%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8.11%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37.9%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银行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26.1%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基础化工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18.9%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4.14%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16.5%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3.86%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机械设备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3.49%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石油石化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9.4%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1.72%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非银金融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2.40%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建筑材料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2.81%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社会服务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3.48%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34.4%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综合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1.93%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22.6%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医药生物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1.78%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国防军工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-20.5%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1.31%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钢铁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-21.1%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-0.19%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20.5%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公用事业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计算机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建筑装饰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-3.45%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农林牧渔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-2.50%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21.1%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交通运输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美容护理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-40.7%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轻工制造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-51.0%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-4.55%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环保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-5.26%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纺织服饰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-65.7%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-8.21%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传媒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-6.73%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房地产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-67.8%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-8.68%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-8.87%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16.4%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一、行业投资价值分类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▎🟢 第一梯队：进攻型（高收益高波动）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▎Top 6行业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平均年收益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158.5%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14.35%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34.6%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食品饮料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12.77%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通信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117.6%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11.33%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33.3%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11.75%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煤炭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67.1%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6.23%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家用电器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63.8%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7.95%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</w:tbl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食品饮料(+280.5%)以年化复利领跑，驱动来自2016-2020年消费升级长期逻辑下的戴维斯双击。家用电器(+182.5%)紧随其后，受益于地产后周期与全球化出海。社会服务、电力设备、电子、医药生物均体现了A股核心资产的长牛特征。注意：部分行业近年出现明显均值回归。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▎🟡 第二梯队：稳健型（绝对收益+低波动）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▎第7-15名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平均年收益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电力设备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33.9%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8.11%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37.9%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银行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26.1%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基础化工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18.9%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4.14%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16.5%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3.86%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机械设备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3.49%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石油石化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9.4%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1.72%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非银金融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2.40%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建筑材料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2.81%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社会服务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3.48%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34.4%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</w:tbl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银行、公用事业等低波动行业累计收益稳定，具备高股息防御属性。银行胜率达60%+，是典型的稳健底仓品种。建筑装饰、石油石化等周期行业波动可控，适合作为组合中的卫星配置。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▎🔴 第三梯队：困境型（大幅亏损等待拐点）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▎排名靠后行业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平均年收益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交通运输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美容护理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-40.7%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轻工制造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-51.0%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-4.55%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环保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-5.26%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纺织服饰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-65.7%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-8.21%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传媒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-6.73%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房地产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-67.8%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-8.68%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-8.87%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16.4%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</w:tbl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房地产(-56.0%)累计跌幅最深，行业逻辑面临根本性转变。传媒(-46.7%)、纺织服饰(-37.2%)长期表现低迷。钢铁、商贸零售等传统行业受经济结构转型冲击显著。</w:t>
      </w:r>
    </w:p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一、风险评估矩阵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▎高波动行业（年波动率&gt;35%）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▎高波动行业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平均年收益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食品饮料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12.77%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电力设备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33.9%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8.11%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37.9%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11.75%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▎高回撤行业（最大单年跌幅&gt;30%）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▎高回撤行业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平均年收益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环保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-5.26%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158.5%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14.35%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34.6%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11.75%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传媒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-6.73%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综合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1.93%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22.6%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轻工制造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-51.0%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-4.55%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机械设备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3.49%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电力设备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33.9%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8.11%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37.9%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纺织服饰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-65.7%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-8.21%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煤炭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67.1%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6.23%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16.5%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3.86%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基础化工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18.9%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4.14%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建筑材料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2.81%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-8.87%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16.4%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家用电器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63.8%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7.95%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钢铁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-21.1%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-0.19%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20.5%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美容护理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-40.7%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通信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117.6%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11.33%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33.3%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国防军工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-20.5%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1.31%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房地产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-67.8%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-8.68%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公用事业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建筑装饰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-3.45%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交通运输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▎收益风险比排名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▎性价比排名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累计收益率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平均年收益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波动率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胜率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食品饮料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12.77%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通信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117.6%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11.33%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33.3%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158.5%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14.35%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34.6%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106.2%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11.75%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家用电器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63.8%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7.95%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煤炭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67.1%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6.23%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82%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银行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26.1%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电力设备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33.9%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8.11%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37.9%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基础化工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18.9%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4.14%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16.5%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3.86%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石油石化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9.4%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1.72%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73%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机械设备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11.7%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3.49%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非银金融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2.40%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建筑材料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1.0%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27AE60"/>
                <w:sz w:val="17"/>
              </w:rPr>
              <w:t>2.81%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64%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综合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1.93%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22.6%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社会服务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3.48%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34.4%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医药生物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1.78%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国防军工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-20.5%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1.31%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钢铁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-21.1%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-0.19%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20.5%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公用事业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-23.0%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-1.20%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55%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环保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-5.26%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建筑装饰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-3.45%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13.2%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交通运输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-3.39%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美容护理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-40.7%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-2.30%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计算机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-1.65%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轻工制造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-51.0%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-4.55%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18.7%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传媒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-6.73%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23.3%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农林牧渔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-38.5%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-2.50%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21.1%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纺织服饰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-65.7%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-8.21%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14.3%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-69.7%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-8.87%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16.4%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房地产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-67.8%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-8.68%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15.2%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7"/>
              </w:rPr>
              <w:t>27%</w:t>
            </w:r>
          </w:p>
        </w:tc>
      </w:tr>
    </w:tbl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食品饮料以17.2的收益风险比位居榜首，每承担1%回撤可获得17.2%年化收益。家用电器、社会服务紧随其后，是大周期维度下最具性价比的赛道。</w:t>
      </w:r>
    </w:p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一、投资策略建议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长期核心配置：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食品饮料、电力设备逢回调定投，电子和医药生物长期配置。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稳健底仓配置：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银行和公用事业提供稳定股息+低波动，作为组合压舱石。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周期轮动配置：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煤炭、有色金属在通胀/复苏阶段可阶段性超配。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需要规避：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房地产行业逻辑未理顺，传媒和纺织服饰等待基本面拐点信号。</w:t>
      </w:r>
    </w:p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一、年度收益率热力图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800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申万一级行业年度收益率热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0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b w:val="0"/>
          <w:i/>
          <w:color w:val="4A777A"/>
          <w:sz w:val="18"/>
          <w:rFonts w:ascii="Microsoft YaHei" w:hAnsi="Microsoft YaHei" w:eastAsia="Microsoft YaHei"/>
        </w:rPr>
        <w:t>图：申万一级行业年度收益率热力图 (2016-2026)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