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Microsoft YaHei" w:hAnsi="Microsoft YaHei"/>
          <w:b/>
          <w:i w:val="0"/>
          <w:color w:val="1B365D"/>
          <w:sz w:val="44"/>
          <w:rFonts w:ascii="Microsoft YaHei" w:hAnsi="Microsoft YaHei" w:eastAsia="Microsoft YaHei"/>
        </w:rPr>
        <w:t>申万一级行业综合投资价值与风险评估报告（混合版）</w:t>
      </w:r>
    </w:p>
    <w:p>
      <w:pPr>
        <w:jc w:val="center"/>
      </w:pPr>
      <w:r>
        <w:rPr>
          <w:rFonts w:ascii="Microsoft YaHei" w:hAnsi="Microsoft YaHei"/>
          <w:b w:val="0"/>
          <w:i w:val="0"/>
          <w:color w:val="4A777A"/>
          <w:sz w:val="20"/>
          <w:rFonts w:ascii="Microsoft YaHei" w:hAnsi="Microsoft YaHei" w:eastAsia="Microsoft YaHei"/>
        </w:rPr>
        <w:t>银行/非银金融/电力设备/交通运输/有色金属/建筑装饰/食品饮料/家用电器/商贸零售 → PB估值，其余 → PE估值</w:t>
      </w:r>
    </w:p>
    <w:p/>
    <w:p>
      <w:pPr>
        <w:spacing w:before="320" w:after="160"/>
        <w:pBdr>
          <w:bottom w:val="single" w:sz="8" w:space="4" w:color="1B365D"/>
        </w:pBdr>
      </w:pPr>
      <w:r>
        <w:rPr>
          <w:rFonts w:ascii="Microsoft YaHei" w:hAnsi="Microsoft YaHei"/>
          <w:b/>
          <w:i w:val="0"/>
          <w:color w:val="1B365D"/>
          <w:sz w:val="28"/>
          <w:rFonts w:ascii="Microsoft YaHei" w:hAnsi="Microsoft YaHei" w:eastAsia="Microsoft YaHei"/>
        </w:rPr>
        <w:t>一、分析框架说明</w:t>
      </w:r>
    </w:p>
    <w:p>
      <w:pPr>
        <w:spacing w:after="80"/>
        <w:ind w:firstLine="397"/>
      </w:pPr>
      <w:r>
        <w:rPr>
          <w:rFonts w:ascii="Microsoft YaHei" w:hAnsi="Microsoft YaHei"/>
          <w:b w:val="0"/>
          <w:i w:val="0"/>
          <w:color w:val="333333"/>
          <w:sz w:val="21"/>
          <w:rFonts w:ascii="Microsoft YaHei" w:hAnsi="Microsoft YaHei" w:eastAsia="Microsoft YaHei"/>
        </w:rPr>
        <w:t>9个行业使用PB历史百分位评分（银行、非银金融、电力设备、交通运输、有色金属、建筑装饰、食品饮料、家用电器、商贸零售）；其余22个行业使用PE历史百分位评分。</w:t>
      </w:r>
    </w:p>
    <w:p>
      <w:pPr>
        <w:spacing w:after="80"/>
        <w:ind w:firstLine="397"/>
      </w:pPr>
      <w:r>
        <w:rPr>
          <w:rFonts w:ascii="Microsoft YaHei" w:hAnsi="Microsoft YaHei"/>
          <w:b w:val="0"/>
          <w:i w:val="0"/>
          <w:color w:val="333333"/>
          <w:sz w:val="21"/>
          <w:rFonts w:ascii="Microsoft YaHei" w:hAnsi="Microsoft YaHei" w:eastAsia="Microsoft YaHei"/>
        </w:rPr>
        <w:t>综合评分=估值评分×40%+动量评分×40%+(3-风险评分)×20%，满分3分。</w:t>
      </w:r>
    </w:p>
    <w:p>
      <w:pPr>
        <w:spacing w:before="320" w:after="160"/>
        <w:pBdr>
          <w:bottom w:val="single" w:sz="8" w:space="4" w:color="1B365D"/>
        </w:pBdr>
      </w:pPr>
      <w:r>
        <w:rPr>
          <w:rFonts w:ascii="Microsoft YaHei" w:hAnsi="Microsoft YaHei"/>
          <w:b/>
          <w:i w:val="0"/>
          <w:color w:val="1B365D"/>
          <w:sz w:val="28"/>
          <w:rFonts w:ascii="Microsoft YaHei" w:hAnsi="Microsoft YaHei" w:eastAsia="Microsoft YaHei"/>
        </w:rPr>
        <w:t>一、综合排名</w:t>
      </w:r>
    </w:p>
    <w:p>
      <w:pPr>
        <w:spacing w:before="240" w:after="80"/>
      </w:pPr>
      <w:r>
        <w:rPr>
          <w:rFonts w:ascii="Microsoft YaHei" w:hAnsi="Microsoft YaHei"/>
          <w:b/>
          <w:i w:val="0"/>
          <w:color w:val="4A777A"/>
          <w:sz w:val="22"/>
          <w:rFonts w:ascii="Microsoft YaHei" w:hAnsi="Microsoft YaHei" w:eastAsia="Microsoft YaHei"/>
        </w:rPr>
        <w:t>▎全行业排名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行业</w:t>
            </w:r>
          </w:p>
        </w:tc>
        <w:tc>
          <w:tcPr>
            <w:tcW w:type="dxa" w:w="108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投资评级</w:t>
            </w:r>
          </w:p>
        </w:tc>
        <w:tc>
          <w:tcPr>
            <w:tcW w:type="dxa" w:w="108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综合评分</w:t>
            </w:r>
          </w:p>
        </w:tc>
        <w:tc>
          <w:tcPr>
            <w:tcW w:type="dxa" w:w="108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估值评分</w:t>
            </w:r>
          </w:p>
        </w:tc>
        <w:tc>
          <w:tcPr>
            <w:tcW w:type="dxa" w:w="108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动量评分</w:t>
            </w:r>
          </w:p>
        </w:tc>
        <w:tc>
          <w:tcPr>
            <w:tcW w:type="dxa" w:w="108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风险等级</w:t>
            </w:r>
          </w:p>
        </w:tc>
        <w:tc>
          <w:tcPr>
            <w:tcW w:type="dxa" w:w="108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估值状态</w:t>
            </w:r>
          </w:p>
        </w:tc>
        <w:tc>
          <w:tcPr>
            <w:tcW w:type="dxa" w:w="108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估值依据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银行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2.8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深度低估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PB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交通运输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2.6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深度低估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PB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家用电器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2.2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中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深度低估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PB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石油石化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2.2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偏高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PE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非银金融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2.2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中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深度低估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PB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建筑装饰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2.2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深度低估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PB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公用事业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2.0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合理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PE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纺织服饰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color w:val="4A777A"/>
                <w:sz w:val="16"/>
              </w:rPr>
              <w:t>标配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1.8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低估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PE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传媒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color w:val="4A777A"/>
                <w:sz w:val="16"/>
              </w:rPr>
              <w:t>标配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1.8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中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低估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PE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煤炭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color w:val="4A777A"/>
                <w:sz w:val="16"/>
              </w:rPr>
              <w:t>标配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1.6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偏高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PE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电力设备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color w:val="4A777A"/>
                <w:sz w:val="16"/>
              </w:rPr>
              <w:t>标配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1.6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高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合理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PB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综合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color w:val="4A777A"/>
                <w:sz w:val="16"/>
              </w:rPr>
              <w:t>标配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1.6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高估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PE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商贸零售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color w:val="4A777A"/>
                <w:sz w:val="16"/>
              </w:rPr>
              <w:t>标配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1.6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深度低估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PB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有色金属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color w:val="4A777A"/>
                <w:sz w:val="16"/>
              </w:rPr>
              <w:t>标配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1.6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高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合理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PB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环保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color w:val="4A777A"/>
                <w:sz w:val="16"/>
              </w:rPr>
              <w:t>标配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1.6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低估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PE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基础化工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1.4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中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合理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PE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机械设备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1.4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中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偏高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PE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美容护理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1.4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中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深度低估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PE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国防军工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1.4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中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低估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PE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医药生物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1.4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中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低估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PE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钢铁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1.2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偏高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PE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电子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1.2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高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高估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PE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农林牧渔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1.2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合理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PE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通信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1.2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高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高估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PE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社会服务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1.2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高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低估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PE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轻工制造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1.2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低估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PE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食品饮料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1.2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高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深度低估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PB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汽车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1.2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合理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PE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房地产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1.0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偏高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PE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建筑材料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1.0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中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高估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PE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计算机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color w:val="C0392B"/>
                <w:sz w:val="16"/>
              </w:rPr>
              <w:t>规避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0.6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中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偏高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PE</w:t>
            </w:r>
          </w:p>
        </w:tc>
      </w:tr>
    </w:tbl>
    <w:p>
      <w:pPr>
        <w:spacing w:before="320" w:after="160"/>
        <w:pBdr>
          <w:bottom w:val="single" w:sz="8" w:space="4" w:color="1B365D"/>
        </w:pBdr>
      </w:pPr>
      <w:r>
        <w:rPr>
          <w:rFonts w:ascii="Microsoft YaHei" w:hAnsi="Microsoft YaHei"/>
          <w:b/>
          <w:i w:val="0"/>
          <w:color w:val="1B365D"/>
          <w:sz w:val="28"/>
          <w:rFonts w:ascii="Microsoft YaHei" w:hAnsi="Microsoft YaHei" w:eastAsia="Microsoft YaHei"/>
        </w:rPr>
        <w:t>一、积极配置板块</w:t>
      </w:r>
    </w:p>
    <w:p>
      <w:pPr>
        <w:spacing w:before="240" w:after="80"/>
      </w:pPr>
      <w:r>
        <w:rPr>
          <w:rFonts w:ascii="Microsoft YaHei" w:hAnsi="Microsoft YaHei"/>
          <w:b/>
          <w:i w:val="0"/>
          <w:color w:val="4A777A"/>
          <w:sz w:val="22"/>
          <w:rFonts w:ascii="Microsoft YaHei" w:hAnsi="Microsoft YaHei" w:eastAsia="Microsoft YaHei"/>
        </w:rPr>
        <w:t>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行业</w:t>
            </w:r>
          </w:p>
        </w:tc>
        <w:tc>
          <w:tcPr>
            <w:tcW w:type="dxa" w:w="108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投资评级</w:t>
            </w:r>
          </w:p>
        </w:tc>
        <w:tc>
          <w:tcPr>
            <w:tcW w:type="dxa" w:w="108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综合评分</w:t>
            </w:r>
          </w:p>
        </w:tc>
        <w:tc>
          <w:tcPr>
            <w:tcW w:type="dxa" w:w="108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估值评分</w:t>
            </w:r>
          </w:p>
        </w:tc>
        <w:tc>
          <w:tcPr>
            <w:tcW w:type="dxa" w:w="108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动量评分</w:t>
            </w:r>
          </w:p>
        </w:tc>
        <w:tc>
          <w:tcPr>
            <w:tcW w:type="dxa" w:w="108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风险等级</w:t>
            </w:r>
          </w:p>
        </w:tc>
        <w:tc>
          <w:tcPr>
            <w:tcW w:type="dxa" w:w="108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估值状态</w:t>
            </w:r>
          </w:p>
        </w:tc>
        <w:tc>
          <w:tcPr>
            <w:tcW w:type="dxa" w:w="108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估值依据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银行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2.8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深度低估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PB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交通运输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2.6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深度低估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PB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家用电器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2.2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中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深度低估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PB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石油石化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2.2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偏高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PE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非银金融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2.2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中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深度低估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PB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建筑装饰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2.2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深度低估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PB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公用事业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2.0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合理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PE</w:t>
            </w:r>
          </w:p>
        </w:tc>
      </w:tr>
    </w:tbl>
    <w:p>
      <w:pPr>
        <w:spacing w:before="320" w:after="160"/>
        <w:pBdr>
          <w:bottom w:val="single" w:sz="8" w:space="4" w:color="1B365D"/>
        </w:pBdr>
      </w:pPr>
      <w:r>
        <w:rPr>
          <w:rFonts w:ascii="Microsoft YaHei" w:hAnsi="Microsoft YaHei"/>
          <w:b/>
          <w:i w:val="0"/>
          <w:color w:val="1B365D"/>
          <w:sz w:val="28"/>
          <w:rFonts w:ascii="Microsoft YaHei" w:hAnsi="Microsoft YaHei" w:eastAsia="Microsoft YaHei"/>
        </w:rPr>
        <w:t>一、标配板块</w:t>
      </w:r>
    </w:p>
    <w:p>
      <w:pPr>
        <w:spacing w:before="240" w:after="80"/>
      </w:pPr>
      <w:r>
        <w:rPr>
          <w:rFonts w:ascii="Microsoft YaHei" w:hAnsi="Microsoft YaHei"/>
          <w:b/>
          <w:i w:val="0"/>
          <w:color w:val="4A777A"/>
          <w:sz w:val="22"/>
          <w:rFonts w:ascii="Microsoft YaHei" w:hAnsi="Microsoft YaHei" w:eastAsia="Microsoft YaHei"/>
        </w:rPr>
        <w:t>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行业</w:t>
            </w:r>
          </w:p>
        </w:tc>
        <w:tc>
          <w:tcPr>
            <w:tcW w:type="dxa" w:w="108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投资评级</w:t>
            </w:r>
          </w:p>
        </w:tc>
        <w:tc>
          <w:tcPr>
            <w:tcW w:type="dxa" w:w="108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综合评分</w:t>
            </w:r>
          </w:p>
        </w:tc>
        <w:tc>
          <w:tcPr>
            <w:tcW w:type="dxa" w:w="108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估值评分</w:t>
            </w:r>
          </w:p>
        </w:tc>
        <w:tc>
          <w:tcPr>
            <w:tcW w:type="dxa" w:w="108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动量评分</w:t>
            </w:r>
          </w:p>
        </w:tc>
        <w:tc>
          <w:tcPr>
            <w:tcW w:type="dxa" w:w="108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风险等级</w:t>
            </w:r>
          </w:p>
        </w:tc>
        <w:tc>
          <w:tcPr>
            <w:tcW w:type="dxa" w:w="108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估值状态</w:t>
            </w:r>
          </w:p>
        </w:tc>
        <w:tc>
          <w:tcPr>
            <w:tcW w:type="dxa" w:w="108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估值依据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纺织服饰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color w:val="4A777A"/>
                <w:sz w:val="16"/>
              </w:rPr>
              <w:t>标配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1.8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低估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PE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传媒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color w:val="4A777A"/>
                <w:sz w:val="16"/>
              </w:rPr>
              <w:t>标配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1.8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中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低估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PE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煤炭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color w:val="4A777A"/>
                <w:sz w:val="16"/>
              </w:rPr>
              <w:t>标配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1.6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偏高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PE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电力设备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color w:val="4A777A"/>
                <w:sz w:val="16"/>
              </w:rPr>
              <w:t>标配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1.6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高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合理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PB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综合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color w:val="4A777A"/>
                <w:sz w:val="16"/>
              </w:rPr>
              <w:t>标配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1.6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高估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PE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商贸零售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color w:val="4A777A"/>
                <w:sz w:val="16"/>
              </w:rPr>
              <w:t>标配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1.6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深度低估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PB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有色金属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color w:val="4A777A"/>
                <w:sz w:val="16"/>
              </w:rPr>
              <w:t>标配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1.6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高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合理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PB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环保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color w:val="4A777A"/>
                <w:sz w:val="16"/>
              </w:rPr>
              <w:t>标配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1.6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低估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PE</w:t>
            </w:r>
          </w:p>
        </w:tc>
      </w:tr>
    </w:tbl>
    <w:p>
      <w:pPr>
        <w:spacing w:before="320" w:after="160"/>
        <w:pBdr>
          <w:bottom w:val="single" w:sz="8" w:space="4" w:color="1B365D"/>
        </w:pBdr>
      </w:pPr>
      <w:r>
        <w:rPr>
          <w:rFonts w:ascii="Microsoft YaHei" w:hAnsi="Microsoft YaHei"/>
          <w:b/>
          <w:i w:val="0"/>
          <w:color w:val="1B365D"/>
          <w:sz w:val="28"/>
          <w:rFonts w:ascii="Microsoft YaHei" w:hAnsi="Microsoft YaHei" w:eastAsia="Microsoft YaHei"/>
        </w:rPr>
        <w:t>一、谨慎观望板块</w:t>
      </w:r>
    </w:p>
    <w:p>
      <w:pPr>
        <w:spacing w:before="240" w:after="80"/>
      </w:pPr>
      <w:r>
        <w:rPr>
          <w:rFonts w:ascii="Microsoft YaHei" w:hAnsi="Microsoft YaHei"/>
          <w:b/>
          <w:i w:val="0"/>
          <w:color w:val="4A777A"/>
          <w:sz w:val="22"/>
          <w:rFonts w:ascii="Microsoft YaHei" w:hAnsi="Microsoft YaHei" w:eastAsia="Microsoft YaHei"/>
        </w:rPr>
        <w:t>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行业</w:t>
            </w:r>
          </w:p>
        </w:tc>
        <w:tc>
          <w:tcPr>
            <w:tcW w:type="dxa" w:w="108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投资评级</w:t>
            </w:r>
          </w:p>
        </w:tc>
        <w:tc>
          <w:tcPr>
            <w:tcW w:type="dxa" w:w="108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综合评分</w:t>
            </w:r>
          </w:p>
        </w:tc>
        <w:tc>
          <w:tcPr>
            <w:tcW w:type="dxa" w:w="108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估值评分</w:t>
            </w:r>
          </w:p>
        </w:tc>
        <w:tc>
          <w:tcPr>
            <w:tcW w:type="dxa" w:w="108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动量评分</w:t>
            </w:r>
          </w:p>
        </w:tc>
        <w:tc>
          <w:tcPr>
            <w:tcW w:type="dxa" w:w="108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风险等级</w:t>
            </w:r>
          </w:p>
        </w:tc>
        <w:tc>
          <w:tcPr>
            <w:tcW w:type="dxa" w:w="108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估值状态</w:t>
            </w:r>
          </w:p>
        </w:tc>
        <w:tc>
          <w:tcPr>
            <w:tcW w:type="dxa" w:w="108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估值依据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基础化工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1.4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中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合理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PE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机械设备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1.4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中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偏高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PE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美容护理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1.4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中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深度低估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PE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国防军工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1.4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中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低估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PE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医药生物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1.4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中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低估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PE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钢铁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1.2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偏高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PE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电子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1.2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高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高估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PE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农林牧渔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1.2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合理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PE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通信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1.2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高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高估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PE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社会服务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1.2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高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低估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PE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轻工制造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1.2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低估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PE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食品饮料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1.2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高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深度低估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PB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汽车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1.2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合理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PE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房地产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1.0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偏高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PE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建筑材料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1.0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中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高估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PE</w:t>
            </w:r>
          </w:p>
        </w:tc>
      </w:tr>
    </w:tbl>
    <w:p>
      <w:pPr>
        <w:spacing w:before="320" w:after="160"/>
        <w:pBdr>
          <w:bottom w:val="single" w:sz="8" w:space="4" w:color="1B365D"/>
        </w:pBdr>
      </w:pPr>
      <w:r>
        <w:rPr>
          <w:rFonts w:ascii="Microsoft YaHei" w:hAnsi="Microsoft YaHei"/>
          <w:b/>
          <w:i w:val="0"/>
          <w:color w:val="1B365D"/>
          <w:sz w:val="28"/>
          <w:rFonts w:ascii="Microsoft YaHei" w:hAnsi="Microsoft YaHei" w:eastAsia="Microsoft YaHei"/>
        </w:rPr>
        <w:t>一、规避板块</w:t>
      </w:r>
    </w:p>
    <w:p>
      <w:pPr>
        <w:spacing w:before="240" w:after="80"/>
      </w:pPr>
      <w:r>
        <w:rPr>
          <w:rFonts w:ascii="Microsoft YaHei" w:hAnsi="Microsoft YaHei"/>
          <w:b/>
          <w:i w:val="0"/>
          <w:color w:val="4A777A"/>
          <w:sz w:val="22"/>
          <w:rFonts w:ascii="Microsoft YaHei" w:hAnsi="Microsoft YaHei" w:eastAsia="Microsoft YaHei"/>
        </w:rPr>
        <w:t>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行业</w:t>
            </w:r>
          </w:p>
        </w:tc>
        <w:tc>
          <w:tcPr>
            <w:tcW w:type="dxa" w:w="108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投资评级</w:t>
            </w:r>
          </w:p>
        </w:tc>
        <w:tc>
          <w:tcPr>
            <w:tcW w:type="dxa" w:w="108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综合评分</w:t>
            </w:r>
          </w:p>
        </w:tc>
        <w:tc>
          <w:tcPr>
            <w:tcW w:type="dxa" w:w="108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估值评分</w:t>
            </w:r>
          </w:p>
        </w:tc>
        <w:tc>
          <w:tcPr>
            <w:tcW w:type="dxa" w:w="108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动量评分</w:t>
            </w:r>
          </w:p>
        </w:tc>
        <w:tc>
          <w:tcPr>
            <w:tcW w:type="dxa" w:w="108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风险等级</w:t>
            </w:r>
          </w:p>
        </w:tc>
        <w:tc>
          <w:tcPr>
            <w:tcW w:type="dxa" w:w="108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估值状态</w:t>
            </w:r>
          </w:p>
        </w:tc>
        <w:tc>
          <w:tcPr>
            <w:tcW w:type="dxa" w:w="108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估值依据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计算机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color w:val="C0392B"/>
                <w:sz w:val="16"/>
              </w:rPr>
              <w:t>规避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0.6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中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偏高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PE</w:t>
            </w:r>
          </w:p>
        </w:tc>
      </w:tr>
    </w:tbl>
    <w:p>
      <w:pPr>
        <w:spacing w:before="320" w:after="160"/>
        <w:pBdr>
          <w:bottom w:val="single" w:sz="8" w:space="4" w:color="1B365D"/>
        </w:pBdr>
      </w:pPr>
      <w:r>
        <w:rPr>
          <w:rFonts w:ascii="Microsoft YaHei" w:hAnsi="Microsoft YaHei"/>
          <w:b/>
          <w:i w:val="0"/>
          <w:color w:val="1B365D"/>
          <w:sz w:val="28"/>
          <w:rFonts w:ascii="Microsoft YaHei" w:hAnsi="Microsoft YaHei" w:eastAsia="Microsoft YaHei"/>
        </w:rPr>
        <w:t>一、分维度分析</w:t>
      </w:r>
    </w:p>
    <w:p>
      <w:pPr>
        <w:spacing w:before="240" w:after="80"/>
      </w:pPr>
      <w:r>
        <w:rPr>
          <w:rFonts w:ascii="Microsoft YaHei" w:hAnsi="Microsoft YaHei"/>
          <w:b/>
          <w:i w:val="0"/>
          <w:color w:val="4A777A"/>
          <w:sz w:val="22"/>
          <w:rFonts w:ascii="Microsoft YaHei" w:hAnsi="Microsoft YaHei" w:eastAsia="Microsoft YaHei"/>
        </w:rPr>
        <w:t>▎估值由低到高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行业</w:t>
            </w:r>
          </w:p>
        </w:tc>
        <w:tc>
          <w:tcPr>
            <w:tcW w:type="dxa" w:w="1728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估值状态</w:t>
            </w:r>
          </w:p>
        </w:tc>
        <w:tc>
          <w:tcPr>
            <w:tcW w:type="dxa" w:w="1728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估值百分位</w:t>
            </w:r>
          </w:p>
        </w:tc>
        <w:tc>
          <w:tcPr>
            <w:tcW w:type="dxa" w:w="1728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最新值</w:t>
            </w:r>
          </w:p>
        </w:tc>
        <w:tc>
          <w:tcPr>
            <w:tcW w:type="dxa" w:w="1728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估值依据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建筑装饰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深度低估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1.0%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0.67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PB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交通运输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深度低估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1.6%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1.17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PB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食品饮料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深度低估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1.7%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3.16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PB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银行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深度低估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10.4%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PB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家用电器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深度低估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10.4%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2.19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PB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美容护理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深度低估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16.4%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30.04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商贸零售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深度低估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20.0%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1.56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PB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社会服务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低估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21.5%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35.78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纺织服饰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低估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22.3%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21.97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传媒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低估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24.6%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33.29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医药生物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低估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30.4%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32.83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国防军工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低估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35.8%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56.43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环保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低估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37.3%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23.66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轻工制造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低估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38.8%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28.56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电力设备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合理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41.6%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2.81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PB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农林牧渔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合理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47.6%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38.5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公用事业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合理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48.0%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21.57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有色金属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合理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50.7%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2.98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PB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基础化工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合理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58.0%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27.43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汽车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合理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58.4%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23.79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石油石化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偏高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60.8%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19.42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钢铁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偏高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64.7%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28.33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房地产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偏高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66.3%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18.8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计算机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偏高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73.2%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66.69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机械设备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偏高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75.9%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40.5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煤炭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偏高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76.2%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20.92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建筑材料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高估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82.9%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33.5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非银金融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深度低估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9.6%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1.15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PB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通信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高估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91.3%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60.15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综合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高估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93.0%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83.6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电子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高估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94.1%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80.32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PE</w:t>
            </w:r>
          </w:p>
        </w:tc>
      </w:tr>
    </w:tbl>
    <w:p>
      <w:pPr>
        <w:spacing w:before="240" w:after="80"/>
      </w:pPr>
      <w:r>
        <w:rPr>
          <w:rFonts w:ascii="Microsoft YaHei" w:hAnsi="Microsoft YaHei"/>
          <w:b/>
          <w:i w:val="0"/>
          <w:color w:val="4A777A"/>
          <w:sz w:val="22"/>
          <w:rFonts w:ascii="Microsoft YaHei" w:hAnsi="Microsoft YaHei" w:eastAsia="Microsoft YaHei"/>
        </w:rPr>
        <w:t>▎动量排名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行业</w:t>
            </w:r>
          </w:p>
        </w:tc>
        <w:tc>
          <w:tcPr>
            <w:tcW w:type="dxa" w:w="1728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动量状态</w:t>
            </w:r>
          </w:p>
        </w:tc>
        <w:tc>
          <w:tcPr>
            <w:tcW w:type="dxa" w:w="1728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2026年收益(%)</w:t>
            </w:r>
          </w:p>
        </w:tc>
        <w:tc>
          <w:tcPr>
            <w:tcW w:type="dxa" w:w="1728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近3年累计收益(%)</w:t>
            </w:r>
          </w:p>
        </w:tc>
        <w:tc>
          <w:tcPr>
            <w:tcW w:type="dxa" w:w="1728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最新季度收益(%)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通信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强势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34.31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234.43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-18.7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电子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强势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29.55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139.44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-26.43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有色金属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强势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-7.31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87.52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-4.85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煤炭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强势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17.51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15.22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13.65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银行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强势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-4.73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41.59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7.54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石油石化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强势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2.95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23.81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10.81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综合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强势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-2.25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44.8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-14.68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机械设备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强势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-3.07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48.05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-19.38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公用事业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偏强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4.92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18.07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2.36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家用电器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偏强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-9.01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25.67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0.33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非银金融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偏强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-14.5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30.49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-0.54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电力设备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偏强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-10.5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36.9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-13.57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基础化工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偏强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-6.14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21.29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-14.77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建筑材料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偏强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4.04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21.47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-26.94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交通运输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偏强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-9.99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5.26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3.04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环保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偏弱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-8.45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9.96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-9.67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汽车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偏弱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-21.53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18.27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-5.12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钢铁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偏弱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-17.68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5.59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-0.42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建筑装饰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偏弱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-11.71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3.01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-8.36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医药生物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偏弱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-8.76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-10.08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1.64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计算机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偏弱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-18.74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6.58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-6.02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国防军工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偏弱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-22.15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16.6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-15.26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传媒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偏弱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-26.07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-1.27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-6.19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农林牧渔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弱势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-20.18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-15.78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1.82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纺织服饰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弱势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-17.02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-11.92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-8.01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食品饮料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弱势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-16.07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-27.29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5.25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轻工制造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弱势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-21.17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-10.51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-9.44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房地产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弱势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-19.53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-16.82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-4.81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商贸零售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弱势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-29.07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-13.95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-2.88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美容护理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弱势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-22.85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-29.24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1.86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社会服务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弱势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-24.54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-21.24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-10.54</w:t>
            </w:r>
          </w:p>
        </w:tc>
      </w:tr>
    </w:tbl>
    <w:p>
      <w:pPr>
        <w:spacing w:before="240" w:after="80"/>
      </w:pPr>
      <w:r>
        <w:rPr>
          <w:rFonts w:ascii="Microsoft YaHei" w:hAnsi="Microsoft YaHei"/>
          <w:b/>
          <w:i w:val="0"/>
          <w:color w:val="4A777A"/>
          <w:sz w:val="22"/>
          <w:rFonts w:ascii="Microsoft YaHei" w:hAnsi="Microsoft YaHei" w:eastAsia="Microsoft YaHei"/>
        </w:rPr>
        <w:t>▎风险排名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行业</w:t>
            </w:r>
          </w:p>
        </w:tc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风险等级</w:t>
            </w:r>
          </w:p>
        </w:tc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年化波动率(%)</w:t>
            </w:r>
          </w:p>
        </w:tc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最大年跌幅(%)</w:t>
            </w:r>
          </w:p>
        </w:tc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年胜率(%)</w:t>
            </w:r>
          </w:p>
        </w:tc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收益风险比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建筑装饰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13.15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-30.34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36.36363636363637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-1.26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石油石化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13.51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-28.02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72.72727272727273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0.33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交通运输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13.97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-30.29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45.45454545454545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-1.28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纺织服饰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14.28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-34.91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27.27272727272727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-1.88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房地产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15.24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-30.64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27.27272727272727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-2.21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公用事业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15.61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-30.42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54.54545454545454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-0.76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银行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15.87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-15.76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36.36363636363637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1.66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商贸零售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16.4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-33.08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27.27272727272727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-2.11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煤炭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17.19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-34.9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81.81818181818183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1.92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环保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18.39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-46.17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36.36363636363637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-1.21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轻工制造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18.72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-37.38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36.36363636363637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-1.37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钢铁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20.5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-31.73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36.36363636363637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-0.66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农林牧渔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21.06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-23.08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27.27272727272727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-1.67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综合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22.63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-39.66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54.54545454545454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-0.13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汽车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23.12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-34.66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54.54545454545454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0.48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计算机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中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23.14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-26.48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45.45454545454545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-1.35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传媒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中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23.27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-39.94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45.45454545454545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-1.66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非银金融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中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23.34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-26.99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45.45454545454545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0.04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机械设备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中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23.42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-36.15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54.54545454545454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0.32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美容护理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中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23.84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-31.52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27.27272727272727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-1.29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基础化工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中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24.04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-33.41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45.45454545454545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0.57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医药生物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中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24.46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-28.0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36.36363636363637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-0.24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建筑材料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中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24.81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-33.11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63.63636363636363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0.03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家用电器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中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28.15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-32.7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63.63636363636363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1.95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国防军工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中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28.54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-31.35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45.45454545454545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-0.65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通信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高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33.28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-31.47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54.54545454545454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3.74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社会服务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高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34.41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-24.54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27.27272727272727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-0.18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电子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高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34.64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-42.59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72.72727272727273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3.72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有色金属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高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36.21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-41.55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63.63636363636363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2.56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电力设备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高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37.94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-35.42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45.45454545454545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0.96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食品饮料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高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39.66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-22.22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36.36363636363637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5.33</w:t>
            </w:r>
          </w:p>
        </w:tc>
      </w:tr>
    </w:tbl>
    <w:p>
      <w:pPr>
        <w:spacing w:before="320" w:after="160"/>
        <w:pBdr>
          <w:bottom w:val="single" w:sz="8" w:space="4" w:color="1B365D"/>
        </w:pBdr>
      </w:pPr>
      <w:r>
        <w:rPr>
          <w:rFonts w:ascii="Microsoft YaHei" w:hAnsi="Microsoft YaHei"/>
          <w:b/>
          <w:i w:val="0"/>
          <w:color w:val="1B365D"/>
          <w:sz w:val="28"/>
          <w:rFonts w:ascii="Microsoft YaHei" w:hAnsi="Microsoft YaHei" w:eastAsia="Microsoft YaHei"/>
        </w:rPr>
        <w:t>一、估值依据说明</w:t>
      </w:r>
    </w:p>
    <w:p>
      <w:pPr>
        <w:spacing w:after="80"/>
        <w:ind w:firstLine="397"/>
      </w:pPr>
      <w:r>
        <w:rPr>
          <w:rFonts w:ascii="Microsoft YaHei" w:hAnsi="Microsoft YaHei"/>
          <w:b w:val="0"/>
          <w:i w:val="0"/>
          <w:color w:val="333333"/>
          <w:sz w:val="21"/>
          <w:rFonts w:ascii="Microsoft YaHei" w:hAnsi="Microsoft YaHei" w:eastAsia="Microsoft YaHei"/>
        </w:rPr>
        <w:t>银行/非银金融：高杠杆行业，净资产价值为核心定价基础，PB比PE更稳定。</w:t>
      </w:r>
    </w:p>
    <w:p>
      <w:pPr>
        <w:spacing w:after="80"/>
        <w:ind w:firstLine="397"/>
      </w:pPr>
      <w:r>
        <w:rPr>
          <w:rFonts w:ascii="Microsoft YaHei" w:hAnsi="Microsoft YaHei"/>
          <w:b w:val="0"/>
          <w:i w:val="0"/>
          <w:color w:val="333333"/>
          <w:sz w:val="21"/>
          <w:rFonts w:ascii="Microsoft YaHei" w:hAnsi="Microsoft YaHei" w:eastAsia="Microsoft YaHei"/>
        </w:rPr>
        <w:t>电力设备/交通运输/建筑装饰：典型重资产行业，资产价值驱动，PB参考意义更大。</w:t>
      </w:r>
    </w:p>
    <w:p>
      <w:pPr>
        <w:spacing w:after="80"/>
        <w:ind w:firstLine="397"/>
      </w:pPr>
      <w:r>
        <w:rPr>
          <w:rFonts w:ascii="Microsoft YaHei" w:hAnsi="Microsoft YaHei"/>
          <w:b w:val="0"/>
          <w:i w:val="0"/>
          <w:color w:val="333333"/>
          <w:sz w:val="21"/>
          <w:rFonts w:ascii="Microsoft YaHei" w:hAnsi="Microsoft YaHei" w:eastAsia="Microsoft YaHei"/>
        </w:rPr>
        <w:t>有色金属：强周期行业，盈利波动剧烈，PE易失真，PB更可靠。</w:t>
      </w:r>
    </w:p>
    <w:p>
      <w:pPr>
        <w:spacing w:after="80"/>
        <w:ind w:firstLine="397"/>
      </w:pPr>
      <w:r>
        <w:rPr>
          <w:rFonts w:ascii="Microsoft YaHei" w:hAnsi="Microsoft YaHei"/>
          <w:b w:val="0"/>
          <w:i w:val="0"/>
          <w:color w:val="333333"/>
          <w:sz w:val="21"/>
          <w:rFonts w:ascii="Microsoft YaHei" w:hAnsi="Microsoft YaHei" w:eastAsia="Microsoft YaHei"/>
        </w:rPr>
        <w:t>食品饮料/家用电器：估值已进入成熟期，PB作为辅助参考更全面。</w:t>
      </w:r>
    </w:p>
    <w:p>
      <w:pPr>
        <w:spacing w:after="80"/>
        <w:ind w:firstLine="397"/>
      </w:pPr>
      <w:r>
        <w:rPr>
          <w:rFonts w:ascii="Microsoft YaHei" w:hAnsi="Microsoft YaHei"/>
          <w:b w:val="0"/>
          <w:i w:val="0"/>
          <w:color w:val="333333"/>
          <w:sz w:val="21"/>
          <w:rFonts w:ascii="Microsoft YaHei" w:hAnsi="Microsoft YaHei" w:eastAsia="Microsoft YaHei"/>
        </w:rPr>
        <w:t>商贸零售：行业面临转型，盈利波动大，PB更能反映资产底牌。</w:t>
      </w:r>
    </w:p>
    <w:p>
      <w:pPr>
        <w:spacing w:before="320" w:after="160"/>
        <w:pBdr>
          <w:bottom w:val="single" w:sz="8" w:space="4" w:color="1B365D"/>
        </w:pBdr>
      </w:pPr>
      <w:r>
        <w:rPr>
          <w:rFonts w:ascii="Microsoft YaHei" w:hAnsi="Microsoft YaHei"/>
          <w:b/>
          <w:i w:val="0"/>
          <w:color w:val="1B365D"/>
          <w:sz w:val="28"/>
          <w:rFonts w:ascii="Microsoft YaHei" w:hAnsi="Microsoft YaHei" w:eastAsia="Microsoft YaHei"/>
        </w:rPr>
        <w:t>一、投资策略总结</w:t>
      </w:r>
    </w:p>
    <w:p>
      <w:pPr>
        <w:spacing w:after="80"/>
        <w:ind w:firstLine="397"/>
      </w:pPr>
      <w:r>
        <w:rPr>
          <w:rFonts w:ascii="Microsoft YaHei" w:hAnsi="Microsoft YaHei"/>
          <w:b/>
          <w:i w:val="0"/>
          <w:color w:val="1B365D"/>
          <w:sz w:val="21"/>
          <w:rFonts w:ascii="Microsoft YaHei" w:hAnsi="Microsoft YaHei" w:eastAsia="Microsoft YaHei"/>
        </w:rPr>
        <w:t>积极配置（超配）：</w:t>
      </w:r>
      <w:r>
        <w:rPr>
          <w:rFonts w:ascii="Microsoft YaHei" w:hAnsi="Microsoft YaHei"/>
          <w:b w:val="0"/>
          <w:i w:val="0"/>
          <w:color w:val="333333"/>
          <w:sz w:val="21"/>
          <w:rFonts w:ascii="Microsoft YaHei" w:hAnsi="Microsoft YaHei" w:eastAsia="Microsoft YaHei"/>
        </w:rPr>
        <w:t>银行、交通运输、家用电器、石油石化、非银金融、建筑装饰、公用事业。</w:t>
      </w:r>
    </w:p>
    <w:p>
      <w:pPr>
        <w:spacing w:after="80"/>
        <w:ind w:firstLine="397"/>
      </w:pPr>
      <w:r>
        <w:rPr>
          <w:rFonts w:ascii="Microsoft YaHei" w:hAnsi="Microsoft YaHei"/>
          <w:b/>
          <w:i w:val="0"/>
          <w:color w:val="1B365D"/>
          <w:sz w:val="21"/>
          <w:rFonts w:ascii="Microsoft YaHei" w:hAnsi="Microsoft YaHei" w:eastAsia="Microsoft YaHei"/>
        </w:rPr>
        <w:t>标配：</w:t>
      </w:r>
      <w:r>
        <w:rPr>
          <w:rFonts w:ascii="Microsoft YaHei" w:hAnsi="Microsoft YaHei"/>
          <w:b w:val="0"/>
          <w:i w:val="0"/>
          <w:color w:val="333333"/>
          <w:sz w:val="21"/>
          <w:rFonts w:ascii="Microsoft YaHei" w:hAnsi="Microsoft YaHei" w:eastAsia="Microsoft YaHei"/>
        </w:rPr>
        <w:t>纺织服饰、传媒、煤炭、电力设备、综合、商贸零售、有色金属、环保。</w:t>
      </w:r>
    </w:p>
    <w:p>
      <w:pPr>
        <w:spacing w:after="80"/>
        <w:ind w:firstLine="397"/>
      </w:pPr>
      <w:r>
        <w:rPr>
          <w:rFonts w:ascii="Microsoft YaHei" w:hAnsi="Microsoft YaHei"/>
          <w:b/>
          <w:i w:val="0"/>
          <w:color w:val="1B365D"/>
          <w:sz w:val="21"/>
          <w:rFonts w:ascii="Microsoft YaHei" w:hAnsi="Microsoft YaHei" w:eastAsia="Microsoft YaHei"/>
        </w:rPr>
        <w:t>谨慎/规避（低配）：</w:t>
      </w:r>
      <w:r>
        <w:rPr>
          <w:rFonts w:ascii="Microsoft YaHei" w:hAnsi="Microsoft YaHei"/>
          <w:b w:val="0"/>
          <w:i w:val="0"/>
          <w:color w:val="333333"/>
          <w:sz w:val="21"/>
          <w:rFonts w:ascii="Microsoft YaHei" w:hAnsi="Microsoft YaHei" w:eastAsia="Microsoft YaHei"/>
        </w:rPr>
        <w:t>基础化工、机械设备、美容护理、国防军工、医药生物、钢铁、电子、农林牧渔、通信、社会服务、轻工制造、食品饮料、汽车、房地产、建筑材料、计算机。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