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/>
          <w:b/>
          <w:i w:val="0"/>
          <w:color w:val="1B365D"/>
          <w:sz w:val="44"/>
          <w:rFonts w:ascii="Microsoft YaHei" w:hAnsi="Microsoft YaHei" w:eastAsia="Microsoft YaHei"/>
        </w:rPr>
        <w:t>申万一级行业综合投资价值与风险评估报告（PB版）</w:t>
      </w:r>
    </w:p>
    <w:p>
      <w:pPr>
        <w:jc w:val="center"/>
      </w:pPr>
      <w:r>
        <w:rPr>
          <w:rFonts w:ascii="Microsoft YaHei" w:hAnsi="Microsoft YaHei"/>
          <w:b w:val="0"/>
          <w:i w:val="0"/>
          <w:color w:val="4A777A"/>
          <w:sz w:val="22"/>
          <w:rFonts w:ascii="Microsoft YaHei" w:hAnsi="Microsoft YaHei" w:eastAsia="Microsoft YaHei"/>
        </w:rPr>
        <w:t>基于最新PB数据（截至2026-07-22）+ 2016-2026收益率</w:t>
      </w:r>
    </w:p>
    <w:p/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一、分析框架说明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估值维度仅使用PB（市净率）历史百分位数。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动量维度基于2025-2026年收益、近3年累计收益。风险基于年化波动率。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综合评分=估值×40%+动量×40%+(3-风险)×20%。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一、综合排名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▎全行业排名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一、积极配置板块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一、标配板块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一、谨慎观望板块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一、分维度分析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▎PB估值由低到高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0.74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0.95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3.66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PB偏高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6.37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6.73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▎动量排名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2026年收益(%)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最新季度收益(%)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234.43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-18.7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139.44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-7.31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13.65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-3.07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-19.38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-0.54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-13.57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-14.77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-26.94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-9.67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-5.12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-17.68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-0.42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-11.71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-18.74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-22.15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-15.26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-20.18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-15.78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-17.02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-11.92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-16.07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-27.29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-9.44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-19.53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-16.82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-29.07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-13.95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-2.88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-22.85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-29.24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-24.54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-10.54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▎风险排名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年化波动率(%)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最大年跌幅(%)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年胜率(%)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收益风险比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-28.02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72.72727272727273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-2.21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-0.76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-15.76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-2.11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17.19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81.81818181818183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-46.17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-37.38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21.06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-23.08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-1.67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-39.66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-26.48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-1.35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-39.94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-26.99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-36.15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0.32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0.57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-28.0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-32.7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-0.65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33.28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3.74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-24.54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34.64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-42.59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72.72727272727273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3.72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-41.55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37.94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-35.42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39.66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-22.22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5.33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一、四象限分析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▎估值偏低+动量强势（超配）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▎10个行业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▎估值偏高+动量强势（趋势跟踪）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▎15个行业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234.43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▎估值偏低+动量弱势（左侧观察）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▎26个行业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-16.82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-13.95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-15.78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-29.24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-27.29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-21.24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▎估值偏高+动量弱势（规避）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▎31个行业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-16.82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-13.95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-15.78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-29.24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-27.29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234.43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一、投资策略总结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积极配置（超配）：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石油石化、银行、交通运输、综合、非银金融、建筑装饰、家用电器、基础化工、建筑材料、环保、公用事业、钢铁、煤炭。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标配：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纺织服饰、传媒、医药生物、房地产、电力设备、有色金属、轻工制造、商贸零售、汽车、农林牧渔。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谨慎/规避（低配）：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美容护理、机械设备、国防军工、计算机、食品饮料、电子、社会服务、通信。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