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YaHei" w:hAnsi="Microsoft YaHei"/>
          <w:b/>
          <w:i w:val="0"/>
          <w:color w:val="1B365D"/>
          <w:sz w:val="44"/>
          <w:rFonts w:ascii="Microsoft YaHei" w:hAnsi="Microsoft YaHei" w:eastAsia="Microsoft YaHei"/>
        </w:rPr>
        <w:t>申万一级行业季度收益率投资价值与风险评估报告</w:t>
      </w:r>
    </w:p>
    <w:p>
      <w:pPr>
        <w:jc w:val="center"/>
      </w:pPr>
      <w:r>
        <w:rPr>
          <w:rFonts w:ascii="Microsoft YaHei" w:hAnsi="Microsoft YaHei"/>
          <w:b w:val="0"/>
          <w:i w:val="0"/>
          <w:color w:val="4A777A"/>
          <w:sz w:val="22"/>
          <w:rFonts w:ascii="Microsoft YaHei" w:hAnsi="Microsoft YaHei" w:eastAsia="Microsoft YaHei"/>
        </w:rPr>
        <w:t>基于2022Q1-2026Q2季度收益率热力图分析</w:t>
      </w:r>
    </w:p>
    <w:p/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一、行业综合排名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以下基于2022Q1至2026Q2共18个季度数据，对31个申万一级行业进行收益率统计分析。排名按累计收益率降序排列。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▎全部31个行业排名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平均季收益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175.3%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7.05%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19.9%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30.1%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3.85%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25.6%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17.7%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1.72%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1.39%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煤炭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10.6%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0.94%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机械设备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1.06%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银行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0.60%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石油石化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0.14%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家用电器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0.11%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汽车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-10.1%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公用事业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-16.8%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-0.82%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-20.0%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-0.10%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非银金融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-20.2%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-0.51%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交通运输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-23.3%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-1.22%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建筑装饰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-24.9%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-1.30%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基础化工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-27.1%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-1.32%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计算机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-27.5%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-0.71%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国防军工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-29.0%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-1.36%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纺织服饰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-29.2%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-1.58%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电力设备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-29.2%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-0.83%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环保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-31.2%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-1.72%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建筑材料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-36.3%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-1.44%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轻工制造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-36.6%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-2.01%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钢铁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-38.5%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-2.11%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社会服务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-40.8%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-2.06%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医药生物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-2.55%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-46.9%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-2.48%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食品饮料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-2.72%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农林牧渔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房地产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-51.5%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-3.22%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美容护理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-60.6%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-4.16%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一、行业投资价值分类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▎🟢 第一梯队：进攻型（高收益高波动）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▎Top 6行业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平均季收益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175.3%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7.05%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19.9%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30.1%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3.85%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25.6%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17.7%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1.72%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1.39%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煤炭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10.6%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0.94%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机械设备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1.06%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</w:tbl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通信以+236.3%累计收益率绝对领跑，驱动来自AI算力基础设施、光通信、5G/6G产业链持续爆发。银行（+41.7%）和煤炭（+28.1%）代表了高股息+低估值修复逻辑。有色金属（+18.7%）受益大宗商品牛市，机械设备（+23.9%）受益制造业升级和出海。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▎🟡 第二梯队：稳健型（低波动绝对收益）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▎第7-15名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平均季收益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银行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0.60%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石油石化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0.14%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家用电器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0.11%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汽车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-10.1%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公用事业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-16.8%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-0.82%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-20.0%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-0.10%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非银金融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-20.2%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-0.51%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交通运输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-23.3%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-1.22%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建筑装饰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-24.9%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-1.30%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33%</w:t>
            </w:r>
          </w:p>
        </w:tc>
      </w:tr>
    </w:tbl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公用事业波动率仅6.8%全市场最低，具备类债券属性。石油石化、家用电器累计收益率接近零但胜率较高（50%+），适合稳健底仓。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▎🔴 第三梯队：困境型（大幅亏损等待拐点）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▎排名靠后行业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平均季收益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钢铁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-38.5%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-2.11%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社会服务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-40.8%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-2.06%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医药生物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-2.55%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-46.9%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-2.48%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食品饮料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-2.72%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农林牧渔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房地产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-51.5%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-3.22%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17%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美容护理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-60.6%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-4.16%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</w:tbl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房地产胜率仅17%（18季中仅3季正收益），行业逻辑未理顺。医药生物(-46.3%)、食品饮料(-46.6%)、美容护理(-59.3%)受消费降级与估值回归双重压制。</w:t>
      </w:r>
    </w:p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一、风险评估矩阵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▎高波动行业（季度波动率&gt;12%）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▎高波动行业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平均季收益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30.1%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3.85%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25.6%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175.3%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7.05%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19.9%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电力设备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-29.2%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-0.83%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-20.0%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-0.10%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计算机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-27.5%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-0.71%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建筑材料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-36.3%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-1.44%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17.7%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1.72%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-46.9%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-2.48%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非银金融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-20.2%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-0.51%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1.39%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社会服务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-40.8%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-2.06%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▎高回撤行业（最大单季跌幅&gt;20%）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▎高回撤行业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平均季收益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30.1%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3.85%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25.6%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17.7%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1.72%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建筑材料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-36.3%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-1.44%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175.3%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7.05%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19.9%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-20.0%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-0.10%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国防军工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-29.0%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-1.36%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石油石化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0.14%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汽车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-10.1%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家用电器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0.11%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-46.9%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-2.48%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美容护理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-60.6%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-4.16%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农林牧渔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食品饮料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-2.72%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社会服务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-40.8%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-2.06%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▎收益风险比排名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▎性价比排名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排名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累计收益率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平均季收益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波动率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胜率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175.3%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7.05%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19.9%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30.1%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3.85%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25.6%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15.3%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1.39%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17.7%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1.72%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煤炭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10.6%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0.94%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61%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银行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0.60%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机械设备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7.8%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27AE60"/>
                <w:sz w:val="17"/>
              </w:rPr>
              <w:t>1.06%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石油石化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0.14%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家用电器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0.11%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汽车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-10.1%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0.07%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-20.0%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-0.10%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非银金融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-20.2%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-0.51%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公用事业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-16.8%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-0.82%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国防军工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-29.0%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-1.36%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建筑材料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-36.3%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-1.44%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计算机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-27.5%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-0.71%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14.7%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交通运输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-23.3%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-1.22%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电力设备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-29.2%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-0.83%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15.2%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基础化工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-27.1%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-1.32%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56%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钢铁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-38.5%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-2.11%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纺织服饰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-29.2%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-1.58%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建筑装饰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-24.9%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-1.30%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33%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社会服务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-40.8%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-2.06%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轻工制造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-36.6%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-2.01%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8.5%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-46.9%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-2.48%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12.9%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食品饮料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-2.72%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农林牧渔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-47.7%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-3.07%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7.5%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环保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-31.2%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-1.72%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6.9%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医药生物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-43.9%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-2.55%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9.7%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美容护理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-60.6%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-4.16%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11.4%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房地产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-51.5%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C0392B"/>
                <w:sz w:val="17"/>
              </w:rPr>
              <w:t>-3.22%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10.8%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7"/>
              </w:rPr>
              <w:t>17%</w:t>
            </w:r>
          </w:p>
        </w:tc>
      </w:tr>
    </w:tbl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通信以20.2的收益风险比遥遥领先，每承担1%回撤可获得20.2%累计收益。</w:t>
      </w:r>
    </w:p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一、投资策略建议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进攻型配置：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通信逢回调布局，有色金属和煤炭可作为抗通胀卫星配置。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核心底仓配置：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公用事业作为债券替代，家用电器胜率56%，石油石化高股息。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困境反转观察：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食品饮料和医药已连续下跌3年+估值低位，但需消费数据验证拐点。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需要规避：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美容护理未见止跌迹象，房地产行业逻辑未理顺，建议规避。</w:t>
      </w:r>
    </w:p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一、季度收益率热力图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9768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申万一级行业季度收益率热力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7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i/>
          <w:color w:val="4A777A"/>
          <w:sz w:val="18"/>
          <w:rFonts w:ascii="Microsoft YaHei" w:hAnsi="Microsoft YaHei" w:eastAsia="Microsoft YaHei"/>
        </w:rPr>
        <w:t>图：申万一级行业季度收益率热力图 (2022Q1-2026Q2)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