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YaHei" w:hAnsi="Microsoft YaHei"/>
          <w:b/>
          <w:i w:val="0"/>
          <w:color w:val="1B365D"/>
          <w:sz w:val="44"/>
          <w:rFonts w:ascii="Microsoft YaHei" w:hAnsi="Microsoft YaHei" w:eastAsia="Microsoft YaHei"/>
        </w:rPr>
        <w:t>申万一级行业综合投资价值与风险评估报告</w:t>
      </w:r>
    </w:p>
    <w:p>
      <w:pPr>
        <w:jc w:val="center"/>
      </w:pPr>
      <w:r>
        <w:rPr>
          <w:rFonts w:ascii="Microsoft YaHei" w:hAnsi="Microsoft YaHei"/>
          <w:b w:val="0"/>
          <w:i w:val="0"/>
          <w:color w:val="4A777A"/>
          <w:sz w:val="22"/>
          <w:rFonts w:ascii="Microsoft YaHei" w:hAnsi="Microsoft YaHei" w:eastAsia="Microsoft YaHei"/>
        </w:rPr>
        <w:t>基于最新PE/PB数据（截至2026-07-22）+ 2016-2026收益率</w:t>
      </w:r>
    </w:p>
    <w:p/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一、分析框架说明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估值维度综合PE（60%）和PB（40%）历史百分位数。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动量维度基于2025-2026年收益、近3年累计收益。风险基于年化波动率。</w:t>
      </w:r>
    </w:p>
    <w:p>
      <w:pPr>
        <w:spacing w:after="80"/>
        <w:ind w:firstLine="397"/>
      </w:pP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综合评分=估值×40%+动量×40%+(3-风险)×20%。</w:t>
      </w:r>
    </w:p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一、综合排名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▎全行业排名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规避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一、积极配置板块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一、标配板块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一、谨慎观望板块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一、规避板块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96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规避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0.92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一、分维度分析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▎PE估值由低到高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PB状态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PE偏高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PB深度低估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PB合理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PE高估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PB高估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▎动量排名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动量状态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2026年收益(%)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  <w:tc>
          <w:tcPr>
            <w:tcW w:type="dxa" w:w="1728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最新季度收益(%)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-7.31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13.65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强势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-3.07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-0.54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-13.57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-14.77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-26.94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-9.67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-5.12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-0.42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-8.36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1.64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-18.74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偏弱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-6.19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-20.18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-17.02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-8.01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5.25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-9.44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-19.53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-4.81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-2.88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-22.85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1.86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弱势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-10.54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▎风险排名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年化波动率(%)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最大年跌幅(%)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年胜率(%)</w:t>
            </w:r>
          </w:p>
        </w:tc>
        <w:tc>
          <w:tcPr>
            <w:tcW w:type="dxa" w:w="1440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收益风险比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13.97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14.28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-1.88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-30.42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15.87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-15.76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16.4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-2.11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17.19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81.81818181818183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-46.17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18.72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-37.38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20.5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21.06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-23.08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22.63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-34.66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-39.94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-26.99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-36.15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0.32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23.84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-1.29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0.57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-28.0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-0.24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24.81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-33.11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-32.7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1.95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28.54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33.28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-31.47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54.54545454545454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-24.54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27.27272727272727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-0.18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34.64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-42.59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72.72727272727273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3.72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-41.55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63.63636363636363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2.56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37.94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-35.42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45.45454545454545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0.96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39.66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-22.22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36.36363636363637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5.33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一、四象限分析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▎估值偏低+动量强势（超配）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▎7个行业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▎估值偏高+动量强势（趋势跟踪）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▎15个行业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▎估值偏低+动量弱势（左侧观察）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▎17个行业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</w:tr>
    </w:tbl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▎估值偏高+动量弱势（规避）</w:t>
      </w:r>
    </w:p>
    <w:p>
      <w:pPr>
        <w:spacing w:before="240" w:after="80"/>
      </w:pPr>
      <w:r>
        <w:rPr>
          <w:rFonts w:ascii="Microsoft YaHei" w:hAnsi="Microsoft YaHei"/>
          <w:b/>
          <w:i w:val="0"/>
          <w:color w:val="4A777A"/>
          <w:sz w:val="22"/>
          <w:rFonts w:ascii="Microsoft YaHei" w:hAnsi="Microsoft YaHei" w:eastAsia="Microsoft YaHei"/>
        </w:rPr>
        <w:t>▎31个行业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投资评级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最新PE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最新PB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PB历史分位数(%)</w:t>
            </w:r>
          </w:p>
        </w:tc>
        <w:tc>
          <w:tcPr>
            <w:tcW w:type="dxa" w:w="1234"/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近3年累计收益(%)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银行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石油石化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23.81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交通运输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非银金融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有色金属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87.52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公用事业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积极配置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18.07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家用电器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25.67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综合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93.01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49.38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电力设备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30.65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41.57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36.9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24.18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纺织服饰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-11.92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环保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37.34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9.96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煤炭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20.92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76.19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15.22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基础化工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58.03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27.29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建筑装饰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57.89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医药生物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钢铁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4A777A"/>
                <w:sz w:val="16"/>
              </w:rPr>
              <w:t>标配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64.73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26.64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建筑材料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82.86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13.93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国防军工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56.43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美容护理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30.04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-29.24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机械设备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75.9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3.02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72.61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48.05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轻工制造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28.56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-10.51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农林牧渔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-15.78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汽车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23.79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58.41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18.27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房地产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0.74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-16.82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80.32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94.08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6.73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139.44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食品饮料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12.46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-27.29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91.27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234.43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社会服务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35.78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-21.24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商贸零售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8961E"/>
                <w:sz w:val="16"/>
              </w:rPr>
              <w:t>谨慎观望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32.68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59.63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19.98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-13.95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计算机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规避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66.69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73.16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3.66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31.59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6.58</w:t>
            </w:r>
          </w:p>
        </w:tc>
      </w:tr>
    </w:tbl>
    <w:p>
      <w:pPr>
        <w:spacing w:before="320" w:after="160"/>
        <w:pBdr>
          <w:bottom w:val="single" w:sz="8" w:space="4" w:color="1B365D"/>
        </w:pBdr>
      </w:pPr>
      <w:r>
        <w:rPr>
          <w:rFonts w:ascii="Microsoft YaHei" w:hAnsi="Microsoft YaHei"/>
          <w:b/>
          <w:i w:val="0"/>
          <w:color w:val="1B365D"/>
          <w:sz w:val="28"/>
          <w:rFonts w:ascii="Microsoft YaHei" w:hAnsi="Microsoft YaHei" w:eastAsia="Microsoft YaHei"/>
        </w:rPr>
        <w:t>一、投资策略总结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积极配置（超配）：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银行、石油石化、交通运输、非银金融、有色金属、公用事业。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标配：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家用电器、综合、电力设备、传媒、纺织服饰、环保、煤炭、基础化工、建筑装饰、医药生物、钢铁。</w:t>
      </w:r>
    </w:p>
    <w:p>
      <w:pPr>
        <w:spacing w:after="80"/>
        <w:ind w:firstLine="397"/>
      </w:pPr>
      <w:r>
        <w:rPr>
          <w:rFonts w:ascii="Microsoft YaHei" w:hAnsi="Microsoft YaHei"/>
          <w:b/>
          <w:i w:val="0"/>
          <w:color w:val="1B365D"/>
          <w:sz w:val="21"/>
          <w:rFonts w:ascii="Microsoft YaHei" w:hAnsi="Microsoft YaHei" w:eastAsia="Microsoft YaHei"/>
        </w:rPr>
        <w:t>谨慎/规避（低配）：</w:t>
      </w:r>
      <w:r>
        <w:rPr>
          <w:rFonts w:ascii="Microsoft YaHei" w:hAnsi="Microsoft YaHei"/>
          <w:b w:val="0"/>
          <w:i w:val="0"/>
          <w:color w:val="333333"/>
          <w:sz w:val="21"/>
          <w:rFonts w:ascii="Microsoft YaHei" w:hAnsi="Microsoft YaHei" w:eastAsia="Microsoft YaHei"/>
        </w:rPr>
        <w:t>建筑材料、国防军工、美容护理、机械设备、轻工制造、农林牧渔、汽车、房地产、电子、食品饮料、通信、社会服务、商贸零售、计算机。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