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1F3864"/>
          <w:sz w:val="64"/>
        </w:rPr>
        <w:t>ACP-ANTORA</w:t>
      </w:r>
    </w:p>
    <w:p>
      <w:pPr>
        <w:spacing w:after="160"/>
        <w:jc w:val="center"/>
      </w:pPr>
      <w:r>
        <w:rPr>
          <w:rFonts w:ascii="Calibri" w:hAnsi="Calibri"/>
          <w:b/>
          <w:i w:val="0"/>
          <w:color w:val="2E75B6"/>
          <w:sz w:val="36"/>
        </w:rPr>
        <w:t>Project Primer for Claude Code Sessions</w:t>
      </w:r>
    </w:p>
    <w:p>
      <w:pPr>
        <w:spacing w:after="800"/>
        <w:jc w:val="center"/>
      </w:pPr>
      <w:r>
        <w:rPr>
          <w:rFonts w:ascii="Calibri" w:hAnsi="Calibri"/>
          <w:b w:val="0"/>
          <w:i/>
          <w:sz w:val="24"/>
        </w:rPr>
        <w:t>Agent Contract Platform — Antora Energy Deployment</w:t>
      </w:r>
    </w:p>
    <w:p>
      <w:pPr>
        <w:spacing w:after="80"/>
        <w:jc w:val="center"/>
      </w:pPr>
      <w:r>
        <w:rPr>
          <w:rFonts w:ascii="Calibri" w:hAnsi="Calibri"/>
          <w:b w:val="0"/>
          <w:i w:val="0"/>
          <w:sz w:val="22"/>
        </w:rPr>
        <w:t>System Owner: Vincent Calianno</w:t>
      </w:r>
    </w:p>
    <w:p>
      <w:pPr>
        <w:spacing w:after="80"/>
        <w:jc w:val="center"/>
      </w:pPr>
      <w:r>
        <w:rPr>
          <w:rFonts w:ascii="Calibri" w:hAnsi="Calibri"/>
          <w:b w:val="0"/>
          <w:i w:val="0"/>
          <w:sz w:val="22"/>
        </w:rPr>
        <w:t>Status: Active — Phase 1 in progress</w:t>
      </w:r>
    </w:p>
    <w:p>
      <w:pPr>
        <w:spacing w:after="80"/>
        <w:jc w:val="center"/>
      </w:pPr>
      <w:r>
        <w:rPr>
          <w:rFonts w:ascii="Calibri" w:hAnsi="Calibri"/>
          <w:b w:val="0"/>
          <w:i w:val="0"/>
          <w:sz w:val="22"/>
        </w:rPr>
        <w:t>Version 1.0  |  May 24, 2026</w:t>
      </w:r>
    </w:p>
    <w:p>
      <w:pPr>
        <w:spacing w:before="960" w:after="160"/>
        <w:jc w:val="center"/>
      </w:pPr>
      <w:r>
        <w:rPr>
          <w:rFonts w:ascii="Calibri" w:hAnsi="Calibri"/>
          <w:b/>
          <w:i w:val="0"/>
          <w:color w:val="2E75B6"/>
          <w:sz w:val="22"/>
        </w:rPr>
        <w:t>HOW TO USE THIS DOCUMENT</w:t>
      </w:r>
    </w:p>
    <w:p>
      <w:pPr>
        <w:spacing w:after="80"/>
        <w:jc w:val="center"/>
      </w:pPr>
      <w:r>
        <w:rPr>
          <w:rFonts w:ascii="Calibri" w:hAnsi="Calibri"/>
          <w:b w:val="0"/>
          <w:i w:val="0"/>
          <w:sz w:val="22"/>
        </w:rPr>
        <w:t>Open a new Claude Code session in the AgentOS repo.</w:t>
      </w:r>
    </w:p>
    <w:p>
      <w:pPr>
        <w:spacing w:after="80"/>
        <w:jc w:val="center"/>
      </w:pPr>
      <w:r>
        <w:rPr>
          <w:rFonts w:ascii="Calibri" w:hAnsi="Calibri"/>
          <w:b w:val="0"/>
          <w:i w:val="0"/>
          <w:sz w:val="22"/>
        </w:rPr>
        <w:t>Paste the contents of this document as the first message.</w:t>
      </w:r>
    </w:p>
    <w:p>
      <w:pPr>
        <w:spacing w:after="80"/>
        <w:jc w:val="center"/>
      </w:pPr>
      <w:r>
        <w:rPr>
          <w:rFonts w:ascii="Calibri" w:hAnsi="Calibri"/>
          <w:b w:val="0"/>
          <w:i w:val="0"/>
          <w:sz w:val="22"/>
        </w:rPr>
        <w:t>Then describe what you want to work on in that session.</w:t>
      </w:r>
    </w:p>
    <w:p>
      <w:r>
        <w:br w:type="page"/>
      </w:r>
    </w:p>
    <w:p>
      <w:pPr>
        <w:spacing w:before="400" w:after="240"/>
        <w:outlineLvl w:val="0"/>
      </w:pPr>
      <w:r>
        <w:rPr>
          <w:rFonts w:ascii="Calibri" w:hAnsi="Calibri"/>
          <w:b/>
          <w:i w:val="0"/>
          <w:color w:val="1F3864"/>
          <w:sz w:val="36"/>
        </w:rPr>
        <w:t>1. Project Identity</w:t>
      </w:r>
    </w:p>
    <w:p>
      <w:pPr>
        <w:spacing w:after="120"/>
      </w:pPr>
      <w:r>
        <w:rPr>
          <w:rFonts w:ascii="Calibri" w:hAnsi="Calibri"/>
          <w:b w:val="0"/>
          <w:i w:val="0"/>
          <w:sz w:val="22"/>
        </w:rPr>
        <w:t>This document is the orientation primer for Claude Code sessions working on the Agent Contract Platform (ACP) at Antora Energy. Read this first, then assume the context as the operating frame for the session.</w:t>
      </w:r>
    </w:p>
    <w:p>
      <w:pPr>
        <w:spacing w:before="320" w:after="200"/>
        <w:outlineLvl w:val="1"/>
      </w:pPr>
      <w:r>
        <w:rPr>
          <w:rFonts w:ascii="Calibri" w:hAnsi="Calibri"/>
          <w:b/>
          <w:i w:val="0"/>
          <w:color w:val="2E75B6"/>
          <w:sz w:val="28"/>
        </w:rPr>
        <w:t>1.1 What ACP Is</w:t>
      </w:r>
    </w:p>
    <w:p>
      <w:pPr>
        <w:spacing w:after="120"/>
      </w:pPr>
      <w:r>
        <w:rPr>
          <w:rFonts w:ascii="Calibri" w:hAnsi="Calibri"/>
          <w:b w:val="0"/>
          <w:i w:val="0"/>
          <w:sz w:val="22"/>
        </w:rPr>
        <w:t>ACP is a nine-agent automation system for contract negotiations across Antora Energy's supply chain management team. It ingests, analyzes, and responds to counterparty redlines on contracts that Legal routes through an SCM for operational ownership of the negotiation cycle.</w:t>
      </w:r>
    </w:p>
    <w:p>
      <w:pPr>
        <w:spacing w:after="120"/>
      </w:pPr>
      <w:r>
        <w:rPr>
          <w:rFonts w:ascii="Calibri" w:hAnsi="Calibri"/>
          <w:b w:val="0"/>
          <w:i w:val="0"/>
          <w:sz w:val="22"/>
        </w:rPr>
        <w:t>Phase 1 scope: MEPAs (Master Equipment Purchase Agreements) and MPAs (Master Purchase Agreements). The architecture is contract-type-agnostic; additional contract types are added per Phase 6+ expansion without code changes.</w:t>
      </w:r>
    </w:p>
    <w:p>
      <w:pPr>
        <w:spacing w:before="320" w:after="200"/>
        <w:outlineLvl w:val="1"/>
      </w:pPr>
      <w:r>
        <w:rPr>
          <w:rFonts w:ascii="Calibri" w:hAnsi="Calibri"/>
          <w:b/>
          <w:i w:val="0"/>
          <w:color w:val="2E75B6"/>
          <w:sz w:val="28"/>
        </w:rPr>
        <w:t>1.2 Why ACP Exists</w:t>
      </w:r>
    </w:p>
    <w:p>
      <w:pPr>
        <w:spacing w:after="60"/>
        <w:ind w:left="432" w:hanging="288"/>
      </w:pPr>
      <w:r>
        <w:rPr>
          <w:rFonts w:ascii="Calibri" w:hAnsi="Calibri"/>
          <w:b w:val="0"/>
          <w:i w:val="0"/>
          <w:sz w:val="22"/>
        </w:rPr>
        <w:t>•  Reduce per-round redline-to-LRS cycle time from 1-3 business days to under 4 business hours.</w:t>
      </w:r>
    </w:p>
    <w:p>
      <w:pPr>
        <w:spacing w:after="60"/>
        <w:ind w:left="432" w:hanging="288"/>
      </w:pPr>
      <w:r>
        <w:rPr>
          <w:rFonts w:ascii="Calibri" w:hAnsi="Calibri"/>
          <w:b w:val="0"/>
          <w:i w:val="0"/>
          <w:sz w:val="22"/>
        </w:rPr>
        <w:t>•  Eliminate duplicated negotiation work across the SCM team; every SCM benefits from every other SCM's precedents through a shared Knowledge Base.</w:t>
      </w:r>
    </w:p>
    <w:p>
      <w:pPr>
        <w:spacing w:after="60"/>
        <w:ind w:left="432" w:hanging="288"/>
      </w:pPr>
      <w:r>
        <w:rPr>
          <w:rFonts w:ascii="Calibri" w:hAnsi="Calibri"/>
          <w:b w:val="0"/>
          <w:i w:val="0"/>
          <w:sz w:val="22"/>
        </w:rPr>
        <w:t>•  Consolidate Sandelin's review queue with prioritization and stalled-deal flagging.</w:t>
      </w:r>
    </w:p>
    <w:p>
      <w:pPr>
        <w:spacing w:after="60"/>
        <w:ind w:left="432" w:hanging="288"/>
      </w:pPr>
      <w:r>
        <w:rPr>
          <w:rFonts w:ascii="Calibri" w:hAnsi="Calibri"/>
          <w:b w:val="0"/>
          <w:i w:val="0"/>
          <w:sz w:val="22"/>
        </w:rPr>
        <w:t>•  Auto-flag known high-risk clause combinations (e.g., the consequential + direct damages combination first surfaced in the MCM Engineering negotiation).</w:t>
      </w:r>
    </w:p>
    <w:p>
      <w:pPr>
        <w:spacing w:after="60"/>
        <w:ind w:left="432" w:hanging="288"/>
      </w:pPr>
      <w:r>
        <w:rPr>
          <w:rFonts w:ascii="Calibri" w:hAnsi="Calibri"/>
          <w:b w:val="0"/>
          <w:i w:val="0"/>
          <w:sz w:val="22"/>
        </w:rPr>
        <w:t>•  Free Staff-level supply chain hours for executive supplier relationship work and strategic should-cost analysis.</w:t>
      </w:r>
    </w:p>
    <w:p>
      <w:pPr>
        <w:spacing w:after="60"/>
        <w:ind w:left="432" w:hanging="288"/>
      </w:pPr>
      <w:r>
        <w:rPr>
          <w:rFonts w:ascii="Calibri" w:hAnsi="Calibri"/>
          <w:b w:val="0"/>
          <w:i w:val="0"/>
          <w:sz w:val="22"/>
        </w:rPr>
        <w:t>•  Provide Ranjeet Mankikar (VP SCM) with portfolio-level visibility into all active contract negotiations team-wide.</w:t>
      </w:r>
    </w:p>
    <w:p>
      <w:pPr>
        <w:spacing w:before="320" w:after="200"/>
        <w:outlineLvl w:val="1"/>
      </w:pPr>
      <w:r>
        <w:rPr>
          <w:rFonts w:ascii="Calibri" w:hAnsi="Calibri"/>
          <w:b/>
          <w:i w:val="0"/>
          <w:color w:val="2E75B6"/>
          <w:sz w:val="28"/>
        </w:rPr>
        <w:t>1.3 Key People</w:t>
      </w:r>
    </w:p>
    <w:p>
      <w:pPr>
        <w:spacing w:after="60"/>
        <w:ind w:left="432" w:hanging="288"/>
      </w:pPr>
      <w:r>
        <w:rPr>
          <w:rFonts w:ascii="Calibri" w:hAnsi="Calibri"/>
          <w:b w:val="0"/>
          <w:i w:val="0"/>
          <w:sz w:val="22"/>
        </w:rPr>
        <w:t>•  Vincent Calianno — Staff Strategic Supply Chain Manager, System Owner, Phase 1 solo pilot operator</w:t>
      </w:r>
    </w:p>
    <w:p>
      <w:pPr>
        <w:spacing w:after="60"/>
        <w:ind w:left="432" w:hanging="288"/>
      </w:pPr>
      <w:r>
        <w:rPr>
          <w:rFonts w:ascii="Calibri" w:hAnsi="Calibri"/>
          <w:b w:val="0"/>
          <w:i w:val="0"/>
          <w:sz w:val="22"/>
        </w:rPr>
        <w:t>•  Sandelin Sikes — Legal Counsel, Legal Reviewer (binding authority on every outbound counter-proposal), Steering Group member</w:t>
      </w:r>
    </w:p>
    <w:p>
      <w:pPr>
        <w:spacing w:after="60"/>
        <w:ind w:left="432" w:hanging="288"/>
      </w:pPr>
      <w:r>
        <w:rPr>
          <w:rFonts w:ascii="Calibri" w:hAnsi="Calibri"/>
          <w:b w:val="0"/>
          <w:i w:val="0"/>
          <w:sz w:val="22"/>
        </w:rPr>
        <w:t>•  Ranjeet Mankikar — VP SCM, executive sponsor (default: read-only stakeholder receiving weekly executive summary)</w:t>
      </w:r>
    </w:p>
    <w:p>
      <w:pPr>
        <w:spacing w:after="60"/>
        <w:ind w:left="432" w:hanging="288"/>
      </w:pPr>
      <w:r>
        <w:rPr>
          <w:rFonts w:ascii="Calibri" w:hAnsi="Calibri"/>
          <w:b w:val="0"/>
          <w:i w:val="0"/>
          <w:sz w:val="22"/>
        </w:rPr>
        <w:t>•  Tom Butler, Emily Wang, Mugdha Thakkar — peer SCMs, future Phase 4-5 tenants (pilot selection deferred)</w:t>
      </w:r>
    </w:p>
    <w:p>
      <w:r>
        <w:br w:type="page"/>
      </w:r>
    </w:p>
    <w:p>
      <w:pPr>
        <w:spacing w:before="400" w:after="240"/>
        <w:outlineLvl w:val="0"/>
      </w:pPr>
      <w:r>
        <w:rPr>
          <w:rFonts w:ascii="Calibri" w:hAnsi="Calibri"/>
          <w:b/>
          <w:i w:val="0"/>
          <w:color w:val="1F3864"/>
          <w:sz w:val="36"/>
        </w:rPr>
        <w:t>2. Architecture Summary</w:t>
      </w:r>
    </w:p>
    <w:p>
      <w:pPr>
        <w:spacing w:after="120"/>
      </w:pPr>
      <w:r>
        <w:rPr>
          <w:rFonts w:ascii="Calibri" w:hAnsi="Calibri"/>
          <w:b w:val="0"/>
          <w:i w:val="0"/>
          <w:sz w:val="22"/>
        </w:rPr>
        <w:t>Full details live in ACP_Architecture_Spec_v2_4.docx. This section is the operating summary.</w:t>
      </w:r>
    </w:p>
    <w:p>
      <w:pPr>
        <w:spacing w:before="320" w:after="200"/>
        <w:outlineLvl w:val="1"/>
      </w:pPr>
      <w:r>
        <w:rPr>
          <w:rFonts w:ascii="Calibri" w:hAnsi="Calibri"/>
          <w:b/>
          <w:i w:val="0"/>
          <w:color w:val="2E75B6"/>
          <w:sz w:val="28"/>
        </w:rPr>
        <w:t>2.1 Three-Layer Model</w:t>
      </w:r>
    </w:p>
    <w:p>
      <w:pPr>
        <w:spacing w:after="60"/>
        <w:ind w:left="432" w:hanging="288"/>
      </w:pPr>
      <w:r>
        <w:rPr>
          <w:rFonts w:ascii="Calibri" w:hAnsi="Calibri"/>
          <w:b w:val="0"/>
          <w:i w:val="0"/>
          <w:sz w:val="22"/>
        </w:rPr>
        <w:t>•  Layer A — Pattern: architecture pattern, design principles, agent topology, state machine. Documented in the Architecture Spec.</w:t>
      </w:r>
    </w:p>
    <w:p>
      <w:pPr>
        <w:spacing w:after="60"/>
        <w:ind w:left="432" w:hanging="288"/>
      </w:pPr>
      <w:r>
        <w:rPr>
          <w:rFonts w:ascii="Calibri" w:hAnsi="Calibri"/>
          <w:b w:val="0"/>
          <w:i w:val="0"/>
          <w:sz w:val="22"/>
        </w:rPr>
        <w:t>•  Layer B — Implementation: generic engineering code. Agent runtime, abstract adapter interfaces, event bus, tenancy enforcement, audit logging, configuration loading. Portable; no Antora-specific values.</w:t>
      </w:r>
    </w:p>
    <w:p>
      <w:pPr>
        <w:spacing w:after="60"/>
        <w:ind w:left="432" w:hanging="288"/>
      </w:pPr>
      <w:r>
        <w:rPr>
          <w:rFonts w:ascii="Calibri" w:hAnsi="Calibri"/>
          <w:b w:val="0"/>
          <w:i w:val="0"/>
          <w:sz w:val="22"/>
        </w:rPr>
        <w:t>•  Layer C — Content: Antora-specific. Contract templates, negotiation playbook, knowledge base entries, supplier profiles, integration adapters, tenant identities, SLA targets.</w:t>
      </w:r>
    </w:p>
    <w:p>
      <w:pPr>
        <w:spacing w:before="320" w:after="200"/>
        <w:outlineLvl w:val="1"/>
      </w:pPr>
      <w:r>
        <w:rPr>
          <w:rFonts w:ascii="Calibri" w:hAnsi="Calibri"/>
          <w:b/>
          <w:i w:val="0"/>
          <w:color w:val="2E75B6"/>
          <w:sz w:val="28"/>
        </w:rPr>
        <w:t>2.2 Nine Agents in Three Functional Layers</w:t>
      </w:r>
    </w:p>
    <w:p>
      <w:pPr>
        <w:spacing w:after="120"/>
      </w:pPr>
      <w:r>
        <w:rPr>
          <w:rFonts w:ascii="Calibri" w:hAnsi="Calibri"/>
          <w:b w:val="0"/>
          <w:i w:val="0"/>
          <w:sz w:val="22"/>
        </w:rPr>
        <w:t>Functional Layer 1 — Ingestion &amp; State (per-SCM scoped):</w:t>
      </w:r>
    </w:p>
    <w:p>
      <w:pPr>
        <w:spacing w:after="60"/>
        <w:ind w:left="432" w:hanging="288"/>
      </w:pPr>
      <w:r>
        <w:rPr>
          <w:rFonts w:ascii="Calibri" w:hAnsi="Calibri"/>
          <w:b w:val="0"/>
          <w:i w:val="0"/>
          <w:sz w:val="22"/>
        </w:rPr>
        <w:t>•  Agent 1: Email Watcher — detects contract-negotiation-relevant email events (Haiku-tier LLM)</w:t>
      </w:r>
    </w:p>
    <w:p>
      <w:pPr>
        <w:spacing w:after="60"/>
        <w:ind w:left="432" w:hanging="288"/>
      </w:pPr>
      <w:r>
        <w:rPr>
          <w:rFonts w:ascii="Calibri" w:hAnsi="Calibri"/>
          <w:b w:val="0"/>
          <w:i w:val="0"/>
          <w:sz w:val="22"/>
        </w:rPr>
        <w:t>•  Agent 2: Document Extraction — pulls contract attachments to tenant-scoped Drive (deterministic)</w:t>
      </w:r>
    </w:p>
    <w:p>
      <w:pPr>
        <w:spacing w:after="60"/>
        <w:ind w:left="432" w:hanging="288"/>
      </w:pPr>
      <w:r>
        <w:rPr>
          <w:rFonts w:ascii="Calibri" w:hAnsi="Calibri"/>
          <w:b w:val="0"/>
          <w:i w:val="0"/>
          <w:sz w:val="22"/>
        </w:rPr>
        <w:t>•  Agent 3: State Manager — system spine, canonical state ledger, state machine enforcement (deterministic)</w:t>
      </w:r>
    </w:p>
    <w:p>
      <w:pPr>
        <w:spacing w:after="120"/>
      </w:pPr>
      <w:r>
        <w:rPr>
          <w:rFonts w:ascii="Calibri" w:hAnsi="Calibri"/>
          <w:b w:val="0"/>
          <w:i w:val="0"/>
          <w:sz w:val="22"/>
        </w:rPr>
        <w:t>Functional Layer 2 — Analysis &amp; Reasoning (per-SCM scoped):</w:t>
      </w:r>
    </w:p>
    <w:p>
      <w:pPr>
        <w:spacing w:after="60"/>
        <w:ind w:left="432" w:hanging="288"/>
      </w:pPr>
      <w:r>
        <w:rPr>
          <w:rFonts w:ascii="Calibri" w:hAnsi="Calibri"/>
          <w:b w:val="0"/>
          <w:i w:val="0"/>
          <w:sz w:val="22"/>
        </w:rPr>
        <w:t>•  Agent 4: Structural Diff — clause-level diff between contract versions (deterministic)</w:t>
      </w:r>
    </w:p>
    <w:p>
      <w:pPr>
        <w:spacing w:after="60"/>
        <w:ind w:left="432" w:hanging="288"/>
      </w:pPr>
      <w:r>
        <w:rPr>
          <w:rFonts w:ascii="Calibri" w:hAnsi="Calibri"/>
          <w:b w:val="0"/>
          <w:i w:val="0"/>
          <w:sz w:val="22"/>
        </w:rPr>
        <w:t>•  Agent 5: Redline Analysis — recommends accept/reject/negotiate per redline (Opus-tier LLM)</w:t>
      </w:r>
    </w:p>
    <w:p>
      <w:pPr>
        <w:spacing w:after="60"/>
        <w:ind w:left="432" w:hanging="288"/>
      </w:pPr>
      <w:r>
        <w:rPr>
          <w:rFonts w:ascii="Calibri" w:hAnsi="Calibri"/>
          <w:b w:val="0"/>
          <w:i w:val="0"/>
          <w:sz w:val="22"/>
        </w:rPr>
        <w:t>•  Agent 6: Counter-Proposal Drafting — drafts counter-language for non-accepted redlines (Sonnet-tier LLM)</w:t>
      </w:r>
    </w:p>
    <w:p>
      <w:pPr>
        <w:spacing w:after="120"/>
      </w:pPr>
      <w:r>
        <w:rPr>
          <w:rFonts w:ascii="Calibri" w:hAnsi="Calibri"/>
          <w:b w:val="0"/>
          <w:i w:val="0"/>
          <w:sz w:val="22"/>
        </w:rPr>
        <w:t>Functional Layer 3 — Output &amp; Coordination:</w:t>
      </w:r>
    </w:p>
    <w:p>
      <w:pPr>
        <w:spacing w:after="60"/>
        <w:ind w:left="432" w:hanging="288"/>
      </w:pPr>
      <w:r>
        <w:rPr>
          <w:rFonts w:ascii="Calibri" w:hAnsi="Calibri"/>
          <w:b w:val="0"/>
          <w:i w:val="0"/>
          <w:sz w:val="22"/>
        </w:rPr>
        <w:t>•  Agent 7: LRS Generator — populates Legal Reference Sheet for Sandelin (deterministic)</w:t>
      </w:r>
    </w:p>
    <w:p>
      <w:pPr>
        <w:spacing w:after="60"/>
        <w:ind w:left="432" w:hanging="288"/>
      </w:pPr>
      <w:r>
        <w:rPr>
          <w:rFonts w:ascii="Calibri" w:hAnsi="Calibri"/>
          <w:b w:val="0"/>
          <w:i w:val="0"/>
          <w:sz w:val="22"/>
        </w:rPr>
        <w:t>•  Agent 8: Workflow Orchestrator — coordinates handoffs, SLAs, retries (deterministic)</w:t>
      </w:r>
    </w:p>
    <w:p>
      <w:pPr>
        <w:spacing w:after="60"/>
        <w:ind w:left="432" w:hanging="288"/>
      </w:pPr>
      <w:r>
        <w:rPr>
          <w:rFonts w:ascii="Calibri" w:hAnsi="Calibri"/>
          <w:b w:val="0"/>
          <w:i w:val="0"/>
          <w:sz w:val="22"/>
        </w:rPr>
        <w:t>•  Agent 9: Portfolio Aggregator — team-wide read, no writes; consolidated views (deterministic)</w:t>
      </w:r>
    </w:p>
    <w:p>
      <w:pPr>
        <w:spacing w:before="320" w:after="200"/>
        <w:outlineLvl w:val="1"/>
      </w:pPr>
      <w:r>
        <w:rPr>
          <w:rFonts w:ascii="Calibri" w:hAnsi="Calibri"/>
          <w:b/>
          <w:i w:val="0"/>
          <w:color w:val="2E75B6"/>
          <w:sz w:val="28"/>
        </w:rPr>
        <w:t>2.3 Critical Design Principles</w:t>
      </w:r>
    </w:p>
    <w:p>
      <w:pPr>
        <w:spacing w:after="60"/>
        <w:ind w:left="432" w:hanging="288"/>
      </w:pPr>
      <w:r>
        <w:rPr>
          <w:rFonts w:ascii="Calibri" w:hAnsi="Calibri"/>
          <w:b w:val="0"/>
          <w:i w:val="0"/>
          <w:sz w:val="22"/>
        </w:rPr>
        <w:t>•  Principle 2.1 — Human Authority over Legal Decisions: every outbound counter-proposal requires Legal Reviewer approval. Non-negotiable.</w:t>
      </w:r>
    </w:p>
    <w:p>
      <w:pPr>
        <w:spacing w:after="60"/>
        <w:ind w:left="432" w:hanging="288"/>
      </w:pPr>
      <w:r>
        <w:rPr>
          <w:rFonts w:ascii="Calibri" w:hAnsi="Calibri"/>
          <w:b w:val="0"/>
          <w:i w:val="0"/>
          <w:sz w:val="22"/>
        </w:rPr>
        <w:t>•  Principle 2.4 — Tenant-Scoped State, Shared Intelligence: each SCM has exclusive write authority on their own tracker; Knowledge Base, playbook, and templates are shared.</w:t>
      </w:r>
    </w:p>
    <w:p>
      <w:pPr>
        <w:spacing w:after="60"/>
        <w:ind w:left="432" w:hanging="288"/>
      </w:pPr>
      <w:r>
        <w:rPr>
          <w:rFonts w:ascii="Calibri" w:hAnsi="Calibri"/>
          <w:b w:val="0"/>
          <w:i w:val="0"/>
          <w:sz w:val="22"/>
        </w:rPr>
        <w:t>•  Principle 2.5 — Immutable Audit Trail: every agent decision, input, and output goes to an append-only audit log. Non-negotiable.</w:t>
      </w:r>
    </w:p>
    <w:p>
      <w:pPr>
        <w:spacing w:after="60"/>
        <w:ind w:left="432" w:hanging="288"/>
      </w:pPr>
      <w:r>
        <w:rPr>
          <w:rFonts w:ascii="Calibri" w:hAnsi="Calibri"/>
          <w:b w:val="0"/>
          <w:i w:val="0"/>
          <w:sz w:val="22"/>
        </w:rPr>
        <w:t>•  Principle 2.9 — Operator Opt-Out: any SCM can pause automation per-negotiation or entirely at any time, without affecting other SCMs.</w:t>
      </w:r>
    </w:p>
    <w:p>
      <w:pPr>
        <w:spacing w:after="60"/>
        <w:ind w:left="432" w:hanging="288"/>
      </w:pPr>
      <w:r>
        <w:rPr>
          <w:rFonts w:ascii="Calibri" w:hAnsi="Calibri"/>
          <w:b w:val="0"/>
          <w:i w:val="0"/>
          <w:sz w:val="22"/>
        </w:rPr>
        <w:t>•  Principle 2.10 — Contract Type Extensibility: the architecture is contract-type-agnostic; new types are Layer C content additions, never Layer B code changes.</w:t>
      </w:r>
    </w:p>
    <w:p>
      <w:r>
        <w:br w:type="page"/>
      </w:r>
    </w:p>
    <w:p>
      <w:pPr>
        <w:spacing w:before="400" w:after="240"/>
        <w:outlineLvl w:val="0"/>
      </w:pPr>
      <w:r>
        <w:rPr>
          <w:rFonts w:ascii="Calibri" w:hAnsi="Calibri"/>
          <w:b/>
          <w:i w:val="0"/>
          <w:color w:val="1F3864"/>
          <w:sz w:val="36"/>
        </w:rPr>
        <w:t>3. What's Been Built</w:t>
      </w:r>
    </w:p>
    <w:p>
      <w:pPr>
        <w:spacing w:after="120"/>
      </w:pPr>
      <w:r>
        <w:rPr>
          <w:rFonts w:ascii="Calibri" w:hAnsi="Calibri"/>
          <w:b w:val="0"/>
          <w:i w:val="0"/>
          <w:sz w:val="22"/>
        </w:rPr>
        <w:t>As of this primer's date, the following artifacts exist. Locations assume the AgentOS repo as the working directory.</w:t>
      </w:r>
    </w:p>
    <w:p>
      <w:pPr>
        <w:spacing w:before="320" w:after="200"/>
        <w:outlineLvl w:val="1"/>
      </w:pPr>
      <w:r>
        <w:rPr>
          <w:rFonts w:ascii="Calibri" w:hAnsi="Calibri"/>
          <w:b/>
          <w:i w:val="0"/>
          <w:color w:val="2E75B6"/>
          <w:sz w:val="28"/>
        </w:rPr>
        <w:t>3.1 Documentation Artifacts (in docs/ or equivalent)</w:t>
      </w:r>
    </w:p>
    <w:p>
      <w:pPr>
        <w:spacing w:after="60"/>
        <w:ind w:left="432" w:hanging="288"/>
      </w:pPr>
      <w:r>
        <w:rPr>
          <w:rFonts w:ascii="Calibri" w:hAnsi="Calibri"/>
          <w:b w:val="0"/>
          <w:i w:val="0"/>
          <w:sz w:val="22"/>
        </w:rPr>
        <w:t>•  ACP_Architecture_Spec_v2_4.docx — full architectural specification, contract-type-agnostic, with Sections 2.10 (Contract Type Extensibility) and 13.7 (Implementation Discipline)</w:t>
      </w:r>
    </w:p>
    <w:p>
      <w:pPr>
        <w:spacing w:after="60"/>
        <w:ind w:left="432" w:hanging="288"/>
      </w:pPr>
      <w:r>
        <w:rPr>
          <w:rFonts w:ascii="Calibri" w:hAnsi="Calibri"/>
          <w:b w:val="0"/>
          <w:i w:val="0"/>
          <w:sz w:val="22"/>
        </w:rPr>
        <w:t>•  ACP_Implementation_Guide_v1_1.docx — engineering reference for the codebase, covers repository structure, adapter pattern, playbook-as-data, tenancy enforcement, testing discipline, common pitfalls, maintenance</w:t>
      </w:r>
    </w:p>
    <w:p>
      <w:pPr>
        <w:spacing w:after="60"/>
        <w:ind w:left="432" w:hanging="288"/>
      </w:pPr>
      <w:r>
        <w:rPr>
          <w:rFonts w:ascii="Calibri" w:hAnsi="Calibri"/>
          <w:b w:val="0"/>
          <w:i w:val="0"/>
          <w:sz w:val="22"/>
        </w:rPr>
        <w:t>•  ACP_Tracker_v2.xlsx — Vincent's tracker with all 36 v1 rows preserved + v2 schema additions (Contract Type, Round Number, Drive paths, LRS Status, Automation Status, etc.). 5 sheets: README, Negotiations, Schema Reference, Reference Data, Summary.</w:t>
      </w:r>
    </w:p>
    <w:p>
      <w:pPr>
        <w:spacing w:before="320" w:after="200"/>
        <w:outlineLvl w:val="1"/>
      </w:pPr>
      <w:r>
        <w:rPr>
          <w:rFonts w:ascii="Calibri" w:hAnsi="Calibri"/>
          <w:b/>
          <w:i w:val="0"/>
          <w:color w:val="2E75B6"/>
          <w:sz w:val="28"/>
        </w:rPr>
        <w:t>3.2 Code Artifacts (in acp/ directory)</w:t>
      </w:r>
    </w:p>
    <w:p>
      <w:pPr>
        <w:spacing w:after="120"/>
      </w:pPr>
      <w:r>
        <w:rPr>
          <w:rFonts w:ascii="Calibri" w:hAnsi="Calibri"/>
          <w:b w:val="0"/>
          <w:i w:val="0"/>
          <w:sz w:val="22"/>
        </w:rPr>
        <w:t>Layer B (generic engineering, portable):</w:t>
      </w:r>
    </w:p>
    <w:p>
      <w:pPr>
        <w:spacing w:after="60"/>
        <w:ind w:left="432" w:hanging="288"/>
      </w:pPr>
      <w:r>
        <w:rPr>
          <w:rFonts w:ascii="Calibri" w:hAnsi="Calibri"/>
          <w:b w:val="0"/>
          <w:i w:val="0"/>
          <w:sz w:val="22"/>
        </w:rPr>
        <w:t>•  layer_b/core/types.py — NegotiationState enum, state machine transitions, TenantContext, NegotiationRow dataclass, event types, exceptions</w:t>
      </w:r>
    </w:p>
    <w:p>
      <w:pPr>
        <w:spacing w:after="60"/>
        <w:ind w:left="432" w:hanging="288"/>
      </w:pPr>
      <w:r>
        <w:rPr>
          <w:rFonts w:ascii="Calibri" w:hAnsi="Calibri"/>
          <w:b w:val="0"/>
          <w:i w:val="0"/>
          <w:sz w:val="22"/>
        </w:rPr>
        <w:t>•  layer_b/core/tenancy.py — TenancyEnforcer with cross-tenant boundary checks; every violation audited</w:t>
      </w:r>
    </w:p>
    <w:p>
      <w:pPr>
        <w:spacing w:after="60"/>
        <w:ind w:left="432" w:hanging="288"/>
      </w:pPr>
      <w:r>
        <w:rPr>
          <w:rFonts w:ascii="Calibri" w:hAnsi="Calibri"/>
          <w:b w:val="0"/>
          <w:i w:val="0"/>
          <w:sz w:val="22"/>
        </w:rPr>
        <w:t>•  layer_b/core/adapters/ledger_adapter.py — abstract LedgerAdapter interface</w:t>
      </w:r>
    </w:p>
    <w:p>
      <w:pPr>
        <w:spacing w:after="60"/>
        <w:ind w:left="432" w:hanging="288"/>
      </w:pPr>
      <w:r>
        <w:rPr>
          <w:rFonts w:ascii="Calibri" w:hAnsi="Calibri"/>
          <w:b w:val="0"/>
          <w:i w:val="0"/>
          <w:sz w:val="22"/>
        </w:rPr>
        <w:t>•  layer_b/core/adapters/audit_adapter.py — abstract AuditLogAdapter interface</w:t>
      </w:r>
    </w:p>
    <w:p>
      <w:pPr>
        <w:spacing w:after="60"/>
        <w:ind w:left="432" w:hanging="288"/>
      </w:pPr>
      <w:r>
        <w:rPr>
          <w:rFonts w:ascii="Calibri" w:hAnsi="Calibri"/>
          <w:b w:val="0"/>
          <w:i w:val="0"/>
          <w:sz w:val="22"/>
        </w:rPr>
        <w:t>•  layer_b/core/adapters/sqlite_ledger.py — SQLiteLedger concrete implementation (dev/test)</w:t>
      </w:r>
    </w:p>
    <w:p>
      <w:pPr>
        <w:spacing w:after="60"/>
        <w:ind w:left="432" w:hanging="288"/>
      </w:pPr>
      <w:r>
        <w:rPr>
          <w:rFonts w:ascii="Calibri" w:hAnsi="Calibri"/>
          <w:b w:val="0"/>
          <w:i w:val="0"/>
          <w:sz w:val="22"/>
        </w:rPr>
        <w:t>•  layer_b/core/adapters/in_memory_audit.py — InMemoryAuditLog concrete implementation (dev/test)</w:t>
      </w:r>
    </w:p>
    <w:p>
      <w:pPr>
        <w:spacing w:after="60"/>
        <w:ind w:left="432" w:hanging="288"/>
      </w:pPr>
      <w:r>
        <w:rPr>
          <w:rFonts w:ascii="Calibri" w:hAnsi="Calibri"/>
          <w:b w:val="0"/>
          <w:i w:val="0"/>
          <w:sz w:val="22"/>
        </w:rPr>
        <w:t>•  layer_b/agents/state_manager.py — Agent 3 (State Manager) — system spine, thread-safe per tenant, event-driven</w:t>
      </w:r>
    </w:p>
    <w:p>
      <w:pPr>
        <w:spacing w:after="60"/>
        <w:ind w:left="432" w:hanging="288"/>
      </w:pPr>
      <w:r>
        <w:rPr>
          <w:rFonts w:ascii="Calibri" w:hAnsi="Calibri"/>
          <w:b w:val="0"/>
          <w:i w:val="0"/>
          <w:sz w:val="22"/>
        </w:rPr>
        <w:t>•  layer_b/tests/unit/test_state_manager.py — 29 tests covering state machine, CRUD, tenancy, field updates, event processing, audit trail</w:t>
      </w:r>
    </w:p>
    <w:p>
      <w:pPr>
        <w:spacing w:after="120"/>
      </w:pPr>
      <w:r>
        <w:rPr>
          <w:rFonts w:ascii="Calibri" w:hAnsi="Calibri"/>
          <w:b w:val="0"/>
          <w:i w:val="0"/>
          <w:sz w:val="22"/>
        </w:rPr>
        <w:t>Layer C (Antora-specific, not portable):</w:t>
      </w:r>
    </w:p>
    <w:p>
      <w:pPr>
        <w:spacing w:after="60"/>
        <w:ind w:left="432" w:hanging="288"/>
      </w:pPr>
      <w:r>
        <w:rPr>
          <w:rFonts w:ascii="Calibri" w:hAnsi="Calibri"/>
          <w:b w:val="0"/>
          <w:i w:val="0"/>
          <w:sz w:val="22"/>
        </w:rPr>
        <w:t>•  layer_c_antora/adapters/sheets_ledger.py — STUB; Google Sheets adapter interface defined, live API calls deferred to Agent 1 OAuth pass</w:t>
      </w:r>
    </w:p>
    <w:p>
      <w:pPr>
        <w:spacing w:after="120"/>
      </w:pPr>
      <w:r>
        <w:rPr>
          <w:rFonts w:ascii="Calibri" w:hAnsi="Calibri"/>
          <w:b w:val="0"/>
          <w:i w:val="0"/>
          <w:sz w:val="22"/>
        </w:rPr>
        <w:t>Repository-level:</w:t>
      </w:r>
    </w:p>
    <w:p>
      <w:pPr>
        <w:spacing w:after="60"/>
        <w:ind w:left="432" w:hanging="288"/>
      </w:pPr>
      <w:r>
        <w:rPr>
          <w:rFonts w:ascii="Calibri" w:hAnsi="Calibri"/>
          <w:b w:val="0"/>
          <w:i w:val="0"/>
          <w:sz w:val="22"/>
        </w:rPr>
        <w:t>•  discipline_check.py — static analysis enforcing Section 13.7 (no Layer B imports of Layer C; no Antora-specific strings in Layer B; required adapters present)</w:t>
      </w:r>
    </w:p>
    <w:p>
      <w:pPr>
        <w:spacing w:after="60"/>
        <w:ind w:left="432" w:hanging="288"/>
      </w:pPr>
      <w:r>
        <w:rPr>
          <w:rFonts w:ascii="Calibri" w:hAnsi="Calibri"/>
          <w:b w:val="0"/>
          <w:i w:val="0"/>
          <w:sz w:val="22"/>
        </w:rPr>
        <w:t>•  README.md — codebase orientation</w:t>
      </w:r>
    </w:p>
    <w:p>
      <w:pPr>
        <w:spacing w:before="320" w:after="200"/>
        <w:outlineLvl w:val="1"/>
      </w:pPr>
      <w:r>
        <w:rPr>
          <w:rFonts w:ascii="Calibri" w:hAnsi="Calibri"/>
          <w:b/>
          <w:i w:val="0"/>
          <w:color w:val="2E75B6"/>
          <w:sz w:val="28"/>
        </w:rPr>
        <w:t>3.3 Test Status</w:t>
      </w:r>
    </w:p>
    <w:p>
      <w:pPr>
        <w:spacing w:after="120"/>
      </w:pPr>
      <w:r>
        <w:rPr>
          <w:rFonts w:ascii="Calibri" w:hAnsi="Calibri"/>
          <w:b w:val="0"/>
          <w:i w:val="0"/>
          <w:sz w:val="22"/>
        </w:rPr>
        <w:t>As of this primer's date:</w:t>
      </w:r>
    </w:p>
    <w:p>
      <w:pPr>
        <w:spacing w:after="60"/>
        <w:ind w:left="432" w:hanging="288"/>
      </w:pPr>
      <w:r>
        <w:rPr>
          <w:rFonts w:ascii="Calibri" w:hAnsi="Calibri"/>
          <w:b w:val="0"/>
          <w:i w:val="0"/>
          <w:sz w:val="22"/>
        </w:rPr>
        <w:t>•  State Manager unit tests: 29 passing, ~33ms runtime</w:t>
      </w:r>
    </w:p>
    <w:p>
      <w:pPr>
        <w:spacing w:after="60"/>
        <w:ind w:left="432" w:hanging="288"/>
      </w:pPr>
      <w:r>
        <w:rPr>
          <w:rFonts w:ascii="Calibri" w:hAnsi="Calibri"/>
          <w:b w:val="0"/>
          <w:i w:val="0"/>
          <w:sz w:val="22"/>
        </w:rPr>
        <w:t>•  Discipline check: all three checks passing</w:t>
      </w:r>
    </w:p>
    <w:p>
      <w:pPr>
        <w:spacing w:after="120"/>
      </w:pPr>
      <w:r>
        <w:rPr>
          <w:rFonts w:ascii="Calibri" w:hAnsi="Calibri"/>
          <w:b w:val="0"/>
          <w:i w:val="0"/>
          <w:sz w:val="22"/>
        </w:rPr>
        <w:t>To re-verify on your machine:</w:t>
      </w:r>
    </w:p>
    <w:p>
      <w:pPr>
        <w:spacing w:before="80" w:after="160"/>
        <w:ind w:left="432" w:right="432"/>
      </w:pPr>
      <w:r>
        <w:rPr>
          <w:rFonts w:ascii="Consolas" w:hAnsi="Consolas"/>
          <w:b w:val="0"/>
          <w:i w:val="0"/>
          <w:sz w:val="18"/>
          <w:shd w:val="clear" w:color="auto" w:fill="F4F4F4"/>
        </w:rPr>
        <w:t>cd ~/Desktop/Projects/AgentOS  # or wherever AgentOS is checked out</w:t>
        <w:br/>
        <w:t>python3 -m unittest acp.layer_b.tests.unit.test_state_manager</w:t>
        <w:br/>
        <w:t>python3 acp/discipline_check.py</w:t>
      </w:r>
    </w:p>
    <w:p>
      <w:r>
        <w:br w:type="page"/>
      </w:r>
    </w:p>
    <w:p>
      <w:pPr>
        <w:spacing w:before="400" w:after="240"/>
        <w:outlineLvl w:val="0"/>
      </w:pPr>
      <w:r>
        <w:rPr>
          <w:rFonts w:ascii="Calibri" w:hAnsi="Calibri"/>
          <w:b/>
          <w:i w:val="0"/>
          <w:color w:val="1F3864"/>
          <w:sz w:val="36"/>
        </w:rPr>
        <w:t>4. Antora-Specific Context</w:t>
      </w:r>
    </w:p>
    <w:p>
      <w:pPr>
        <w:spacing w:before="320" w:after="200"/>
        <w:outlineLvl w:val="1"/>
      </w:pPr>
      <w:r>
        <w:rPr>
          <w:rFonts w:ascii="Calibri" w:hAnsi="Calibri"/>
          <w:b/>
          <w:i w:val="0"/>
          <w:color w:val="2E75B6"/>
          <w:sz w:val="28"/>
        </w:rPr>
        <w:t>4.1 The Tracker</w:t>
      </w:r>
    </w:p>
    <w:p>
      <w:pPr>
        <w:spacing w:after="120"/>
      </w:pPr>
      <w:r>
        <w:rPr>
          <w:rFonts w:ascii="Calibri" w:hAnsi="Calibri"/>
          <w:b w:val="0"/>
          <w:i w:val="0"/>
          <w:sz w:val="22"/>
        </w:rPr>
        <w:t>Vincent's current tracker is ACP_Tracker_v2.xlsx with 36 active negotiations across BOP-EE, BOP-Service, and MTS Parts categories. Notable active negotiations:</w:t>
      </w:r>
    </w:p>
    <w:p>
      <w:pPr>
        <w:spacing w:after="60"/>
        <w:ind w:left="432" w:hanging="288"/>
      </w:pPr>
      <w:r>
        <w:rPr>
          <w:rFonts w:ascii="Calibri" w:hAnsi="Calibri"/>
          <w:b w:val="0"/>
          <w:i w:val="0"/>
          <w:sz w:val="22"/>
        </w:rPr>
        <w:t>•  Texas Transformers (BOP-EE, MEPA, Negotiating, Vincent's court) — 67 1.5MVA TES XFMRs</w:t>
      </w:r>
    </w:p>
    <w:p>
      <w:pPr>
        <w:spacing w:after="60"/>
        <w:ind w:left="432" w:hanging="288"/>
      </w:pPr>
      <w:r>
        <w:rPr>
          <w:rFonts w:ascii="Calibri" w:hAnsi="Calibri"/>
          <w:b w:val="0"/>
          <w:i w:val="0"/>
          <w:sz w:val="22"/>
        </w:rPr>
        <w:t>•  MCM Engineering (BOP-EE, MEPA, Negotiating, Vincent's court) — PDC; source of the consequential + direct damages high-risk pattern</w:t>
      </w:r>
    </w:p>
    <w:p>
      <w:pPr>
        <w:spacing w:after="60"/>
        <w:ind w:left="432" w:hanging="288"/>
      </w:pPr>
      <w:r>
        <w:rPr>
          <w:rFonts w:ascii="Calibri" w:hAnsi="Calibri"/>
          <w:b w:val="0"/>
          <w:i w:val="0"/>
          <w:sz w:val="22"/>
        </w:rPr>
        <w:t>•  Federal Pacific (BOP-EE, MEPA, Negotiating, Vincent's court) — TES SWGR</w:t>
      </w:r>
    </w:p>
    <w:p>
      <w:pPr>
        <w:spacing w:after="60"/>
        <w:ind w:left="432" w:hanging="288"/>
      </w:pPr>
      <w:r>
        <w:rPr>
          <w:rFonts w:ascii="Calibri" w:hAnsi="Calibri"/>
          <w:b w:val="0"/>
          <w:i w:val="0"/>
          <w:sz w:val="22"/>
        </w:rPr>
        <w:t>•  Shermco (BOP-EE, MEPA, Requested) — submitted via contract tool</w:t>
      </w:r>
    </w:p>
    <w:p>
      <w:pPr>
        <w:spacing w:after="60"/>
        <w:ind w:left="432" w:hanging="288"/>
      </w:pPr>
      <w:r>
        <w:rPr>
          <w:rFonts w:ascii="Calibri" w:hAnsi="Calibri"/>
          <w:b w:val="0"/>
          <w:i w:val="0"/>
          <w:sz w:val="22"/>
        </w:rPr>
        <w:t>•  Nanez Manufacturing (MTS Parts, MEPA, Negotiating, Legal's court) — recalibrated supplier redline analysis recently completed</w:t>
      </w:r>
    </w:p>
    <w:p>
      <w:pPr>
        <w:spacing w:after="60"/>
        <w:ind w:left="432" w:hanging="288"/>
      </w:pPr>
      <w:r>
        <w:rPr>
          <w:rFonts w:ascii="Calibri" w:hAnsi="Calibri"/>
          <w:b w:val="0"/>
          <w:i w:val="0"/>
          <w:sz w:val="22"/>
        </w:rPr>
        <w:t>•  JL Precision (MTS Parts, MEPA, Executed/Active) — only vendor with fully executed MPA; recurring counterparty</w:t>
      </w:r>
    </w:p>
    <w:p>
      <w:pPr>
        <w:spacing w:after="120"/>
      </w:pPr>
      <w:r>
        <w:rPr>
          <w:rFonts w:ascii="Calibri" w:hAnsi="Calibri"/>
          <w:b w:val="0"/>
          <w:i w:val="0"/>
          <w:sz w:val="22"/>
        </w:rPr>
        <w:t>Suppliers with completed analyses (seed material for the Knowledge Base): Texas Transformers (22 redlines), nVent Enclosures &amp; Switchgear (32 redlines), MCM Engineering II (36 redlines, MEPA + parallel PO T&amp;Cs at Round 3), Nanez Manufacturing (34 redlines).</w:t>
      </w:r>
    </w:p>
    <w:p>
      <w:pPr>
        <w:spacing w:before="320" w:after="200"/>
        <w:outlineLvl w:val="1"/>
      </w:pPr>
      <w:r>
        <w:rPr>
          <w:rFonts w:ascii="Calibri" w:hAnsi="Calibri"/>
          <w:b/>
          <w:i w:val="0"/>
          <w:color w:val="2E75B6"/>
          <w:sz w:val="28"/>
        </w:rPr>
        <w:t>4.2 Integration Stack</w:t>
      </w:r>
    </w:p>
    <w:p>
      <w:pPr>
        <w:spacing w:after="60"/>
        <w:ind w:left="432" w:hanging="288"/>
      </w:pPr>
      <w:r>
        <w:rPr>
          <w:rFonts w:ascii="Calibri" w:hAnsi="Calibri"/>
          <w:b w:val="0"/>
          <w:i w:val="0"/>
          <w:sz w:val="22"/>
        </w:rPr>
        <w:t>•  Inbox: Gmail (Vincent's account, peer SCMs' accounts, Sandelin's delegated access)</w:t>
      </w:r>
    </w:p>
    <w:p>
      <w:pPr>
        <w:spacing w:after="60"/>
        <w:ind w:left="432" w:hanging="288"/>
      </w:pPr>
      <w:r>
        <w:rPr>
          <w:rFonts w:ascii="Calibri" w:hAnsi="Calibri"/>
          <w:b w:val="0"/>
          <w:i w:val="0"/>
          <w:sz w:val="22"/>
        </w:rPr>
        <w:t>•  Document storage: Google Drive (AgentOS folder ID: 1Ekb76OLfHKxj3SuBN3jANgDS_Nn5scyR; ACP_Negotiations_{SCM}/ hierarchy under here)</w:t>
      </w:r>
    </w:p>
    <w:p>
      <w:pPr>
        <w:spacing w:after="60"/>
        <w:ind w:left="432" w:hanging="288"/>
      </w:pPr>
      <w:r>
        <w:rPr>
          <w:rFonts w:ascii="Calibri" w:hAnsi="Calibri"/>
          <w:b w:val="0"/>
          <w:i w:val="0"/>
          <w:sz w:val="22"/>
        </w:rPr>
        <w:t>•  State ledger: Google Sheets (one per SCM, schema identical)</w:t>
      </w:r>
    </w:p>
    <w:p>
      <w:pPr>
        <w:spacing w:after="60"/>
        <w:ind w:left="432" w:hanging="288"/>
      </w:pPr>
      <w:r>
        <w:rPr>
          <w:rFonts w:ascii="Calibri" w:hAnsi="Calibri"/>
          <w:b w:val="0"/>
          <w:i w:val="0"/>
          <w:sz w:val="22"/>
        </w:rPr>
        <w:t>•  Notifications: Slack (channel #mepa-mpa-redline-agent, ID C0ASTTRRF47, for redline analysis agent; #daily_scm_agent, ID C0ATR4S9WCS, for daily SCM agent)</w:t>
      </w:r>
    </w:p>
    <w:p>
      <w:pPr>
        <w:spacing w:after="60"/>
        <w:ind w:left="432" w:hanging="288"/>
      </w:pPr>
      <w:r>
        <w:rPr>
          <w:rFonts w:ascii="Calibri" w:hAnsi="Calibri"/>
          <w:b w:val="0"/>
          <w:i w:val="0"/>
          <w:sz w:val="22"/>
        </w:rPr>
        <w:t>•  LLM: Anthropic Claude (Haiku for classification, Sonnet for drafting, Opus for legal reasoning)</w:t>
      </w:r>
    </w:p>
    <w:p>
      <w:pPr>
        <w:spacing w:after="60"/>
        <w:ind w:left="432" w:hanging="288"/>
      </w:pPr>
      <w:r>
        <w:rPr>
          <w:rFonts w:ascii="Calibri" w:hAnsi="Calibri"/>
          <w:b w:val="0"/>
          <w:i w:val="0"/>
          <w:sz w:val="22"/>
        </w:rPr>
        <w:t>•  Repo: github.com/vincentcalianno-prog/AgentOS</w:t>
      </w:r>
    </w:p>
    <w:p>
      <w:pPr>
        <w:spacing w:before="320" w:after="200"/>
        <w:outlineLvl w:val="1"/>
      </w:pPr>
      <w:r>
        <w:rPr>
          <w:rFonts w:ascii="Calibri" w:hAnsi="Calibri"/>
          <w:b/>
          <w:i w:val="0"/>
          <w:color w:val="2E75B6"/>
          <w:sz w:val="28"/>
        </w:rPr>
        <w:t>4.3 High-Risk Patterns (seed for playbook)</w:t>
      </w:r>
    </w:p>
    <w:p>
      <w:pPr>
        <w:spacing w:after="60"/>
        <w:ind w:left="432" w:hanging="288"/>
      </w:pPr>
      <w:r>
        <w:rPr>
          <w:rFonts w:ascii="Calibri" w:hAnsi="Calibri"/>
          <w:b w:val="0"/>
          <w:i w:val="0"/>
          <w:sz w:val="22"/>
        </w:rPr>
        <w:t>•  MCM trap: mutual exclusion of consequential damages combined with deletion of direct damages clarification → requires Sandelin review</w:t>
      </w:r>
    </w:p>
    <w:p>
      <w:pPr>
        <w:spacing w:after="60"/>
        <w:ind w:left="432" w:hanging="288"/>
      </w:pPr>
      <w:r>
        <w:rPr>
          <w:rFonts w:ascii="Calibri" w:hAnsi="Calibri"/>
          <w:b w:val="0"/>
          <w:i w:val="0"/>
          <w:sz w:val="22"/>
        </w:rPr>
        <w:t>•  Unlimited liability for supplier in any clause variation → reject</w:t>
      </w:r>
    </w:p>
    <w:p>
      <w:pPr>
        <w:spacing w:after="60"/>
        <w:ind w:left="432" w:hanging="288"/>
      </w:pPr>
      <w:r>
        <w:rPr>
          <w:rFonts w:ascii="Calibri" w:hAnsi="Calibri"/>
          <w:b w:val="0"/>
          <w:i w:val="0"/>
          <w:sz w:val="22"/>
        </w:rPr>
        <w:t>•  Removal of mutual liability cap → reject</w:t>
      </w:r>
    </w:p>
    <w:p>
      <w:pPr>
        <w:spacing w:after="60"/>
        <w:ind w:left="432" w:hanging="288"/>
      </w:pPr>
      <w:r>
        <w:rPr>
          <w:rFonts w:ascii="Calibri" w:hAnsi="Calibri"/>
          <w:b w:val="0"/>
          <w:i w:val="0"/>
          <w:sz w:val="22"/>
        </w:rPr>
        <w:t>•  Payment terms shorter than Net 45 without explicit Vincent override → flag</w:t>
      </w:r>
    </w:p>
    <w:p>
      <w:pPr>
        <w:spacing w:after="60"/>
        <w:ind w:left="432" w:hanging="288"/>
      </w:pPr>
      <w:r>
        <w:rPr>
          <w:rFonts w:ascii="Calibri" w:hAnsi="Calibri"/>
          <w:b w:val="0"/>
          <w:i w:val="0"/>
          <w:sz w:val="22"/>
        </w:rPr>
        <w:t>•  Country-of-origin tracking attachment missing on suppliers with Mexico/international operations → require addition for BAA/IRA compliance</w:t>
      </w:r>
    </w:p>
    <w:p>
      <w:pPr>
        <w:spacing w:before="320" w:after="200"/>
        <w:outlineLvl w:val="1"/>
      </w:pPr>
      <w:r>
        <w:rPr>
          <w:rFonts w:ascii="Calibri" w:hAnsi="Calibri"/>
          <w:b/>
          <w:i w:val="0"/>
          <w:color w:val="2E75B6"/>
          <w:sz w:val="28"/>
        </w:rPr>
        <w:t>4.4 Existing Adjacent Automation</w:t>
      </w:r>
    </w:p>
    <w:p>
      <w:pPr>
        <w:spacing w:after="60"/>
        <w:ind w:left="432" w:hanging="288"/>
      </w:pPr>
      <w:r>
        <w:rPr>
          <w:rFonts w:ascii="Calibri" w:hAnsi="Calibri"/>
          <w:b w:val="0"/>
          <w:i w:val="0"/>
          <w:sz w:val="22"/>
        </w:rPr>
        <w:t>•  Daily SCM Agent (scm_monitor.py) — generates daily supply chain briefing each weekday at 8:30am PST, posts to #daily_scm_agent and Gmail</w:t>
      </w:r>
    </w:p>
    <w:p>
      <w:pPr>
        <w:spacing w:after="60"/>
        <w:ind w:left="432" w:hanging="288"/>
      </w:pPr>
      <w:r>
        <w:rPr>
          <w:rFonts w:ascii="Calibri" w:hAnsi="Calibri"/>
          <w:b w:val="0"/>
          <w:i w:val="0"/>
          <w:sz w:val="22"/>
        </w:rPr>
        <w:t>•  PO Acceptance Agent — parses Jerome Pereira's daily Vendor Not Yet Accepted PO Report, contacts suppliers Mon/Thu</w:t>
      </w:r>
    </w:p>
    <w:p>
      <w:pPr>
        <w:spacing w:after="60"/>
        <w:ind w:left="432" w:hanging="288"/>
      </w:pPr>
      <w:r>
        <w:rPr>
          <w:rFonts w:ascii="Calibri" w:hAnsi="Calibri"/>
          <w:b w:val="0"/>
          <w:i w:val="0"/>
          <w:sz w:val="22"/>
        </w:rPr>
        <w:t>•  MEPA/MPA Redline Analysis Agent — earlier prototype, routes to #mepa-mpa-redline-agent; predecessor work for ACP</w:t>
      </w:r>
    </w:p>
    <w:p>
      <w:pPr>
        <w:spacing w:after="60"/>
        <w:ind w:left="432" w:hanging="288"/>
      </w:pPr>
      <w:r>
        <w:rPr>
          <w:rFonts w:ascii="Calibri" w:hAnsi="Calibri"/>
          <w:b w:val="0"/>
          <w:i w:val="0"/>
          <w:sz w:val="22"/>
        </w:rPr>
        <w:t>•  These run on the same AgentOS infrastructure ACP will use</w:t>
      </w:r>
    </w:p>
    <w:p>
      <w:r>
        <w:br w:type="page"/>
      </w:r>
    </w:p>
    <w:p>
      <w:pPr>
        <w:spacing w:before="400" w:after="240"/>
        <w:outlineLvl w:val="0"/>
      </w:pPr>
      <w:r>
        <w:rPr>
          <w:rFonts w:ascii="Calibri" w:hAnsi="Calibri"/>
          <w:b/>
          <w:i w:val="0"/>
          <w:color w:val="1F3864"/>
          <w:sz w:val="36"/>
        </w:rPr>
        <w:t>5. Working in This Codebase</w:t>
      </w:r>
    </w:p>
    <w:p>
      <w:pPr>
        <w:spacing w:before="320" w:after="200"/>
        <w:outlineLvl w:val="1"/>
      </w:pPr>
      <w:r>
        <w:rPr>
          <w:rFonts w:ascii="Calibri" w:hAnsi="Calibri"/>
          <w:b/>
          <w:i w:val="0"/>
          <w:color w:val="2E75B6"/>
          <w:sz w:val="28"/>
        </w:rPr>
        <w:t>5.1 Non-Negotiable Discipline (Section 13.7)</w:t>
      </w:r>
    </w:p>
    <w:p>
      <w:pPr>
        <w:spacing w:after="120"/>
      </w:pPr>
      <w:r>
        <w:rPr>
          <w:rFonts w:ascii="Calibri" w:hAnsi="Calibri"/>
          <w:b w:val="0"/>
          <w:i w:val="0"/>
          <w:sz w:val="22"/>
        </w:rPr>
        <w:t>Every code change must respect:</w:t>
      </w:r>
    </w:p>
    <w:p>
      <w:pPr>
        <w:spacing w:after="60"/>
        <w:ind w:left="432" w:hanging="288"/>
      </w:pPr>
      <w:r>
        <w:rPr>
          <w:rFonts w:ascii="Calibri" w:hAnsi="Calibri"/>
          <w:b w:val="0"/>
          <w:i w:val="0"/>
          <w:sz w:val="22"/>
        </w:rPr>
        <w:t>•  Layer B imports only from layer_b/, stdlib, or public third-party packages. Layer B never imports from layer_c_antora.</w:t>
      </w:r>
    </w:p>
    <w:p>
      <w:pPr>
        <w:spacing w:after="60"/>
        <w:ind w:left="432" w:hanging="288"/>
      </w:pPr>
      <w:r>
        <w:rPr>
          <w:rFonts w:ascii="Calibri" w:hAnsi="Calibri"/>
          <w:b w:val="0"/>
          <w:i w:val="0"/>
          <w:sz w:val="22"/>
        </w:rPr>
        <w:t>•  Layer B contains no Antora-specific strings. No supplier names, no SCM names, no email addresses, no Slack channel IDs, no Drive folder IDs, no Antora-specific clause positions.</w:t>
      </w:r>
    </w:p>
    <w:p>
      <w:pPr>
        <w:spacing w:after="60"/>
        <w:ind w:left="432" w:hanging="288"/>
      </w:pPr>
      <w:r>
        <w:rPr>
          <w:rFonts w:ascii="Calibri" w:hAnsi="Calibri"/>
          <w:b w:val="0"/>
          <w:i w:val="0"/>
          <w:sz w:val="22"/>
        </w:rPr>
        <w:t>•  Adapter pattern: every external integration in layer_b is mediated by an abstract adapter interface. Concrete adapters live in layer_c_antora/adapters/.</w:t>
      </w:r>
    </w:p>
    <w:p>
      <w:pPr>
        <w:spacing w:after="60"/>
        <w:ind w:left="432" w:hanging="288"/>
      </w:pPr>
      <w:r>
        <w:rPr>
          <w:rFonts w:ascii="Calibri" w:hAnsi="Calibri"/>
          <w:b w:val="0"/>
          <w:i w:val="0"/>
          <w:sz w:val="22"/>
        </w:rPr>
        <w:t>•  Tenant scoping is explicit. Every state-modifying operation takes a TenantContext and is checked against the row's owner. Cross-tenant writes raise TenancyViolation.</w:t>
      </w:r>
    </w:p>
    <w:p>
      <w:pPr>
        <w:spacing w:after="60"/>
        <w:ind w:left="432" w:hanging="288"/>
      </w:pPr>
      <w:r>
        <w:rPr>
          <w:rFonts w:ascii="Calibri" w:hAnsi="Calibri"/>
          <w:b w:val="0"/>
          <w:i w:val="0"/>
          <w:sz w:val="22"/>
        </w:rPr>
        <w:t>•  Tests in layer_b/tests/ use synthetic fixtures only. Synthetic supplier names: Acme Industrial, Beta Manufacturing, Gamma Components, Delta Systems, Epsilon Labs. Synthetic SCMs: alice, bob, carol.</w:t>
      </w:r>
    </w:p>
    <w:p>
      <w:pPr>
        <w:spacing w:after="60"/>
        <w:ind w:left="432" w:hanging="288"/>
      </w:pPr>
      <w:r>
        <w:rPr>
          <w:rFonts w:ascii="Calibri" w:hAnsi="Calibri"/>
          <w:b w:val="0"/>
          <w:i w:val="0"/>
          <w:sz w:val="22"/>
        </w:rPr>
        <w:t>•  Configuration over hardcoding: anything that varies between deployments or between tenants must be loaded from config, not embedded in code.</w:t>
      </w:r>
    </w:p>
    <w:p>
      <w:pPr>
        <w:spacing w:before="320" w:after="200"/>
        <w:outlineLvl w:val="1"/>
      </w:pPr>
      <w:r>
        <w:rPr>
          <w:rFonts w:ascii="Calibri" w:hAnsi="Calibri"/>
          <w:b/>
          <w:i w:val="0"/>
          <w:color w:val="2E75B6"/>
          <w:sz w:val="28"/>
        </w:rPr>
        <w:t>5.2 Before Any Code Change</w:t>
      </w:r>
    </w:p>
    <w:p>
      <w:pPr>
        <w:spacing w:after="60"/>
        <w:ind w:left="432" w:hanging="288"/>
      </w:pPr>
      <w:r>
        <w:rPr>
          <w:rFonts w:ascii="Calibri" w:hAnsi="Calibri"/>
          <w:b w:val="0"/>
          <w:i w:val="0"/>
          <w:sz w:val="22"/>
        </w:rPr>
        <w:t>•  Read the relevant section of the Architecture Spec.</w:t>
      </w:r>
    </w:p>
    <w:p>
      <w:pPr>
        <w:spacing w:after="60"/>
        <w:ind w:left="432" w:hanging="288"/>
      </w:pPr>
      <w:r>
        <w:rPr>
          <w:rFonts w:ascii="Calibri" w:hAnsi="Calibri"/>
          <w:b w:val="0"/>
          <w:i w:val="0"/>
          <w:sz w:val="22"/>
        </w:rPr>
        <w:t>•  Read the relevant section of the Implementation Guide.</w:t>
      </w:r>
    </w:p>
    <w:p>
      <w:pPr>
        <w:spacing w:after="60"/>
        <w:ind w:left="432" w:hanging="288"/>
      </w:pPr>
      <w:r>
        <w:rPr>
          <w:rFonts w:ascii="Calibri" w:hAnsi="Calibri"/>
          <w:b w:val="0"/>
          <w:i w:val="0"/>
          <w:sz w:val="22"/>
        </w:rPr>
        <w:t>•  If touching layer_b, confirm the change doesn't introduce Antora-specific values.</w:t>
      </w:r>
    </w:p>
    <w:p>
      <w:pPr>
        <w:spacing w:after="60"/>
        <w:ind w:left="432" w:hanging="288"/>
      </w:pPr>
      <w:r>
        <w:rPr>
          <w:rFonts w:ascii="Calibri" w:hAnsi="Calibri"/>
          <w:b w:val="0"/>
          <w:i w:val="0"/>
          <w:sz w:val="22"/>
        </w:rPr>
        <w:t>•  If introducing a new external integration, define an abstract adapter in layer_b/core/adapters/ first.</w:t>
      </w:r>
    </w:p>
    <w:p>
      <w:pPr>
        <w:spacing w:before="320" w:after="200"/>
        <w:outlineLvl w:val="1"/>
      </w:pPr>
      <w:r>
        <w:rPr>
          <w:rFonts w:ascii="Calibri" w:hAnsi="Calibri"/>
          <w:b/>
          <w:i w:val="0"/>
          <w:color w:val="2E75B6"/>
          <w:sz w:val="28"/>
        </w:rPr>
        <w:t>5.3 After Any Code Change</w:t>
      </w:r>
    </w:p>
    <w:p>
      <w:pPr>
        <w:spacing w:after="60"/>
        <w:ind w:left="432" w:hanging="288"/>
      </w:pPr>
      <w:r>
        <w:rPr>
          <w:rFonts w:ascii="Calibri" w:hAnsi="Calibri"/>
          <w:b w:val="0"/>
          <w:i w:val="0"/>
          <w:sz w:val="22"/>
        </w:rPr>
        <w:t>•  Run unit tests: python3 -m unittest acp.layer_b.tests.unit.test_state_manager (and any new test modules)</w:t>
      </w:r>
    </w:p>
    <w:p>
      <w:pPr>
        <w:spacing w:after="60"/>
        <w:ind w:left="432" w:hanging="288"/>
      </w:pPr>
      <w:r>
        <w:rPr>
          <w:rFonts w:ascii="Calibri" w:hAnsi="Calibri"/>
          <w:b w:val="0"/>
          <w:i w:val="0"/>
          <w:sz w:val="22"/>
        </w:rPr>
        <w:t>•  Run discipline check: python3 acp/discipline_check.py</w:t>
      </w:r>
    </w:p>
    <w:p>
      <w:pPr>
        <w:spacing w:after="60"/>
        <w:ind w:left="432" w:hanging="288"/>
      </w:pPr>
      <w:r>
        <w:rPr>
          <w:rFonts w:ascii="Calibri" w:hAnsi="Calibri"/>
          <w:b w:val="0"/>
          <w:i w:val="0"/>
          <w:sz w:val="22"/>
        </w:rPr>
        <w:t>•  Both must pass before commit.</w:t>
      </w:r>
    </w:p>
    <w:p>
      <w:pPr>
        <w:spacing w:before="320" w:after="200"/>
        <w:outlineLvl w:val="1"/>
      </w:pPr>
      <w:r>
        <w:rPr>
          <w:rFonts w:ascii="Calibri" w:hAnsi="Calibri"/>
          <w:b/>
          <w:i w:val="0"/>
          <w:color w:val="2E75B6"/>
          <w:sz w:val="28"/>
        </w:rPr>
        <w:t>5.4 Generic Field Names (Important)</w:t>
      </w:r>
    </w:p>
    <w:p>
      <w:pPr>
        <w:spacing w:after="120"/>
      </w:pPr>
      <w:r>
        <w:rPr>
          <w:rFonts w:ascii="Calibri" w:hAnsi="Calibri"/>
          <w:b w:val="0"/>
          <w:i w:val="0"/>
          <w:sz w:val="22"/>
        </w:rPr>
        <w:t>The codebase uses deployment-neutral field names. Do not introduce Antora-specific names. Reference mapping:</w:t>
      </w:r>
    </w:p>
    <w:p>
      <w:pPr>
        <w:spacing w:after="60"/>
        <w:ind w:left="432" w:hanging="288"/>
      </w:pPr>
      <w:r>
        <w:rPr>
          <w:rFonts w:ascii="Calibri" w:hAnsi="Calibri"/>
          <w:b w:val="0"/>
          <w:i w:val="0"/>
          <w:sz w:val="22"/>
        </w:rPr>
        <w:t>•  owner (not owner_scm) — the tenant who owns the row</w:t>
      </w:r>
    </w:p>
    <w:p>
      <w:pPr>
        <w:spacing w:after="60"/>
        <w:ind w:left="432" w:hanging="288"/>
      </w:pPr>
      <w:r>
        <w:rPr>
          <w:rFonts w:ascii="Calibri" w:hAnsi="Calibri"/>
          <w:b w:val="0"/>
          <w:i w:val="0"/>
          <w:sz w:val="22"/>
        </w:rPr>
        <w:t>•  last_outbound_version_sent (not last_antora_version_sent)</w:t>
      </w:r>
    </w:p>
    <w:p>
      <w:pPr>
        <w:spacing w:after="60"/>
        <w:ind w:left="432" w:hanging="288"/>
      </w:pPr>
      <w:r>
        <w:rPr>
          <w:rFonts w:ascii="Calibri" w:hAnsi="Calibri"/>
          <w:b w:val="0"/>
          <w:i w:val="0"/>
          <w:sz w:val="22"/>
        </w:rPr>
        <w:t>•  last_counterparty_version (not last_supplier_version)</w:t>
      </w:r>
    </w:p>
    <w:p>
      <w:pPr>
        <w:spacing w:after="60"/>
        <w:ind w:left="432" w:hanging="288"/>
      </w:pPr>
      <w:r>
        <w:rPr>
          <w:rFonts w:ascii="Calibri" w:hAnsi="Calibri"/>
          <w:b w:val="0"/>
          <w:i w:val="0"/>
          <w:sz w:val="22"/>
        </w:rPr>
        <w:t>•  inbox_thread_id (not gmail_thread_id) — works for Gmail, Outlook, etc.</w:t>
      </w:r>
    </w:p>
    <w:p>
      <w:pPr>
        <w:spacing w:after="60"/>
        <w:ind w:left="432" w:hanging="288"/>
      </w:pPr>
      <w:r>
        <w:rPr>
          <w:rFonts w:ascii="Calibri" w:hAnsi="Calibri"/>
          <w:b w:val="0"/>
          <w:i w:val="0"/>
          <w:sz w:val="22"/>
        </w:rPr>
        <w:t>•  storage_folder_path (not drive_folder_path) — works for Drive, OneDrive, etc.</w:t>
      </w:r>
    </w:p>
    <w:p>
      <w:pPr>
        <w:spacing w:after="60"/>
        <w:ind w:left="432" w:hanging="288"/>
      </w:pPr>
      <w:r>
        <w:rPr>
          <w:rFonts w:ascii="Calibri" w:hAnsi="Calibri"/>
          <w:b w:val="0"/>
          <w:i w:val="0"/>
          <w:sz w:val="22"/>
        </w:rPr>
        <w:t>•  review_package_status (not lrs_status) — generic name for the artifact</w:t>
      </w:r>
    </w:p>
    <w:p>
      <w:pPr>
        <w:spacing w:after="60"/>
        <w:ind w:left="432" w:hanging="288"/>
      </w:pPr>
      <w:r>
        <w:rPr>
          <w:rFonts w:ascii="Calibri" w:hAnsi="Calibri"/>
          <w:b w:val="0"/>
          <w:i w:val="0"/>
          <w:sz w:val="22"/>
        </w:rPr>
        <w:t>•  last_review_package_sent_date (not last_lrs_sent_date)</w:t>
      </w:r>
    </w:p>
    <w:p>
      <w:pPr>
        <w:spacing w:after="120"/>
      </w:pPr>
      <w:r>
        <w:rPr>
          <w:rFonts w:ascii="Calibri" w:hAnsi="Calibri"/>
          <w:b w:val="0"/>
          <w:i w:val="0"/>
          <w:sz w:val="22"/>
        </w:rPr>
        <w:t>Layer C concrete adapters and configuration map these generic names to specific platforms. Spreadsheet column display labels (e.g., 'Owner (SCM)' on Vincent's tracker) are also Layer C concerns; the underlying field is just owner.</w:t>
      </w:r>
    </w:p>
    <w:p>
      <w:r>
        <w:br w:type="page"/>
      </w:r>
    </w:p>
    <w:p>
      <w:pPr>
        <w:spacing w:before="400" w:after="240"/>
        <w:outlineLvl w:val="0"/>
      </w:pPr>
      <w:r>
        <w:rPr>
          <w:rFonts w:ascii="Calibri" w:hAnsi="Calibri"/>
          <w:b/>
          <w:i w:val="0"/>
          <w:color w:val="1F3864"/>
          <w:sz w:val="36"/>
        </w:rPr>
        <w:t>6. What's Next</w:t>
      </w:r>
    </w:p>
    <w:p>
      <w:pPr>
        <w:spacing w:before="320" w:after="200"/>
        <w:outlineLvl w:val="1"/>
      </w:pPr>
      <w:r>
        <w:rPr>
          <w:rFonts w:ascii="Calibri" w:hAnsi="Calibri"/>
          <w:b/>
          <w:i w:val="0"/>
          <w:color w:val="2E75B6"/>
          <w:sz w:val="28"/>
        </w:rPr>
        <w:t>6.1 Phase 1 Progress</w:t>
      </w:r>
    </w:p>
    <w:p>
      <w:pPr>
        <w:spacing w:after="120"/>
      </w:pPr>
      <w:r>
        <w:rPr>
          <w:rFonts w:ascii="Calibri" w:hAnsi="Calibri"/>
          <w:b w:val="0"/>
          <w:i w:val="0"/>
          <w:sz w:val="22"/>
        </w:rPr>
        <w:t>Phase 1 = Vincent solo pilot. Items completed:</w:t>
      </w:r>
    </w:p>
    <w:p>
      <w:pPr>
        <w:spacing w:after="60"/>
        <w:ind w:left="432" w:hanging="288"/>
      </w:pPr>
      <w:r>
        <w:rPr>
          <w:rFonts w:ascii="Calibri" w:hAnsi="Calibri"/>
          <w:b w:val="0"/>
          <w:i w:val="0"/>
          <w:sz w:val="22"/>
        </w:rPr>
        <w:t>•  Extended tracker schema (ACP_Tracker_v2.xlsx)</w:t>
      </w:r>
    </w:p>
    <w:p>
      <w:pPr>
        <w:spacing w:after="60"/>
        <w:ind w:left="432" w:hanging="288"/>
      </w:pPr>
      <w:r>
        <w:rPr>
          <w:rFonts w:ascii="Calibri" w:hAnsi="Calibri"/>
          <w:b w:val="0"/>
          <w:i w:val="0"/>
          <w:sz w:val="22"/>
        </w:rPr>
        <w:t>•  Generic Contract Negotiation Tracker Template v1 (kit asset)</w:t>
      </w:r>
    </w:p>
    <w:p>
      <w:pPr>
        <w:spacing w:after="60"/>
        <w:ind w:left="432" w:hanging="288"/>
      </w:pPr>
      <w:r>
        <w:rPr>
          <w:rFonts w:ascii="Calibri" w:hAnsi="Calibri"/>
          <w:b w:val="0"/>
          <w:i w:val="0"/>
          <w:sz w:val="22"/>
        </w:rPr>
        <w:t>•  Agent 3 State Manager (29 tests passing)</w:t>
      </w:r>
    </w:p>
    <w:p>
      <w:pPr>
        <w:spacing w:after="60"/>
        <w:ind w:left="432" w:hanging="288"/>
      </w:pPr>
      <w:r>
        <w:rPr>
          <w:rFonts w:ascii="Calibri" w:hAnsi="Calibri"/>
          <w:b w:val="0"/>
          <w:i w:val="0"/>
          <w:sz w:val="22"/>
        </w:rPr>
        <w:t>•  Agent 3 refactored for portability (generic field names)</w:t>
      </w:r>
    </w:p>
    <w:p>
      <w:pPr>
        <w:spacing w:after="120"/>
      </w:pPr>
      <w:r>
        <w:rPr>
          <w:rFonts w:ascii="Calibri" w:hAnsi="Calibri"/>
          <w:b w:val="0"/>
          <w:i w:val="0"/>
          <w:sz w:val="22"/>
        </w:rPr>
        <w:t>Items remaining in Phase 1:</w:t>
      </w:r>
    </w:p>
    <w:p>
      <w:pPr>
        <w:spacing w:after="60"/>
        <w:ind w:left="432" w:hanging="288"/>
      </w:pPr>
      <w:r>
        <w:rPr>
          <w:rFonts w:ascii="Calibri" w:hAnsi="Calibri"/>
          <w:b w:val="0"/>
          <w:i w:val="0"/>
          <w:sz w:val="22"/>
        </w:rPr>
        <w:t>•  Agent 1 Email Watcher — mock-first build, then Gmail OAuth wiring</w:t>
      </w:r>
    </w:p>
    <w:p>
      <w:pPr>
        <w:spacing w:after="60"/>
        <w:ind w:left="432" w:hanging="288"/>
      </w:pPr>
      <w:r>
        <w:rPr>
          <w:rFonts w:ascii="Calibri" w:hAnsi="Calibri"/>
          <w:b w:val="0"/>
          <w:i w:val="0"/>
          <w:sz w:val="22"/>
        </w:rPr>
        <w:t>•  Agent 2 Document Extraction — mock-first build, then Drive OAuth wiring</w:t>
      </w:r>
    </w:p>
    <w:p>
      <w:pPr>
        <w:spacing w:after="60"/>
        <w:ind w:left="432" w:hanging="288"/>
      </w:pPr>
      <w:r>
        <w:rPr>
          <w:rFonts w:ascii="Calibri" w:hAnsi="Calibri"/>
          <w:b w:val="0"/>
          <w:i w:val="0"/>
          <w:sz w:val="22"/>
        </w:rPr>
        <w:t>•  Provision ACP_Shared Drive folder and Knowledge Base scaffold</w:t>
      </w:r>
    </w:p>
    <w:p>
      <w:pPr>
        <w:spacing w:after="60"/>
        <w:ind w:left="432" w:hanging="288"/>
      </w:pPr>
      <w:r>
        <w:rPr>
          <w:rFonts w:ascii="Calibri" w:hAnsi="Calibri"/>
          <w:b w:val="0"/>
          <w:i w:val="0"/>
          <w:sz w:val="22"/>
        </w:rPr>
        <w:t>•  Phase 1 validation gate: end-to-end detection, persistence, and tracker update for a real supplier redline in Vincent's pipeline</w:t>
      </w:r>
    </w:p>
    <w:p>
      <w:pPr>
        <w:spacing w:before="320" w:after="200"/>
        <w:outlineLvl w:val="1"/>
      </w:pPr>
      <w:r>
        <w:rPr>
          <w:rFonts w:ascii="Calibri" w:hAnsi="Calibri"/>
          <w:b/>
          <w:i w:val="0"/>
          <w:color w:val="2E75B6"/>
          <w:sz w:val="28"/>
        </w:rPr>
        <w:t>6.2 Recommended Next Build: Agent 1 (Mock-First)</w:t>
      </w:r>
    </w:p>
    <w:p>
      <w:pPr>
        <w:spacing w:after="120"/>
      </w:pPr>
      <w:r>
        <w:rPr>
          <w:rFonts w:ascii="Calibri" w:hAnsi="Calibri"/>
          <w:b w:val="0"/>
          <w:i w:val="0"/>
          <w:sz w:val="22"/>
        </w:rPr>
        <w:t>Build Agent 1 with a MockInboxAdapter that returns synthetic email events. This lets the end-to-end ingestion pipeline run without touching real Gmail. Real OAuth wiring is a separate later step.</w:t>
      </w:r>
    </w:p>
    <w:p>
      <w:pPr>
        <w:spacing w:after="120"/>
      </w:pPr>
      <w:r>
        <w:rPr>
          <w:rFonts w:ascii="Calibri" w:hAnsi="Calibri"/>
          <w:b w:val="0"/>
          <w:i w:val="0"/>
          <w:sz w:val="22"/>
        </w:rPr>
        <w:t>Expected deliverables for the Agent 1 build:</w:t>
      </w:r>
    </w:p>
    <w:p>
      <w:pPr>
        <w:spacing w:after="60"/>
        <w:ind w:left="432" w:hanging="288"/>
      </w:pPr>
      <w:r>
        <w:rPr>
          <w:rFonts w:ascii="Calibri" w:hAnsi="Calibri"/>
          <w:b w:val="0"/>
          <w:i w:val="0"/>
          <w:sz w:val="22"/>
        </w:rPr>
        <w:t>•  layer_b/core/adapters/inbox_adapter.py — abstract InboxAdapter interface</w:t>
      </w:r>
    </w:p>
    <w:p>
      <w:pPr>
        <w:spacing w:after="60"/>
        <w:ind w:left="432" w:hanging="288"/>
      </w:pPr>
      <w:r>
        <w:rPr>
          <w:rFonts w:ascii="Calibri" w:hAnsi="Calibri"/>
          <w:b w:val="0"/>
          <w:i w:val="0"/>
          <w:sz w:val="22"/>
        </w:rPr>
        <w:t>•  layer_b/agents/email_watcher.py — Agent 1 implementation, contract-type-agnostic</w:t>
      </w:r>
    </w:p>
    <w:p>
      <w:pPr>
        <w:spacing w:after="60"/>
        <w:ind w:left="432" w:hanging="288"/>
      </w:pPr>
      <w:r>
        <w:rPr>
          <w:rFonts w:ascii="Calibri" w:hAnsi="Calibri"/>
          <w:b w:val="0"/>
          <w:i w:val="0"/>
          <w:sz w:val="22"/>
        </w:rPr>
        <w:t>•  layer_b/tests/fixtures/mock_inbox.py — MockInboxAdapter that yields synthetic events</w:t>
      </w:r>
    </w:p>
    <w:p>
      <w:pPr>
        <w:spacing w:after="60"/>
        <w:ind w:left="432" w:hanging="288"/>
      </w:pPr>
      <w:r>
        <w:rPr>
          <w:rFonts w:ascii="Calibri" w:hAnsi="Calibri"/>
          <w:b w:val="0"/>
          <w:i w:val="0"/>
          <w:sz w:val="22"/>
        </w:rPr>
        <w:t>•  layer_b/tests/unit/test_email_watcher.py — unit tests</w:t>
      </w:r>
    </w:p>
    <w:p>
      <w:pPr>
        <w:spacing w:after="60"/>
        <w:ind w:left="432" w:hanging="288"/>
      </w:pPr>
      <w:r>
        <w:rPr>
          <w:rFonts w:ascii="Calibri" w:hAnsi="Calibri"/>
          <w:b w:val="0"/>
          <w:i w:val="0"/>
          <w:sz w:val="22"/>
        </w:rPr>
        <w:t>•  layer_b/tests/integration/test_ingestion_pipeline.py — end-to-end Agent 1 → State Manager → derived events</w:t>
      </w:r>
    </w:p>
    <w:p>
      <w:pPr>
        <w:spacing w:before="320" w:after="200"/>
        <w:outlineLvl w:val="1"/>
      </w:pPr>
      <w:r>
        <w:rPr>
          <w:rFonts w:ascii="Calibri" w:hAnsi="Calibri"/>
          <w:b/>
          <w:i w:val="0"/>
          <w:color w:val="2E75B6"/>
          <w:sz w:val="28"/>
        </w:rPr>
        <w:t>6.3 Open Items Carried Forward</w:t>
      </w:r>
    </w:p>
    <w:p>
      <w:pPr>
        <w:spacing w:after="60"/>
        <w:ind w:left="432" w:hanging="288"/>
      </w:pPr>
      <w:r>
        <w:rPr>
          <w:rFonts w:ascii="Calibri" w:hAnsi="Calibri"/>
          <w:b w:val="0"/>
          <w:i w:val="0"/>
          <w:sz w:val="22"/>
        </w:rPr>
        <w:t>•  Phase 4 pilot peer selection (Tom, Emily, or Mugdha) — Steering Group decision</w:t>
      </w:r>
    </w:p>
    <w:p>
      <w:pPr>
        <w:spacing w:after="60"/>
        <w:ind w:left="432" w:hanging="288"/>
      </w:pPr>
      <w:r>
        <w:rPr>
          <w:rFonts w:ascii="Calibri" w:hAnsi="Calibri"/>
          <w:b w:val="0"/>
          <w:i w:val="0"/>
          <w:sz w:val="22"/>
        </w:rPr>
        <w:t>•  Steering Group meeting cadence (monthly during Phases 1-4 recommended)</w:t>
      </w:r>
    </w:p>
    <w:p>
      <w:pPr>
        <w:spacing w:after="60"/>
        <w:ind w:left="432" w:hanging="288"/>
      </w:pPr>
      <w:r>
        <w:rPr>
          <w:rFonts w:ascii="Calibri" w:hAnsi="Calibri"/>
          <w:b w:val="0"/>
          <w:i w:val="0"/>
          <w:sz w:val="22"/>
        </w:rPr>
        <w:t>•  Ranjeet's involvement level (default: read-only with weekly executive summary)</w:t>
      </w:r>
    </w:p>
    <w:p>
      <w:pPr>
        <w:spacing w:after="60"/>
        <w:ind w:left="432" w:hanging="288"/>
      </w:pPr>
      <w:r>
        <w:rPr>
          <w:rFonts w:ascii="Calibri" w:hAnsi="Calibri"/>
          <w:b w:val="0"/>
          <w:i w:val="0"/>
          <w:sz w:val="22"/>
        </w:rPr>
        <w:t>•  LRS template — Vincent to export the .gdoc to .docx for embedding</w:t>
      </w:r>
    </w:p>
    <w:p>
      <w:pPr>
        <w:spacing w:after="60"/>
        <w:ind w:left="432" w:hanging="288"/>
      </w:pPr>
      <w:r>
        <w:rPr>
          <w:rFonts w:ascii="Calibri" w:hAnsi="Calibri"/>
          <w:b w:val="0"/>
          <w:i w:val="0"/>
          <w:sz w:val="22"/>
        </w:rPr>
        <w:t>•  Sandelin's delegated Gmail access for outbound MEPA detection — Steering Group resolution required</w:t>
      </w:r>
    </w:p>
    <w:p>
      <w:pPr>
        <w:spacing w:after="60"/>
        <w:ind w:left="432" w:hanging="288"/>
      </w:pPr>
      <w:r>
        <w:rPr>
          <w:rFonts w:ascii="Calibri" w:hAnsi="Calibri"/>
          <w:b w:val="0"/>
          <w:i w:val="0"/>
          <w:sz w:val="22"/>
        </w:rPr>
        <w:t>•  Existing peer SCM tracker discovery — deferred until Phase 4 pilot</w:t>
      </w:r>
    </w:p>
    <w:p>
      <w:pPr>
        <w:spacing w:after="60"/>
        <w:ind w:left="432" w:hanging="288"/>
      </w:pPr>
      <w:r>
        <w:rPr>
          <w:rFonts w:ascii="Calibri" w:hAnsi="Calibri"/>
          <w:b w:val="0"/>
          <w:i w:val="0"/>
          <w:sz w:val="22"/>
        </w:rPr>
        <w:t>•  Knowledge Base seed corpus contributions from Tom, Emily, and Mugdha — Phase 5</w:t>
      </w:r>
    </w:p>
    <w:p>
      <w:pPr>
        <w:spacing w:after="60"/>
        <w:ind w:left="432" w:hanging="288"/>
      </w:pPr>
      <w:r>
        <w:rPr>
          <w:rFonts w:ascii="Calibri" w:hAnsi="Calibri"/>
          <w:b w:val="0"/>
          <w:i w:val="0"/>
          <w:sz w:val="22"/>
        </w:rPr>
        <w:t>•  Future Sandelin conversation re: forking sanitized Layer B for personal reference (post-Antora)</w:t>
      </w:r>
    </w:p>
    <w:p>
      <w:r>
        <w:br w:type="page"/>
      </w:r>
    </w:p>
    <w:p>
      <w:pPr>
        <w:spacing w:before="400" w:after="240"/>
        <w:outlineLvl w:val="0"/>
      </w:pPr>
      <w:r>
        <w:rPr>
          <w:rFonts w:ascii="Calibri" w:hAnsi="Calibri"/>
          <w:b/>
          <w:i w:val="0"/>
          <w:color w:val="1F3864"/>
          <w:sz w:val="36"/>
        </w:rPr>
        <w:t>7. Reference</w:t>
      </w:r>
    </w:p>
    <w:p>
      <w:pPr>
        <w:spacing w:before="320" w:after="200"/>
        <w:outlineLvl w:val="1"/>
      </w:pPr>
      <w:r>
        <w:rPr>
          <w:rFonts w:ascii="Calibri" w:hAnsi="Calibri"/>
          <w:b/>
          <w:i w:val="0"/>
          <w:color w:val="2E75B6"/>
          <w:sz w:val="28"/>
        </w:rPr>
        <w:t>7.1 Document Locations</w:t>
      </w:r>
    </w:p>
    <w:p>
      <w:pPr>
        <w:spacing w:after="60"/>
        <w:ind w:left="432" w:hanging="288"/>
      </w:pPr>
      <w:r>
        <w:rPr>
          <w:rFonts w:ascii="Calibri" w:hAnsi="Calibri"/>
          <w:b w:val="0"/>
          <w:i w:val="0"/>
          <w:sz w:val="22"/>
        </w:rPr>
        <w:t>•  This primer: docs/ACP_Antora_Project_Primer_v1.docx</w:t>
      </w:r>
    </w:p>
    <w:p>
      <w:pPr>
        <w:spacing w:after="60"/>
        <w:ind w:left="432" w:hanging="288"/>
      </w:pPr>
      <w:r>
        <w:rPr>
          <w:rFonts w:ascii="Calibri" w:hAnsi="Calibri"/>
          <w:b w:val="0"/>
          <w:i w:val="0"/>
          <w:sz w:val="22"/>
        </w:rPr>
        <w:t>•  Architecture Spec: docs/ACP_Architecture_Spec_v2_4.docx</w:t>
      </w:r>
    </w:p>
    <w:p>
      <w:pPr>
        <w:spacing w:after="60"/>
        <w:ind w:left="432" w:hanging="288"/>
      </w:pPr>
      <w:r>
        <w:rPr>
          <w:rFonts w:ascii="Calibri" w:hAnsi="Calibri"/>
          <w:b w:val="0"/>
          <w:i w:val="0"/>
          <w:sz w:val="22"/>
        </w:rPr>
        <w:t>•  Implementation Guide: docs/ACP_Implementation_Guide_v1_1.docx</w:t>
      </w:r>
    </w:p>
    <w:p>
      <w:pPr>
        <w:spacing w:after="60"/>
        <w:ind w:left="432" w:hanging="288"/>
      </w:pPr>
      <w:r>
        <w:rPr>
          <w:rFonts w:ascii="Calibri" w:hAnsi="Calibri"/>
          <w:b w:val="0"/>
          <w:i w:val="0"/>
          <w:sz w:val="22"/>
        </w:rPr>
        <w:t>•  Tracker: docs/ACP_Tracker_v2.xlsx (with the live Google Sheets being the actual operating ledger)</w:t>
      </w:r>
    </w:p>
    <w:p>
      <w:pPr>
        <w:spacing w:after="60"/>
        <w:ind w:left="432" w:hanging="288"/>
      </w:pPr>
      <w:r>
        <w:rPr>
          <w:rFonts w:ascii="Calibri" w:hAnsi="Calibri"/>
          <w:b w:val="0"/>
          <w:i w:val="0"/>
          <w:sz w:val="22"/>
        </w:rPr>
        <w:t>•  Codebase: acp/ directory at the repo root</w:t>
      </w:r>
    </w:p>
    <w:p>
      <w:pPr>
        <w:spacing w:before="320" w:after="200"/>
        <w:outlineLvl w:val="1"/>
      </w:pPr>
      <w:r>
        <w:rPr>
          <w:rFonts w:ascii="Calibri" w:hAnsi="Calibri"/>
          <w:b/>
          <w:i w:val="0"/>
          <w:color w:val="2E75B6"/>
          <w:sz w:val="28"/>
        </w:rPr>
        <w:t>7.2 Useful Commands</w:t>
      </w:r>
    </w:p>
    <w:p>
      <w:pPr>
        <w:spacing w:after="120"/>
      </w:pPr>
      <w:r>
        <w:rPr>
          <w:rFonts w:ascii="Calibri" w:hAnsi="Calibri"/>
          <w:b w:val="0"/>
          <w:i w:val="0"/>
          <w:sz w:val="22"/>
        </w:rPr>
        <w:t>Run all State Manager tests with verbose output:</w:t>
      </w:r>
    </w:p>
    <w:p>
      <w:pPr>
        <w:spacing w:before="80" w:after="160"/>
        <w:ind w:left="432" w:right="432"/>
      </w:pPr>
      <w:r>
        <w:rPr>
          <w:rFonts w:ascii="Consolas" w:hAnsi="Consolas"/>
          <w:b w:val="0"/>
          <w:i w:val="0"/>
          <w:sz w:val="18"/>
          <w:shd w:val="clear" w:color="auto" w:fill="F4F4F4"/>
        </w:rPr>
        <w:t>python3 -m unittest acp.layer_b.tests.unit.test_state_manager -v</w:t>
      </w:r>
    </w:p>
    <w:p>
      <w:pPr>
        <w:spacing w:after="120"/>
      </w:pPr>
      <w:r>
        <w:rPr>
          <w:rFonts w:ascii="Calibri" w:hAnsi="Calibri"/>
          <w:b w:val="0"/>
          <w:i w:val="0"/>
          <w:sz w:val="22"/>
        </w:rPr>
        <w:t>Run the discipline check:</w:t>
      </w:r>
    </w:p>
    <w:p>
      <w:pPr>
        <w:spacing w:before="80" w:after="160"/>
        <w:ind w:left="432" w:right="432"/>
      </w:pPr>
      <w:r>
        <w:rPr>
          <w:rFonts w:ascii="Consolas" w:hAnsi="Consolas"/>
          <w:b w:val="0"/>
          <w:i w:val="0"/>
          <w:sz w:val="18"/>
          <w:shd w:val="clear" w:color="auto" w:fill="F4F4F4"/>
        </w:rPr>
        <w:t>python3 acp/discipline_check.py</w:t>
      </w:r>
    </w:p>
    <w:p>
      <w:pPr>
        <w:spacing w:after="120"/>
      </w:pPr>
      <w:r>
        <w:rPr>
          <w:rFonts w:ascii="Calibri" w:hAnsi="Calibri"/>
          <w:b w:val="0"/>
          <w:i w:val="0"/>
          <w:sz w:val="22"/>
        </w:rPr>
        <w:t>Find any MEPA/MPA mentions in the codebase (for sanity checking):</w:t>
      </w:r>
    </w:p>
    <w:p>
      <w:pPr>
        <w:spacing w:before="80" w:after="160"/>
        <w:ind w:left="432" w:right="432"/>
      </w:pPr>
      <w:r>
        <w:rPr>
          <w:rFonts w:ascii="Consolas" w:hAnsi="Consolas"/>
          <w:b w:val="0"/>
          <w:i w:val="0"/>
          <w:sz w:val="18"/>
          <w:shd w:val="clear" w:color="auto" w:fill="F4F4F4"/>
        </w:rPr>
        <w:t>grep -rn 'MEPA\|MPA' acp/ --include='*.py' | grep -v layer_c</w:t>
      </w:r>
    </w:p>
    <w:p>
      <w:pPr>
        <w:spacing w:after="120"/>
      </w:pPr>
      <w:r>
        <w:rPr>
          <w:rFonts w:ascii="Calibri" w:hAnsi="Calibri"/>
          <w:b w:val="0"/>
          <w:i w:val="0"/>
          <w:sz w:val="22"/>
        </w:rPr>
        <w:t>View the directory structure:</w:t>
      </w:r>
    </w:p>
    <w:p>
      <w:pPr>
        <w:spacing w:before="80" w:after="160"/>
        <w:ind w:left="432" w:right="432"/>
      </w:pPr>
      <w:r>
        <w:rPr>
          <w:rFonts w:ascii="Consolas" w:hAnsi="Consolas"/>
          <w:b w:val="0"/>
          <w:i w:val="0"/>
          <w:sz w:val="18"/>
          <w:shd w:val="clear" w:color="auto" w:fill="F4F4F4"/>
        </w:rPr>
        <w:t>tree acp/ -I '__pycache__'</w:t>
      </w:r>
    </w:p>
    <w:p>
      <w:pPr>
        <w:spacing w:before="320" w:after="200"/>
        <w:outlineLvl w:val="1"/>
      </w:pPr>
      <w:r>
        <w:rPr>
          <w:rFonts w:ascii="Calibri" w:hAnsi="Calibri"/>
          <w:b/>
          <w:i w:val="0"/>
          <w:color w:val="2E75B6"/>
          <w:sz w:val="28"/>
        </w:rPr>
        <w:t>7.3 Glossary</w:t>
      </w:r>
    </w:p>
    <w:p>
      <w:pPr>
        <w:spacing w:after="60"/>
        <w:ind w:left="432" w:hanging="288"/>
      </w:pPr>
      <w:r>
        <w:rPr>
          <w:rFonts w:ascii="Calibri" w:hAnsi="Calibri"/>
          <w:b w:val="0"/>
          <w:i w:val="0"/>
          <w:sz w:val="22"/>
        </w:rPr>
        <w:t>•  ACP — Agent Contract Platform</w:t>
      </w:r>
    </w:p>
    <w:p>
      <w:pPr>
        <w:spacing w:after="60"/>
        <w:ind w:left="432" w:hanging="288"/>
      </w:pPr>
      <w:r>
        <w:rPr>
          <w:rFonts w:ascii="Calibri" w:hAnsi="Calibri"/>
          <w:b w:val="0"/>
          <w:i w:val="0"/>
          <w:sz w:val="22"/>
        </w:rPr>
        <w:t>•  AgentOS — Vincent's existing multi-agent automation framework; the GitHub repo where ACP lives</w:t>
      </w:r>
    </w:p>
    <w:p>
      <w:pPr>
        <w:spacing w:after="60"/>
        <w:ind w:left="432" w:hanging="288"/>
      </w:pPr>
      <w:r>
        <w:rPr>
          <w:rFonts w:ascii="Calibri" w:hAnsi="Calibri"/>
          <w:b w:val="0"/>
          <w:i w:val="0"/>
          <w:sz w:val="22"/>
        </w:rPr>
        <w:t>•  Counterparty — the other party to the negotiation; for Antora, typically a supplier</w:t>
      </w:r>
    </w:p>
    <w:p>
      <w:pPr>
        <w:spacing w:after="60"/>
        <w:ind w:left="432" w:hanging="288"/>
      </w:pPr>
      <w:r>
        <w:rPr>
          <w:rFonts w:ascii="Calibri" w:hAnsi="Calibri"/>
          <w:b w:val="0"/>
          <w:i w:val="0"/>
          <w:sz w:val="22"/>
        </w:rPr>
        <w:t>•  LRS — Legal Reference Sheet; the artifact Agent 7 produces for Sandelin's review at each round</w:t>
      </w:r>
    </w:p>
    <w:p>
      <w:pPr>
        <w:spacing w:after="60"/>
        <w:ind w:left="432" w:hanging="288"/>
      </w:pPr>
      <w:r>
        <w:rPr>
          <w:rFonts w:ascii="Calibri" w:hAnsi="Calibri"/>
          <w:b w:val="0"/>
          <w:i w:val="0"/>
          <w:sz w:val="22"/>
        </w:rPr>
        <w:t>•  MEPA — Master Equipment Purchase Agreement (Phase 1 contract type)</w:t>
      </w:r>
    </w:p>
    <w:p>
      <w:pPr>
        <w:spacing w:after="60"/>
        <w:ind w:left="432" w:hanging="288"/>
      </w:pPr>
      <w:r>
        <w:rPr>
          <w:rFonts w:ascii="Calibri" w:hAnsi="Calibri"/>
          <w:b w:val="0"/>
          <w:i w:val="0"/>
          <w:sz w:val="22"/>
        </w:rPr>
        <w:t>•  MPA — Master Purchase Agreement (Phase 1 contract type)</w:t>
      </w:r>
    </w:p>
    <w:p>
      <w:pPr>
        <w:spacing w:after="60"/>
        <w:ind w:left="432" w:hanging="288"/>
      </w:pPr>
      <w:r>
        <w:rPr>
          <w:rFonts w:ascii="Calibri" w:hAnsi="Calibri"/>
          <w:b w:val="0"/>
          <w:i w:val="0"/>
          <w:sz w:val="22"/>
        </w:rPr>
        <w:t>•  SCM — Supply Chain Manager (Antora-specific role name; the codebase uses 'operator' / 'owner' as deployment-neutral terms)</w:t>
      </w:r>
    </w:p>
    <w:p>
      <w:pPr>
        <w:spacing w:after="60"/>
        <w:ind w:left="432" w:hanging="288"/>
      </w:pPr>
      <w:r>
        <w:rPr>
          <w:rFonts w:ascii="Calibri" w:hAnsi="Calibri"/>
          <w:b w:val="0"/>
          <w:i w:val="0"/>
          <w:sz w:val="22"/>
        </w:rPr>
        <w:t>•  Steering Group — Vincent + Sandelin (the governance body for ACP)</w:t>
      </w:r>
    </w:p>
    <w:p>
      <w:pPr>
        <w:spacing w:after="60"/>
        <w:ind w:left="432" w:hanging="288"/>
      </w:pPr>
      <w:r>
        <w:rPr>
          <w:rFonts w:ascii="Calibri" w:hAnsi="Calibri"/>
          <w:b w:val="0"/>
          <w:i w:val="0"/>
          <w:sz w:val="22"/>
        </w:rPr>
        <w:t>•  Tenant — an individual operator who owns negotiations in the tracker; per-SCM scoping</w:t>
      </w:r>
    </w:p>
    <w:p>
      <w:pPr>
        <w:spacing w:before="320" w:after="200"/>
        <w:outlineLvl w:val="1"/>
      </w:pPr>
      <w:r>
        <w:rPr>
          <w:rFonts w:ascii="Calibri" w:hAnsi="Calibri"/>
          <w:b/>
          <w:i w:val="0"/>
          <w:color w:val="2E75B6"/>
          <w:sz w:val="28"/>
        </w:rPr>
        <w:t>7.4 If You Get Stuck</w:t>
      </w:r>
    </w:p>
    <w:p>
      <w:pPr>
        <w:spacing w:after="60"/>
        <w:ind w:left="432" w:hanging="288"/>
      </w:pPr>
      <w:r>
        <w:rPr>
          <w:rFonts w:ascii="Calibri" w:hAnsi="Calibri"/>
          <w:b w:val="0"/>
          <w:i w:val="0"/>
          <w:sz w:val="22"/>
        </w:rPr>
        <w:t>•  Re-read the relevant section of the Architecture Spec. The spec is the source of truth on what the system should do.</w:t>
      </w:r>
    </w:p>
    <w:p>
      <w:pPr>
        <w:spacing w:after="60"/>
        <w:ind w:left="432" w:hanging="288"/>
      </w:pPr>
      <w:r>
        <w:rPr>
          <w:rFonts w:ascii="Calibri" w:hAnsi="Calibri"/>
          <w:b w:val="0"/>
          <w:i w:val="0"/>
          <w:sz w:val="22"/>
        </w:rPr>
        <w:t>•  Re-read Section 5 of this primer for the working-in-this-codebase rules.</w:t>
      </w:r>
    </w:p>
    <w:p>
      <w:pPr>
        <w:spacing w:after="60"/>
        <w:ind w:left="432" w:hanging="288"/>
      </w:pPr>
      <w:r>
        <w:rPr>
          <w:rFonts w:ascii="Calibri" w:hAnsi="Calibri"/>
          <w:b w:val="0"/>
          <w:i w:val="0"/>
          <w:sz w:val="22"/>
        </w:rPr>
        <w:t>•  Run the discipline check. If it fails, the code is out of bounds.</w:t>
      </w:r>
    </w:p>
    <w:p>
      <w:pPr>
        <w:spacing w:after="60"/>
        <w:ind w:left="432" w:hanging="288"/>
      </w:pPr>
      <w:r>
        <w:rPr>
          <w:rFonts w:ascii="Calibri" w:hAnsi="Calibri"/>
          <w:b w:val="0"/>
          <w:i w:val="0"/>
          <w:sz w:val="22"/>
        </w:rPr>
        <w:t>•  Run the unit tests. If they fail, the code broke an established contract.</w:t>
      </w:r>
    </w:p>
    <w:p>
      <w:pPr>
        <w:spacing w:after="60"/>
        <w:ind w:left="432" w:hanging="288"/>
      </w:pPr>
      <w:r>
        <w:rPr>
          <w:rFonts w:ascii="Calibri" w:hAnsi="Calibri"/>
          <w:b w:val="0"/>
          <w:i w:val="0"/>
          <w:sz w:val="22"/>
        </w:rPr>
        <w:t>•  When in doubt about scope: Phase 1 is MEPAs and MPAs only. Anything beyond that is Phase 6+ and not in scope right now.</w:t>
      </w:r>
    </w:p>
    <w:p>
      <w:pPr>
        <w:spacing w:after="60"/>
        <w:ind w:left="432" w:hanging="288"/>
      </w:pPr>
      <w:r>
        <w:rPr>
          <w:rFonts w:ascii="Calibri" w:hAnsi="Calibri"/>
          <w:b w:val="0"/>
          <w:i w:val="0"/>
          <w:sz w:val="22"/>
        </w:rPr>
        <w:t>•  When in doubt about a Layer B / Layer C boundary: Antora-specific values go in Layer C. Period.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