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1F3864"/>
          <w:sz w:val="48"/>
          <w:szCs w:val="48"/>
        </w:rPr>
        <w:t xml:space="preserve">AGENT CONTRACT PLATFORM</w:t>
      </w:r>
    </w:p>
    <w:p>
      <w:pPr>
        <w:spacing w:after="480"/>
        <w:jc w:val="center"/>
      </w:pPr>
      <w:r>
        <w:rPr>
          <w:b/>
          <w:bCs/>
          <w:color w:val="2E75B6"/>
          <w:sz w:val="36"/>
          <w:szCs w:val="36"/>
        </w:rPr>
        <w:t xml:space="preserve">(ACP)</w:t>
      </w:r>
    </w:p>
    <w:p>
      <w:pPr>
        <w:spacing w:after="240"/>
        <w:jc w:val="center"/>
      </w:pPr>
      <w:r>
        <w:rPr>
          <w:b/>
          <w:bCs/>
          <w:color w:val="1F3864"/>
          <w:sz w:val="32"/>
          <w:szCs w:val="32"/>
        </w:rPr>
        <w:t xml:space="preserve">Multi-Tenant Architecture Specification</w:t>
      </w:r>
    </w:p>
    <w:p>
      <w:pPr>
        <w:pBdr>
          <w:bottom w:val="single" w:color="2E75B6" w:sz="12" w:space="4"/>
        </w:pBdr>
        <w:spacing w:after="240"/>
        <w:jc w:val="center"/>
      </w:pPr>
      <w:r>
        <w:t xml:space="preserve"/>
      </w:r>
    </w:p>
    <w:p>
      <w:pPr>
        <w:spacing w:after="120"/>
        <w:jc w:val="center"/>
      </w:pPr>
      <w:r>
        <w:rPr>
          <w:b/>
          <w:bCs/>
          <w:sz w:val="28"/>
          <w:szCs w:val="28"/>
        </w:rPr>
        <w:t xml:space="preserve">Antora Energy, Inc.</w:t>
      </w:r>
    </w:p>
    <w:p>
      <w:pPr>
        <w:spacing w:after="600"/>
        <w:jc w:val="center"/>
      </w:pPr>
      <w:r>
        <w:rPr>
          <w:i/>
          <w:iCs/>
          <w:color w:val="595959"/>
          <w:sz w:val="24"/>
          <w:szCs w:val="24"/>
        </w:rPr>
        <w:t xml:space="preserve">Strategic Supply Chain Management</w:t>
      </w:r>
    </w:p>
    <w:p>
      <w:pPr>
        <w:spacing w:before="1000"/>
      </w:pPr>
      <w:r>
        <w:t xml:space="preserve"/>
      </w:r>
    </w:p>
    <w:p>
      <w:pPr>
        <w:spacing w:after="80"/>
        <w:jc w:val="center"/>
      </w:pPr>
      <w:r>
        <w:rPr>
          <w:sz w:val="22"/>
          <w:szCs w:val="22"/>
        </w:rPr>
        <w:t xml:space="preserve">System Owner: Vincent Calianno</w:t>
      </w:r>
    </w:p>
    <w:p>
      <w:pPr>
        <w:spacing w:after="80"/>
        <w:jc w:val="center"/>
      </w:pPr>
      <w:r>
        <w:rPr>
          <w:i/>
          <w:iCs/>
          <w:color w:val="595959"/>
          <w:sz w:val="22"/>
          <w:szCs w:val="22"/>
        </w:rPr>
        <w:t xml:space="preserve">Staff Strategic Supply Chain Manager</w:t>
      </w:r>
    </w:p>
    <w:p>
      <w:pPr>
        <w:spacing w:after="80" w:before="200"/>
        <w:jc w:val="center"/>
      </w:pPr>
      <w:r>
        <w:rPr>
          <w:sz w:val="22"/>
        </w:rPr>
        <w:t>Version 2.4  |  May 24, 2026</w:t>
      </w:r>
    </w:p>
    <w:p>
      <w:pPr>
        <w:spacing w:after="80"/>
        <w:jc w:val="center"/>
      </w:pPr>
      <w:r>
        <w:rPr>
          <w:b/>
          <w:color w:val="C00000"/>
          <w:sz w:val="22"/>
        </w:rPr>
        <w:t>Status: Active — Multi-Tenant, Contract-Type-Agnostic</w:t>
      </w:r>
    </w:p>
    <w:p>
      <w:pPr>
        <w:spacing w:after="80" w:before="200"/>
        <w:jc w:val="center"/>
      </w:pPr>
      <w:r>
        <w:rPr>
          <w:i/>
          <w:iCs/>
          <w:color w:val="595959"/>
          <w:sz w:val="20"/>
          <w:szCs w:val="20"/>
        </w:rPr>
        <w:t xml:space="preserve">Steering Group: Vincent Calianno (System Owner), Sandelin Sikes (Legal)</w:t>
      </w:r>
    </w:p>
    <w:p>
      <w:r>
        <w:br w:type="page"/>
      </w:r>
    </w:p>
    <w:p>
      <w:pPr>
        <w:pStyle w:val="Heading1"/>
        <w:spacing w:after="200" w:before="360"/>
      </w:pPr>
      <w:r>
        <w:t xml:space="preserve">Change Log</w:t>
      </w:r>
    </w:p>
    <w:p>
      <w:pPr>
        <w:spacing w:after="120"/>
      </w:pPr>
      <w:r>
        <w:rPr>
          <w:rFonts w:ascii="Arial" w:hAnsi="Arial"/>
          <w:b w:val="0"/>
          <w:i/>
          <w:sz w:val="22"/>
        </w:rPr>
        <w:t>v2.4 (this version) — Completed agent specification sweep: removed MEPA/MPA-specific framing from architectural descriptions of all nine agents while preserving Phase 1 scope statements. Clarified the operational scope as 'any contract Legal routes through an SCM for operational ownership of the negotiation cycle.' Generalized path schemas, tracker references, and templates to be contract-type-parameterized. Phase 1 scope remains MEPAs and MPAs.</w:t>
      </w:r>
    </w:p>
    <w:p>
      <w:pPr>
        <w:spacing w:after="120"/>
      </w:pPr>
      <w:r>
        <w:rPr>
          <w:rFonts w:ascii="Arial" w:hAnsi="Arial"/>
          <w:b w:val="0"/>
          <w:i/>
          <w:sz w:val="22"/>
        </w:rPr>
        <w:t>v2.3 (this version) — Reframed ACP as a contract-type-agnostic negotiation platform. Phase 1 scope (MEPAs and MPAs) explicitly distinguished from architectural scope (any contract type). Added Section 2.5 (Contract Type Extensibility). Updated data model to make contract_type a first-class field. Updated playbook and Knowledge Base schemas to partition by contract type. Added Phase 6+ Contract Type Expansion to the rollout plan. No changes to nine-agent topology, three-layer model, or implementation discipline.</w:t>
      </w:r>
    </w:p>
    <w:p>
      <w:pPr>
        <w:spacing w:after="160" w:before="0"/>
      </w:pPr>
      <w:r>
        <w:t xml:space="preserve">This document supersedes v1.0 (single-tenant design dated May 24, 2026). Material changes from v1 to v2:</w:t>
      </w:r>
    </w:p>
    <w:p>
      <w:pPr>
        <w:pStyle w:val="ListParagraph"/>
        <w:numPr>
          <w:ilvl w:val="0"/>
          <w:numId w:val="2"/>
        </w:numPr>
        <w:spacing w:after="80"/>
      </w:pPr>
      <w:r>
        <w:t xml:space="preserve">Rebranded to Agent Contract Platform (ACP); v1 was untitled with working name 'MEPA/MPA Multi-Agent Architecture.'</w:t>
      </w:r>
    </w:p>
    <w:p>
      <w:pPr>
        <w:pStyle w:val="ListParagraph"/>
        <w:numPr>
          <w:ilvl w:val="0"/>
          <w:numId w:val="2"/>
        </w:numPr>
        <w:spacing w:after="80"/>
      </w:pPr>
      <w:r>
        <w:t xml:space="preserve">Architecture expanded from 8 to 9 agents. New Agent 9 (Portfolio Aggregator) consolidates team-level views from per-SCM trackers.</w:t>
      </w:r>
    </w:p>
    <w:p>
      <w:pPr>
        <w:pStyle w:val="ListParagraph"/>
        <w:numPr>
          <w:ilvl w:val="0"/>
          <w:numId w:val="2"/>
        </w:numPr>
        <w:spacing w:after="80"/>
      </w:pPr>
      <w:r>
        <w:t xml:space="preserve">Multi-tenant design supporting four supply chain managers: Vincent Calianno, Tom Butler, Emily Wang, and Mugdha Thakkar.</w:t>
      </w:r>
    </w:p>
    <w:p>
      <w:pPr>
        <w:pStyle w:val="ListParagraph"/>
        <w:numPr>
          <w:ilvl w:val="0"/>
          <w:numId w:val="2"/>
        </w:numPr>
        <w:spacing w:after="80"/>
      </w:pPr>
      <w:r>
        <w:t xml:space="preserve">Per-SCM tracker architecture replaces single shared tracker. All SCMs use identical schema; Agent 9 produces consolidated master view.</w:t>
      </w:r>
    </w:p>
    <w:p>
      <w:pPr>
        <w:pStyle w:val="ListParagraph"/>
        <w:numPr>
          <w:ilvl w:val="0"/>
          <w:numId w:val="2"/>
        </w:numPr>
        <w:spacing w:after="80"/>
      </w:pPr>
      <w:r>
        <w:t xml:space="preserve">New Section 4 on Tenancy Model, Roles, and Permissions.</w:t>
      </w:r>
    </w:p>
    <w:p>
      <w:pPr>
        <w:pStyle w:val="ListParagraph"/>
        <w:numPr>
          <w:ilvl w:val="0"/>
          <w:numId w:val="2"/>
        </w:numPr>
        <w:spacing w:after="80"/>
      </w:pPr>
      <w:r>
        <w:t xml:space="preserve">New Section 10 on Change Management and Peer Onboarding.</w:t>
      </w:r>
    </w:p>
    <w:p>
      <w:pPr>
        <w:pStyle w:val="ListParagraph"/>
        <w:numPr>
          <w:ilvl w:val="0"/>
          <w:numId w:val="2"/>
        </w:numPr>
        <w:spacing w:after="80"/>
      </w:pPr>
      <w:r>
        <w:t xml:space="preserve">New Section 11 on Governance (Steering Group structure, cadence, escalation paths).</w:t>
      </w:r>
    </w:p>
    <w:p>
      <w:pPr>
        <w:pStyle w:val="ListParagraph"/>
        <w:numPr>
          <w:ilvl w:val="0"/>
          <w:numId w:val="2"/>
        </w:numPr>
        <w:spacing w:after="80"/>
      </w:pPr>
      <w:r>
        <w:t xml:space="preserve">Rollout plan expanded from 4 to 5 phases. Phases 1–3 are Vincent solo pilot. Phase 4 onboards one peer SCM (TBD). Phase 5 is full team rollout.</w:t>
      </w:r>
    </w:p>
    <w:p>
      <w:pPr>
        <w:pStyle w:val="ListParagraph"/>
        <w:numPr>
          <w:ilvl w:val="0"/>
          <w:numId w:val="2"/>
        </w:numPr>
        <w:spacing w:after="80"/>
      </w:pPr>
      <w:r>
        <w:t xml:space="preserve">Risks section updated. Sandelin throughput becomes top-rated risk in multi-tenant context.</w:t>
      </w:r>
    </w:p>
    <w:p>
      <w:pPr>
        <w:pStyle w:val="ListParagraph"/>
        <w:numPr>
          <w:ilvl w:val="0"/>
          <w:numId w:val="2"/>
        </w:numPr>
        <w:spacing w:after="80"/>
      </w:pPr>
      <w:r>
        <w:t xml:space="preserve">Success metrics expanded to include team-level and platform-level KPIs.</w:t>
      </w:r>
    </w:p>
    <w:p>
      <w:pPr>
        <w:pStyle w:val="Heading2"/>
        <w:spacing w:after="160" w:before="280"/>
      </w:pPr>
      <w:r>
        <w:t xml:space="preserve">Open Items Carried Into v2 for Steering Group Resolution</w:t>
      </w:r>
    </w:p>
    <w:p>
      <w:pPr>
        <w:pStyle w:val="ListParagraph"/>
        <w:numPr>
          <w:ilvl w:val="0"/>
          <w:numId w:val="2"/>
        </w:numPr>
        <w:spacing w:after="80"/>
      </w:pPr>
      <w:r>
        <w:t xml:space="preserve">Phase 4 pilot peer selection — Tom, Emily, or Mugdha.</w:t>
      </w:r>
    </w:p>
    <w:p>
      <w:pPr>
        <w:pStyle w:val="ListParagraph"/>
        <w:numPr>
          <w:ilvl w:val="0"/>
          <w:numId w:val="2"/>
        </w:numPr>
        <w:spacing w:after="80"/>
      </w:pPr>
      <w:r>
        <w:t xml:space="preserve">Steering group meeting cadence (monthly, quarterly, or ad hoc).</w:t>
      </w:r>
    </w:p>
    <w:p>
      <w:pPr>
        <w:pStyle w:val="ListParagraph"/>
        <w:numPr>
          <w:ilvl w:val="0"/>
          <w:numId w:val="2"/>
        </w:numPr>
        <w:spacing w:after="80"/>
      </w:pPr>
      <w:r>
        <w:t xml:space="preserve">Ranjeet Mankikar's involvement level (default assumption: read-only stakeholder with weekly executive summary).</w:t>
      </w:r>
    </w:p>
    <w:p>
      <w:pPr>
        <w:pStyle w:val="ListParagraph"/>
        <w:numPr>
          <w:ilvl w:val="0"/>
          <w:numId w:val="2"/>
        </w:numPr>
        <w:spacing w:after="80"/>
      </w:pPr>
      <w:r>
        <w:t xml:space="preserve">Legal Reference Sheet template structure — Vincent to provide as .docx.</w:t>
      </w:r>
    </w:p>
    <w:p>
      <w:pPr>
        <w:pStyle w:val="ListParagraph"/>
        <w:numPr>
          <w:ilvl w:val="0"/>
          <w:numId w:val="2"/>
        </w:numPr>
        <w:spacing w:after="80"/>
      </w:pPr>
      <w:r>
        <w:rPr/>
        <w:t>Sandelin's delegated Gmail access for outbound contract initiation detection (Phase 1: applies to MEPA and MPA initiations from Legal).</w:t>
      </w:r>
    </w:p>
    <w:p>
      <w:pPr>
        <w:pStyle w:val="ListParagraph"/>
        <w:numPr>
          <w:ilvl w:val="0"/>
          <w:numId w:val="2"/>
        </w:numPr>
        <w:spacing w:after="80"/>
      </w:pPr>
      <w:r>
        <w:t xml:space="preserve">Existing peer SCM tracker discovery — deferred until Phase 4 pilot.</w:t>
      </w:r>
    </w:p>
    <w:p>
      <w:pPr>
        <w:pStyle w:val="ListParagraph"/>
        <w:numPr>
          <w:ilvl w:val="0"/>
          <w:numId w:val="2"/>
        </w:numPr>
        <w:spacing w:after="80"/>
      </w:pPr>
      <w:r>
        <w:t xml:space="preserve">Knowledge Base seed corpus contributions from Tom, Emily, and Mugdha (Phase 5).</w:t>
      </w:r>
    </w:p>
    <w:p>
      <w:r>
        <w:br w:type="page"/>
      </w:r>
    </w:p>
    <w:p>
      <w:pPr>
        <w:pStyle w:val="Heading1"/>
        <w:spacing w:after="200" w:before="360"/>
      </w:pPr>
      <w:r>
        <w:t xml:space="preserve">1. Executive Summary</w:t>
      </w:r>
    </w:p>
    <w:p>
      <w:pPr>
        <w:spacing w:after="120" w:before="0"/>
      </w:pPr>
      <w:r>
        <w:rPr/>
        <w:t>The Agent Contract Platform (ACP) is a nine-agent automation system that ingests, analyzes, and responds to counterparty redlines on contract negotiations across Antora Energy's supply chain management team. ACP is architecturally agnostic to contract type: the same nine agents, three layers, and tenancy model handle any contract that follows a redline-cycle negotiation pattern. Phase 1 scope targets Master Equipment Purchase Agreements (MEPAs) and Master Purchase Agreements (MPAs) across Antora's four-person SCM team; the architecture is designed to extend to additional contract types and additional departments in later phases without code changes. The platform reduces per-round legal review cycle time from days to hours, compounds negotiation expertise across the team through a shared precedent library, and preserves Sandelin Sikes' authority as the legal reviewer on every outbound counter-proposal.</w:t>
      </w:r>
    </w:p>
    <w:p>
      <w:pPr>
        <w:pStyle w:val="Heading3"/>
        <w:spacing w:after="120" w:before="220"/>
      </w:pPr>
      <w:r>
        <w:t xml:space="preserve">Problem Statement</w:t>
      </w:r>
    </w:p>
    <w:p>
      <w:pPr>
        <w:spacing w:after="120" w:before="0"/>
      </w:pPr>
      <w:r>
        <w:t xml:space="preserve">Antora's four supply chain managers (Vincent Calianno, Tom Butler, Emily Wang, Mugdha Thakkar) collectively manage well over 100 supplier relationships requiring contractual agreements. MEPA and MPA negotiations are multi-round, precedent-driven, and consume substantial Staff-level time on mechanical work (diff comparison, clause-by-clause analysis, counter-proposal drafting, Legal Reference Sheet population). Today this work is duplicated across SCMs with no shared precedent base; each manager re-derives positions that peers have already resolved. Sandelin reviews every Legal Reference Sheet from every SCM with no consolidated queue or prioritization.</w:t>
      </w:r>
    </w:p>
    <w:p>
      <w:pPr>
        <w:pStyle w:val="Heading3"/>
        <w:spacing w:after="120" w:before="220"/>
      </w:pPr>
      <w:r>
        <w:t xml:space="preserve">Solution Summary</w:t>
      </w:r>
    </w:p>
    <w:p>
      <w:pPr>
        <w:spacing w:after="120" w:before="0"/>
      </w:pPr>
      <w:r>
        <w:t xml:space="preserve">ACP provides nine specialized agents organized in three layers (Ingestion &amp; State Management, Analysis &amp; Reasoning, Output &amp; Coordination) plus a shared Knowledge Base that accumulates precedent from every analyzed redline across the team. Each SCM operates against their own tracker using an identical schema; Agent 9 (Portfolio Aggregator) produces consolidated read-only views for team coordination, Sandelin's review queue, and executive reporting. The system is multi-tenant from the start but rolls out in phases beginning with Vincent as solo pilot.</w:t>
      </w:r>
    </w:p>
    <w:p>
      <w:pPr>
        <w:pStyle w:val="Heading3"/>
        <w:spacing w:after="120" w:before="220"/>
      </w:pPr>
      <w:r>
        <w:t xml:space="preserve">Key Outcomes</w:t>
      </w:r>
    </w:p>
    <w:p>
      <w:pPr>
        <w:pStyle w:val="ListParagraph"/>
        <w:numPr>
          <w:ilvl w:val="0"/>
          <w:numId w:val="2"/>
        </w:numPr>
        <w:spacing w:after="80"/>
      </w:pPr>
      <w:r>
        <w:t xml:space="preserve">Reduce per-round redline-to-LRS cycle time from 1–3 business days to under 4 business hours across all four SCMs.</w:t>
      </w:r>
    </w:p>
    <w:p>
      <w:pPr>
        <w:pStyle w:val="ListParagraph"/>
        <w:numPr>
          <w:ilvl w:val="0"/>
          <w:numId w:val="2"/>
        </w:numPr>
        <w:spacing w:after="80"/>
      </w:pPr>
      <w:r>
        <w:t xml:space="preserve">Eliminate duplicated negotiation work across the team; every SCM benefits from every other SCM's precedents.</w:t>
      </w:r>
    </w:p>
    <w:p>
      <w:pPr>
        <w:pStyle w:val="ListParagraph"/>
        <w:numPr>
          <w:ilvl w:val="0"/>
          <w:numId w:val="2"/>
        </w:numPr>
        <w:spacing w:after="80"/>
      </w:pPr>
      <w:r>
        <w:t xml:space="preserve">Single consolidated Sandelin queue with prioritization and stalled-deal flagging.</w:t>
      </w:r>
    </w:p>
    <w:p>
      <w:pPr>
        <w:pStyle w:val="ListParagraph"/>
        <w:numPr>
          <w:ilvl w:val="0"/>
          <w:numId w:val="2"/>
        </w:numPr>
        <w:spacing w:after="80"/>
      </w:pPr>
      <w:r>
        <w:t xml:space="preserve">Auto-flag known high-risk clause combinations (e.g., the consequential + direct damages combination first surfaced in MCM Engineering negotiation).</w:t>
      </w:r>
    </w:p>
    <w:p>
      <w:pPr>
        <w:pStyle w:val="ListParagraph"/>
        <w:numPr>
          <w:ilvl w:val="0"/>
          <w:numId w:val="2"/>
        </w:numPr>
        <w:spacing w:after="80"/>
      </w:pPr>
      <w:r>
        <w:t xml:space="preserve">Free Staff-level supply chain hours across all four SCMs for executive supplier relationship work and strategic should-cost analysis.</w:t>
      </w:r>
    </w:p>
    <w:p>
      <w:pPr>
        <w:pStyle w:val="ListParagraph"/>
        <w:numPr>
          <w:ilvl w:val="0"/>
          <w:numId w:val="2"/>
        </w:numPr>
        <w:spacing w:after="80"/>
      </w:pPr>
      <w:r>
        <w:t xml:space="preserve">Provide Ranjeet Mankikar with portfolio-level visibility into all active contract negotiations team-wide.</w:t>
      </w:r>
    </w:p>
    <w:p>
      <w:pPr>
        <w:pStyle w:val="Heading3"/>
        <w:spacing w:after="120" w:before="220"/>
      </w:pPr>
      <w:r>
        <w:t xml:space="preserve">Scope</w:t>
      </w:r>
    </w:p>
    <w:p>
      <w:pPr>
        <w:spacing w:after="120" w:before="0"/>
      </w:pPr>
      <w:r>
        <w:rPr/>
        <w:t>In scope (Phase 1): MEPA and MPA negotiations with US-domiciled and international suppliers across BOP-EE, BOP-Service, and MTS Parts categories within Antora's SCM team. Architecturally in scope (Phase 6+): any redline-cycle contract type Antora negotiates (NDAs, MSAs for services, Purchase Orders requiring T&amp;Cs negotiation, customer commercial agreements, employment agreements, IP agreements), pending Steering Group approval and Legal Counsel onboarding for the new contract category. Out of scope (Phase 1): all contract types listed above as Phase 6+. Out of architectural scope (any phase): one-off bespoke contracts that do not follow a redline-cycle pattern.</w:t>
      </w:r>
    </w:p>
    <w:p>
      <w:r>
        <w:br w:type="page"/>
      </w:r>
    </w:p>
    <w:p>
      <w:pPr>
        <w:pStyle w:val="Heading1"/>
        <w:spacing w:after="200" w:before="360"/>
      </w:pPr>
      <w:r>
        <w:t xml:space="preserve">2. Design Principles</w:t>
      </w:r>
    </w:p>
    <w:p>
      <w:pPr>
        <w:spacing w:after="120" w:before="0"/>
      </w:pPr>
      <w:r>
        <w:t xml:space="preserve">Nine principles govern every design decision in ACP. Where future implementation choices create tension between principles, Principle 2.1 (Human Authority) is paramount.</w:t>
      </w:r>
    </w:p>
    <w:p>
      <w:pPr>
        <w:pStyle w:val="Heading2"/>
        <w:spacing w:after="160" w:before="280"/>
      </w:pPr>
      <w:r>
        <w:t xml:space="preserve">2.1 Human Authority</w:t>
      </w:r>
    </w:p>
    <w:p>
      <w:pPr>
        <w:spacing w:after="120" w:before="0"/>
      </w:pPr>
      <w:r>
        <w:t xml:space="preserve">ACP augments Sandelin's legal review; it never bypasses it. No counter-proposal, no clause acceptance, and no outbound communication to a supplier is dispatched without human review at the designated gate. The platform's role ends at delivering a complete, well-reasoned Legal Reference Sheet to Sandelin.</w:t>
      </w:r>
    </w:p>
    <w:p>
      <w:pPr>
        <w:pStyle w:val="Heading2"/>
        <w:spacing w:after="160" w:before="280"/>
      </w:pPr>
      <w:r>
        <w:t xml:space="preserve">2.2 Single Responsibility per Agent</w:t>
      </w:r>
    </w:p>
    <w:p>
      <w:pPr>
        <w:spacing w:after="120" w:before="0"/>
      </w:pPr>
      <w:r>
        <w:t xml:space="preserve">Each agent has exactly one job. This enables independent testing, independent deployment, independent failure recovery, and clean cost allocation by LLM tier.</w:t>
      </w:r>
    </w:p>
    <w:p>
      <w:pPr>
        <w:pStyle w:val="Heading2"/>
        <w:spacing w:after="160" w:before="280"/>
      </w:pPr>
      <w:r>
        <w:t xml:space="preserve">2.3 Right Model Tier per Task</w:t>
      </w:r>
    </w:p>
    <w:p>
      <w:pPr>
        <w:spacing w:after="120" w:before="0"/>
      </w:pPr>
      <w:r>
        <w:t xml:space="preserve">LLM cost varies by an order of magnitude between Haiku, Sonnet, and Opus. Classification tasks get Haiku. Drafting tasks get Sonnet. Deep legal reasoning gets Opus. Deterministic tasks (diffing, file I/O, aggregation) get no LLM at all.</w:t>
      </w:r>
    </w:p>
    <w:p>
      <w:pPr>
        <w:pStyle w:val="Heading2"/>
        <w:spacing w:after="160" w:before="280"/>
      </w:pPr>
      <w:r>
        <w:t xml:space="preserve">2.4 Tenant-Scoped State, Shared Intelligence</w:t>
      </w:r>
    </w:p>
    <w:p>
      <w:pPr>
        <w:spacing w:after="120" w:before="0"/>
      </w:pPr>
      <w:r>
        <w:t xml:space="preserve">Each SCM owns their own tracker as the write surface for their negotiations. The Knowledge Base, playbook, templates, and Sandelin queue are shared assets that compound team-wide value. Per-SCM tracker writes never cross tenant boundaries; precedent reasoning always crosses them.</w:t>
      </w:r>
    </w:p>
    <w:p>
      <w:pPr>
        <w:pStyle w:val="Heading2"/>
        <w:spacing w:after="160" w:before="280"/>
      </w:pPr>
      <w:r>
        <w:t xml:space="preserve">2.5 Immutable Audit Trail</w:t>
      </w:r>
    </w:p>
    <w:p>
      <w:pPr>
        <w:spacing w:after="120" w:before="0"/>
      </w:pPr>
      <w:r>
        <w:t xml:space="preserve">Every agent decision, every input, every output is logged to an append-only audit store, scoped by SCM. For legal work this is non-negotiable: Vincent, Sandelin, and the affected SCM must be able to reconstruct exactly why any recommendation was made, when, and with what evidence.</w:t>
      </w:r>
    </w:p>
    <w:p>
      <w:pPr>
        <w:pStyle w:val="Heading2"/>
        <w:spacing w:after="160" w:before="280"/>
      </w:pPr>
      <w:r>
        <w:t xml:space="preserve">2.6 Graceful Degradation</w:t>
      </w:r>
    </w:p>
    <w:p>
      <w:pPr>
        <w:spacing w:after="120" w:before="0"/>
      </w:pPr>
      <w:r>
        <w:t xml:space="preserve">Layer failures do not cascade across tenants or layers. If one SCM's pipeline encounters an error, the other three SCMs' pipelines continue uninterrupted.</w:t>
      </w:r>
    </w:p>
    <w:p>
      <w:pPr>
        <w:pStyle w:val="Heading2"/>
        <w:spacing w:after="160" w:before="280"/>
      </w:pPr>
      <w:r>
        <w:t xml:space="preserve">2.7 Precedent-Driven Reasoning</w:t>
      </w:r>
    </w:p>
    <w:p>
      <w:pPr>
        <w:spacing w:after="120" w:before="0"/>
      </w:pPr>
      <w:r>
        <w:t xml:space="preserve">The Knowledge Base is the platform's compounding asset. Every analyzed redline, every Sandelin override, every accepted counter-proposal from every SCM is captured and made available to future reasoning passes. The seed corpus is Vincent's existing completed work; Tom, Emily, and Mugdha's contributions begin in Phase 5.</w:t>
      </w:r>
    </w:p>
    <w:p>
      <w:pPr>
        <w:pStyle w:val="Heading2"/>
        <w:spacing w:after="160" w:before="280"/>
      </w:pPr>
      <w:r>
        <w:t xml:space="preserve">2.8 Observable State</w:t>
      </w:r>
    </w:p>
    <w:p>
      <w:pPr>
        <w:spacing w:after="120" w:before="0"/>
      </w:pPr>
      <w:r>
        <w:t xml:space="preserve">At any moment, any SCM, Vincent, Ranjeet, or Sandelin can query their authorized scope and know exactly where every negotiation stands. Agent 9 (Portfolio Aggregator) maintains team-level views; per-SCM views remain accessible through individual trackers.</w:t>
      </w:r>
    </w:p>
    <w:p>
      <w:pPr>
        <w:pStyle w:val="Heading2"/>
        <w:spacing w:after="160" w:before="280"/>
      </w:pPr>
      <w:r>
        <w:t xml:space="preserve">2.9 Opt-Out Capability</w:t>
      </w:r>
    </w:p>
    <w:p>
      <w:pPr>
        <w:spacing w:after="120" w:before="0"/>
      </w:pPr>
      <w:r>
        <w:t xml:space="preserve">Any SCM can pause ACP processing for their own negotiations at any time without affecting other tenants. Pause flags are honored across all agents. This supports PTO coverage, sensitive negotiations requiring manual handling, and individual workflow preferences.</w:t>
      </w:r>
    </w:p>
    <w:p>
      <w:pPr>
        <w:spacing w:before="280" w:after="160"/>
        <w:outlineLvl w:val="1"/>
      </w:pPr>
      <w:r>
        <w:rPr>
          <w:rFonts w:ascii="Arial" w:hAnsi="Arial"/>
          <w:b/>
          <w:i w:val="0"/>
          <w:color w:val="2E75B6"/>
          <w:sz w:val="26"/>
        </w:rPr>
        <w:t>2.10 Contract Type Extensibility</w:t>
      </w:r>
    </w:p>
    <w:p>
      <w:pPr>
        <w:spacing w:after="120"/>
      </w:pPr>
      <w:r>
        <w:rPr>
          <w:rFonts w:ascii="Arial" w:hAnsi="Arial"/>
          <w:b w:val="0"/>
          <w:i w:val="0"/>
          <w:sz w:val="22"/>
        </w:rPr>
        <w:t>ACP is architecturally agnostic to contract type. The nine-agent topology, the three-layer model, and the tenancy enforcement work identically for any contract that follows a redline-cycle pattern: an outbound draft, a counterparty redline, an analysis pass, a counter-proposal, and repeat until execution or termination. This principle has direct consequences for what changes when a new contract type enters scope.</w:t>
      </w:r>
    </w:p>
    <w:p>
      <w:pPr>
        <w:spacing w:before="220" w:after="120"/>
        <w:outlineLvl w:val="2"/>
      </w:pPr>
      <w:r>
        <w:rPr>
          <w:rFonts w:ascii="Arial" w:hAnsi="Arial"/>
          <w:b/>
          <w:i w:val="0"/>
          <w:color w:val="1F3864"/>
          <w:sz w:val="22"/>
        </w:rPr>
        <w:t>What does not change when adding a contract type</w:t>
      </w:r>
    </w:p>
    <w:p>
      <w:pPr>
        <w:spacing w:after="80"/>
        <w:ind w:left="720" w:hanging="360"/>
      </w:pPr>
      <w:r>
        <w:rPr>
          <w:rFonts w:ascii="Arial" w:hAnsi="Arial"/>
          <w:b w:val="0"/>
          <w:i w:val="0"/>
          <w:sz w:val="22"/>
        </w:rPr>
        <w:t>• Layer A (architecture pattern): unchanged. The agents, layers, principles, state machine, and tenancy model are reused as-is.</w:t>
      </w:r>
    </w:p>
    <w:p>
      <w:pPr>
        <w:spacing w:after="80"/>
        <w:ind w:left="720" w:hanging="360"/>
      </w:pPr>
      <w:r>
        <w:rPr>
          <w:rFonts w:ascii="Arial" w:hAnsi="Arial"/>
          <w:b w:val="0"/>
          <w:i w:val="0"/>
          <w:sz w:val="22"/>
        </w:rPr>
        <w:t>• Layer B (implementation code): unchanged. Agents call adapters and load playbook rules by clause type; the code is contract-type-agnostic.</w:t>
      </w:r>
    </w:p>
    <w:p>
      <w:pPr>
        <w:spacing w:after="80"/>
        <w:ind w:left="720" w:hanging="360"/>
      </w:pPr>
      <w:r>
        <w:rPr>
          <w:rFonts w:ascii="Arial" w:hAnsi="Arial"/>
          <w:b w:val="0"/>
          <w:i w:val="0"/>
          <w:sz w:val="22"/>
        </w:rPr>
        <w:t>• Tenancy model: unchanged. The same SCM-scoped tenancy applies; cross-department additions add tenants without changing the model.</w:t>
      </w:r>
    </w:p>
    <w:p>
      <w:pPr>
        <w:spacing w:after="80"/>
        <w:ind w:left="720" w:hanging="360"/>
      </w:pPr>
      <w:r>
        <w:rPr>
          <w:rFonts w:ascii="Arial" w:hAnsi="Arial"/>
          <w:b w:val="0"/>
          <w:i w:val="0"/>
          <w:sz w:val="22"/>
        </w:rPr>
        <w:t>• SLA targets and Phase 1-5 rollout pattern: the same operational pattern applies to additional contract types.</w:t>
      </w:r>
    </w:p>
    <w:p>
      <w:pPr>
        <w:spacing w:before="220" w:after="120"/>
        <w:outlineLvl w:val="2"/>
      </w:pPr>
      <w:r>
        <w:rPr>
          <w:rFonts w:ascii="Arial" w:hAnsi="Arial"/>
          <w:b/>
          <w:i w:val="0"/>
          <w:color w:val="1F3864"/>
          <w:sz w:val="22"/>
        </w:rPr>
        <w:t>What does change when adding a contract type</w:t>
      </w:r>
    </w:p>
    <w:p>
      <w:pPr>
        <w:spacing w:after="80"/>
        <w:ind w:left="720" w:hanging="360"/>
      </w:pPr>
      <w:r>
        <w:rPr>
          <w:rFonts w:ascii="Arial" w:hAnsi="Arial"/>
          <w:b w:val="0"/>
          <w:i w:val="0"/>
          <w:sz w:val="22"/>
        </w:rPr>
        <w:t>• Layer C content (the substantive work): templates for the new contract type, playbook rules covering its specific clauses, knowledge base entries for the new corpus.</w:t>
      </w:r>
    </w:p>
    <w:p>
      <w:pPr>
        <w:spacing w:after="80"/>
        <w:ind w:left="720" w:hanging="360"/>
      </w:pPr>
      <w:r>
        <w:rPr>
          <w:rFonts w:ascii="Arial" w:hAnsi="Arial"/>
          <w:b w:val="0"/>
          <w:i w:val="0"/>
          <w:sz w:val="22"/>
        </w:rPr>
        <w:t>• Configuration: the contract_type field is set on each negotiation; the playbook is loaded by contract_type → clause_type rather than flat clause_type.</w:t>
      </w:r>
    </w:p>
    <w:p>
      <w:pPr>
        <w:spacing w:after="80"/>
        <w:ind w:left="720" w:hanging="360"/>
      </w:pPr>
      <w:r>
        <w:rPr>
          <w:rFonts w:ascii="Arial" w:hAnsi="Arial"/>
          <w:b w:val="0"/>
          <w:i w:val="0"/>
          <w:sz w:val="22"/>
        </w:rPr>
        <w:t>• Stakeholder mapping: if a different legal reviewer handles the new contract type (e.g., customer commercial agreements may go to General Counsel rather than Sandelin), the routing configuration adds that reviewer.</w:t>
      </w:r>
    </w:p>
    <w:p>
      <w:pPr>
        <w:spacing w:after="80"/>
        <w:ind w:left="720" w:hanging="360"/>
      </w:pPr>
      <w:r>
        <w:rPr>
          <w:rFonts w:ascii="Arial" w:hAnsi="Arial"/>
          <w:b w:val="0"/>
          <w:i w:val="0"/>
          <w:sz w:val="22"/>
        </w:rPr>
        <w:t>• Knowledge base partitioning: the shared KB extends to include the new contract type, indexed first by contract_type then by clause_type.</w:t>
      </w:r>
    </w:p>
    <w:p>
      <w:pPr>
        <w:spacing w:before="220" w:after="120"/>
        <w:outlineLvl w:val="2"/>
      </w:pPr>
      <w:r>
        <w:rPr>
          <w:rFonts w:ascii="Arial" w:hAnsi="Arial"/>
          <w:b/>
          <w:i w:val="0"/>
          <w:color w:val="1F3864"/>
          <w:sz w:val="22"/>
        </w:rPr>
        <w:t>Architectural expansion path (Phase 6 and beyond)</w:t>
      </w:r>
    </w:p>
    <w:p>
      <w:pPr>
        <w:spacing w:after="120"/>
      </w:pPr>
      <w:r>
        <w:rPr>
          <w:rFonts w:ascii="Arial" w:hAnsi="Arial"/>
          <w:b w:val="0"/>
          <w:i w:val="0"/>
          <w:sz w:val="22"/>
        </w:rPr>
        <w:t>The natural sequence for contract type expansion, in approximate order of organizational fit and effort:</w:t>
      </w:r>
    </w:p>
    <w:p>
      <w:pPr>
        <w:spacing w:after="80"/>
        <w:ind w:left="720" w:hanging="360"/>
      </w:pPr>
      <w:r>
        <w:rPr>
          <w:rFonts w:ascii="Arial" w:hAnsi="Arial"/>
          <w:b w:val="0"/>
          <w:i w:val="0"/>
          <w:sz w:val="22"/>
        </w:rPr>
        <w:t>• Phase 6a: NDA agreements within SCM (lowest effort; small playbook, high volume, low legal risk).</w:t>
      </w:r>
    </w:p>
    <w:p>
      <w:pPr>
        <w:spacing w:after="80"/>
        <w:ind w:left="720" w:hanging="360"/>
      </w:pPr>
      <w:r>
        <w:rPr>
          <w:rFonts w:ascii="Arial" w:hAnsi="Arial"/>
          <w:b w:val="0"/>
          <w:i w:val="0"/>
          <w:sz w:val="22"/>
        </w:rPr>
        <w:t>• Phase 6b: MSAs for services within SCM (moderate effort; overlap with existing MEPA/MPA playbook on key clauses).</w:t>
      </w:r>
    </w:p>
    <w:p>
      <w:pPr>
        <w:spacing w:after="80"/>
        <w:ind w:left="720" w:hanging="360"/>
      </w:pPr>
      <w:r>
        <w:rPr>
          <w:rFonts w:ascii="Arial" w:hAnsi="Arial"/>
          <w:b w:val="0"/>
          <w:i w:val="0"/>
          <w:sz w:val="22"/>
        </w:rPr>
        <w:t>• Phase 6c: PO T&amp;Cs negotiations within SCM (moderate effort; reuses MEPA/MPA precedent heavily).</w:t>
      </w:r>
    </w:p>
    <w:p>
      <w:pPr>
        <w:spacing w:after="80"/>
        <w:ind w:left="720" w:hanging="360"/>
      </w:pPr>
      <w:r>
        <w:rPr>
          <w:rFonts w:ascii="Arial" w:hAnsi="Arial"/>
          <w:b w:val="0"/>
          <w:i w:val="0"/>
          <w:sz w:val="22"/>
        </w:rPr>
        <w:t>• Phase 6d: Cross-department expansion to other negotiation-heavy functions (Sales, IP, BD), each introducing its own contract types, Legal Counsel pairing, and playbook content. Significant scope; new Steering Group structure required.</w:t>
      </w:r>
    </w:p>
    <w:p>
      <w:pPr>
        <w:spacing w:after="120"/>
      </w:pPr>
      <w:r>
        <w:rPr>
          <w:rFonts w:ascii="Arial" w:hAnsi="Arial"/>
          <w:b w:val="0"/>
          <w:i w:val="0"/>
          <w:sz w:val="22"/>
        </w:rPr>
        <w:t>The Steering Group approves each Phase 6+ expansion individually. A new contract type may also require onboarding additional Legal Counsel: Sandelin owns commercial supply chain contracts today; expansion into customer agreements, employment agreements, or IP agreements may involve different in-house counsel whose authority and review patterns differ. The architecture supports multiple Legal Reviewers without modification; the routing configuration determines which reviewer receives which LRS based on contract_type and tenancy.</w:t>
      </w:r>
    </w:p>
    <w:p>
      <w:pPr>
        <w:spacing w:after="120"/>
      </w:pPr>
      <w:r>
        <w:rPr>
          <w:rFonts w:ascii="Arial" w:hAnsi="Arial"/>
          <w:b w:val="0"/>
          <w:i/>
          <w:sz w:val="22"/>
        </w:rPr>
        <w:t>Phase 1 explicitly scopes to MEPAs and MPAs to produce a focused, defensible operational win before any Phase 6+ expansion is considered. Premature scope broadening dilutes the Phase 1 success criteria and risks operational issues that undermine the platform's credibility before it has earned it.</w:t>
      </w:r>
    </w:p>
    <w:p>
      <w:r>
        <w:br w:type="page"/>
      </w:r>
    </w:p>
    <w:p>
      <w:pPr>
        <w:pStyle w:val="Heading1"/>
        <w:spacing w:after="200" w:before="360"/>
      </w:pPr>
      <w:r>
        <w:t xml:space="preserve">3. System Architecture Overview</w:t>
      </w:r>
    </w:p>
    <w:p>
      <w:pPr>
        <w:spacing w:after="120" w:before="0"/>
      </w:pPr>
      <w:r>
        <w:rPr/>
        <w:t>ACP comprises nine agents organized in three layers. Layer 1 ingests data and maintains state. Layer 2 reasons about counterparty changes. Layer 3 produces human-reviewable output, coordinates the pipeline, and aggregates cross-tenant views. The architecture is contract-type-agnostic; the data flow described below applies to any redline-cycle negotiation. The Phase 1 examples reference MEPAs and supplier redlines because Phase 1 scope is MEPAs and MPAs.</w:t>
      </w:r>
    </w:p>
    <w:p>
      <w:pPr>
        <w:pStyle w:val="Heading2"/>
        <w:spacing w:after="160" w:before="280"/>
      </w:pPr>
      <w:r>
        <w:t xml:space="preserve">3.1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900"/>
        <w:gridCol w:w="1400"/>
        <w:gridCol w:w="13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Layer</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Agents</w:t>
            </w:r>
          </w:p>
        </w:tc>
        <w:tc>
          <w:tcPr>
            <w:tcW w:type="dxa" w:w="2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Purpose</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LLM Tier</w:t>
            </w:r>
          </w:p>
        </w:tc>
        <w:tc>
          <w:tcPr>
            <w:tcW w:type="dxa" w:w="1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Tenancy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b/>
                <w:bCs/>
                <w:sz w:val="20"/>
                <w:szCs w:val="20"/>
              </w:rPr>
              <w:t xml:space="preserve">Layer 1
Ingestion &amp; State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1. Email Watcher
2. Document Extraction
3. State Manager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Detect MEPA/MPA email events, persist documents to Drive, maintain canonical negotiation state ledger per SCM.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Haiku (Agent 1)
None (Agents 2, 3)</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Per-SCM scoped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b/>
                <w:bCs/>
                <w:sz w:val="20"/>
                <w:szCs w:val="20"/>
              </w:rPr>
              <w:t xml:space="preserve">Layer 2
Analysis &amp; Reasoning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4. Structural Diff
5. Redline Analysis
6. Counter-Proposal Drafting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Produce clause-level diff, apply playbook to recommend accept / reject / negotiate, draft counter-proposal language.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None (Agent 4)
Opus (Agent 5)
Sonnet (Agent 6)</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Per-SCM scoped
(uses shared KB)</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b/>
                <w:bCs/>
                <w:sz w:val="20"/>
                <w:szCs w:val="20"/>
              </w:rPr>
              <w:t xml:space="preserve">Layer 3
Output &amp; Coordination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7. LRS Generator
8. Workflow Orchestrator
9. Portfolio Aggregator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Populate LRS, deliver to Sandelin, coordinate handoffs, enforce SLAs, produce consolidated team-level views.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None (all three)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Per-SCM (7, 8)
Team-wide (9)</w:t>
            </w:r>
          </w:p>
        </w:tc>
      </w:tr>
    </w:tbl>
    <w:p>
      <w:pPr>
        <w:spacing w:before="280"/>
      </w:pPr>
      <w:r>
        <w:t xml:space="preserve"/>
      </w:r>
    </w:p>
    <w:p>
      <w:pPr>
        <w:pStyle w:val="Heading2"/>
        <w:spacing w:after="160" w:before="280"/>
      </w:pPr>
      <w:r>
        <w:t xml:space="preserve">3.2 End-to-End Data Flow</w:t>
      </w:r>
    </w:p>
    <w:p>
      <w:pPr>
        <w:spacing w:after="120" w:before="0"/>
      </w:pPr>
      <w:r>
        <w:t xml:space="preserve">Flow from supplier redline received to Legal Reference Sheet delivered to Sandelin:</w:t>
      </w:r>
    </w:p>
    <w:p>
      <w:pPr>
        <w:pStyle w:val="ListParagraph"/>
        <w:numPr>
          <w:ilvl w:val="0"/>
          <w:numId w:val="2"/>
        </w:numPr>
        <w:spacing w:after="80"/>
      </w:pPr>
      <w:r>
        <w:rPr/>
        <w:t>Agent 1 (Email Watcher) detects an inbound Gmail message on an active contract negotiation thread with a .docx attachment, scoped to the relevant SCM's inbox. The contract may be a MEPA, MPA, or any other contract type the SCM owns operationally (Phase 1: MEPA and MPA only).</w:t>
      </w:r>
    </w:p>
    <w:p>
      <w:pPr>
        <w:pStyle w:val="ListParagraph"/>
        <w:numPr>
          <w:ilvl w:val="0"/>
          <w:numId w:val="2"/>
        </w:numPr>
        <w:spacing w:after="80"/>
      </w:pPr>
      <w:r>
        <w:t xml:space="preserve">Agent 1 emits a state event to Agent 3 (State Manager) for that SCM's scope.</w:t>
      </w:r>
    </w:p>
    <w:p>
      <w:pPr>
        <w:pStyle w:val="ListParagraph"/>
        <w:numPr>
          <w:ilvl w:val="0"/>
          <w:numId w:val="2"/>
        </w:numPr>
        <w:spacing w:after="80"/>
      </w:pPr>
      <w:r>
        <w:t xml:space="preserve">Agent 3 updates that SCM's tracker: Status → 'Redlines Received', Who's Court → SCM owner, Round Number incremented.</w:t>
      </w:r>
    </w:p>
    <w:p>
      <w:pPr>
        <w:pStyle w:val="ListParagraph"/>
        <w:numPr>
          <w:ilvl w:val="0"/>
          <w:numId w:val="2"/>
        </w:numPr>
        <w:spacing w:after="80"/>
      </w:pPr>
      <w:r>
        <w:t xml:space="preserve">Agent 3 triggers Agent 2 (Document Extraction) to persist the .docx to Drive at the canonical SCM-scoped path.</w:t>
      </w:r>
    </w:p>
    <w:p>
      <w:pPr>
        <w:pStyle w:val="ListParagraph"/>
        <w:numPr>
          <w:ilvl w:val="0"/>
          <w:numId w:val="2"/>
        </w:numPr>
        <w:spacing w:after="80"/>
      </w:pPr>
      <w:r>
        <w:t xml:space="preserve">Agent 3 emits 'round_ready_for_analysis' event. Agent 4 produces structural diff.</w:t>
      </w:r>
    </w:p>
    <w:p>
      <w:pPr>
        <w:pStyle w:val="ListParagraph"/>
        <w:numPr>
          <w:ilvl w:val="0"/>
          <w:numId w:val="2"/>
        </w:numPr>
        <w:spacing w:after="80"/>
      </w:pPr>
      <w:r>
        <w:t xml:space="preserve">Agent 5 (Redline Analysis) reasons about each diff entry, citing precedents from the shared Knowledge Base across all SCMs.</w:t>
      </w:r>
    </w:p>
    <w:p>
      <w:pPr>
        <w:pStyle w:val="ListParagraph"/>
        <w:numPr>
          <w:ilvl w:val="0"/>
          <w:numId w:val="2"/>
        </w:numPr>
        <w:spacing w:after="80"/>
      </w:pPr>
      <w:r>
        <w:t xml:space="preserve">Agent 6 (Counter-Proposal Drafting) drafts counter-proposal language for reject/negotiate items.</w:t>
      </w:r>
    </w:p>
    <w:p>
      <w:pPr>
        <w:pStyle w:val="ListParagraph"/>
        <w:numPr>
          <w:ilvl w:val="0"/>
          <w:numId w:val="2"/>
        </w:numPr>
        <w:spacing w:after="80"/>
      </w:pPr>
      <w:r>
        <w:t xml:space="preserve">Agent 7 (LRS Generator) populates the Legal Reference Sheet and sends it to Sandelin with the SCM CC'd.</w:t>
      </w:r>
    </w:p>
    <w:p>
      <w:pPr>
        <w:pStyle w:val="ListParagraph"/>
        <w:numPr>
          <w:ilvl w:val="0"/>
          <w:numId w:val="2"/>
        </w:numPr>
        <w:spacing w:after="80"/>
      </w:pPr>
      <w:r>
        <w:t xml:space="preserve">Agent 9 (Portfolio Aggregator) refreshes the consolidated master view including Sandelin's prioritized queue.</w:t>
      </w:r>
    </w:p>
    <w:p>
      <w:pPr>
        <w:pStyle w:val="ListParagraph"/>
        <w:numPr>
          <w:ilvl w:val="0"/>
          <w:numId w:val="2"/>
        </w:numPr>
        <w:spacing w:after="80"/>
      </w:pPr>
      <w:r>
        <w:t xml:space="preserve">Agent 8 (Orchestrator) posts consolidated Slack updates and stamps the audit log.</w:t>
      </w:r>
    </w:p>
    <w:p>
      <w:pPr>
        <w:pStyle w:val="Heading2"/>
        <w:spacing w:after="160" w:before="280"/>
      </w:pPr>
      <w:r>
        <w:t xml:space="preserve">3.3 SLA Targets</w:t>
      </w:r>
    </w:p>
    <w:p>
      <w:pPr>
        <w:pStyle w:val="ListParagraph"/>
        <w:numPr>
          <w:ilvl w:val="0"/>
          <w:numId w:val="2"/>
        </w:numPr>
        <w:spacing w:after="80"/>
      </w:pPr>
      <w:r>
        <w:t xml:space="preserve">Supplier redline detected → State Manager updated: ≤ 2 minutes after next email poll.</w:t>
      </w:r>
    </w:p>
    <w:p>
      <w:pPr>
        <w:pStyle w:val="ListParagraph"/>
        <w:numPr>
          <w:ilvl w:val="0"/>
          <w:numId w:val="2"/>
        </w:numPr>
        <w:spacing w:after="80"/>
      </w:pPr>
      <w:r>
        <w:t xml:space="preserve">State Manager updated → Structural Diff produced: ≤ 5 minutes.</w:t>
      </w:r>
    </w:p>
    <w:p>
      <w:pPr>
        <w:pStyle w:val="ListParagraph"/>
        <w:numPr>
          <w:ilvl w:val="0"/>
          <w:numId w:val="2"/>
        </w:numPr>
        <w:spacing w:after="80"/>
      </w:pPr>
      <w:r>
        <w:t xml:space="preserve">Structural Diff complete → Redline Analysis complete: ≤ 15 minutes for documents up to 50 clauses.</w:t>
      </w:r>
    </w:p>
    <w:p>
      <w:pPr>
        <w:pStyle w:val="ListParagraph"/>
        <w:numPr>
          <w:ilvl w:val="0"/>
          <w:numId w:val="2"/>
        </w:numPr>
        <w:spacing w:after="80"/>
      </w:pPr>
      <w:r>
        <w:t xml:space="preserve">Redline Analysis complete → Counter-Proposals drafted: ≤ 15 minutes.</w:t>
      </w:r>
    </w:p>
    <w:p>
      <w:pPr>
        <w:pStyle w:val="ListParagraph"/>
        <w:numPr>
          <w:ilvl w:val="0"/>
          <w:numId w:val="2"/>
        </w:numPr>
        <w:spacing w:after="80"/>
      </w:pPr>
      <w:r>
        <w:t xml:space="preserve">All upstream complete → LRS delivered to Sandelin: ≤ 5 minutes.</w:t>
      </w:r>
    </w:p>
    <w:p>
      <w:pPr>
        <w:pStyle w:val="ListParagraph"/>
        <w:numPr>
          <w:ilvl w:val="0"/>
          <w:numId w:val="2"/>
        </w:numPr>
        <w:spacing w:after="80"/>
      </w:pPr>
      <w:r>
        <w:t xml:space="preserve">End-to-end target: ≤ 4 business hours from supplier email arrival to Sandelin receiving the LRS.</w:t>
      </w:r>
    </w:p>
    <w:p>
      <w:pPr>
        <w:pStyle w:val="ListParagraph"/>
        <w:numPr>
          <w:ilvl w:val="0"/>
          <w:numId w:val="2"/>
        </w:numPr>
        <w:spacing w:after="80"/>
      </w:pPr>
      <w:r>
        <w:t xml:space="preserve">Portfolio Aggregator master view refresh: every 15 minutes during business hours.</w:t>
      </w:r>
    </w:p>
    <w:p>
      <w:r>
        <w:br w:type="page"/>
      </w:r>
    </w:p>
    <w:p>
      <w:pPr>
        <w:pStyle w:val="Heading1"/>
        <w:spacing w:after="200" w:before="360"/>
      </w:pPr>
      <w:r>
        <w:t xml:space="preserve">4. Tenancy Model, Roles &amp; Permissions</w:t>
      </w:r>
    </w:p>
    <w:p>
      <w:pPr>
        <w:pStyle w:val="Heading2"/>
        <w:spacing w:after="160" w:before="280"/>
      </w:pPr>
      <w:r>
        <w:t xml:space="preserve">4.1 Tenancy Architecture</w:t>
      </w:r>
    </w:p>
    <w:p>
      <w:pPr>
        <w:spacing w:after="120" w:before="0"/>
      </w:pPr>
      <w:r>
        <w:t xml:space="preserve">ACP is multi-tenant from inception. Each supply chain manager is a tenant with their own scope. Tenancy is enforced at the State Manager level (Agent 3) and propagates to all downstream agents. The tenancy model is summarized as:</w:t>
      </w:r>
    </w:p>
    <w:p>
      <w:pPr>
        <w:pStyle w:val="ListParagraph"/>
        <w:numPr>
          <w:ilvl w:val="0"/>
          <w:numId w:val="2"/>
        </w:numPr>
        <w:spacing w:after="80"/>
      </w:pPr>
      <w:r>
        <w:rPr/>
        <w:t>Per-tenant write surfaces: each SCM has their own ACP_Tracker Google Sheet using the identical canonical schema. (Existing file name 'MEPA_MPA_Tracker.xlsx' will be migrated; see Section 8.1.)</w:t>
      </w:r>
    </w:p>
    <w:p>
      <w:pPr>
        <w:pStyle w:val="ListParagraph"/>
        <w:numPr>
          <w:ilvl w:val="0"/>
          <w:numId w:val="2"/>
        </w:numPr>
        <w:spacing w:after="80"/>
      </w:pPr>
      <w:r>
        <w:rPr/>
        <w:t>Per-tenant Drive scope: each SCM's negotiations live under a tenant-scoped Drive folder hierarchy. Phase 1 folder root: ACP_Negotiations_{SCM}/ with contract type as the next level (e.g., ACP_Negotiations_Vincent/MEPA/, ACP_Negotiations_Vincent/MPA/).</w:t>
      </w:r>
    </w:p>
    <w:p>
      <w:pPr>
        <w:pStyle w:val="ListParagraph"/>
        <w:numPr>
          <w:ilvl w:val="0"/>
          <w:numId w:val="2"/>
        </w:numPr>
        <w:spacing w:after="80"/>
      </w:pPr>
      <w:r>
        <w:t xml:space="preserve">Per-tenant Gmail scope: agents access only the inboxes they are authorized for via OAuth2 grants per SCM.</w:t>
      </w:r>
    </w:p>
    <w:p>
      <w:pPr>
        <w:pStyle w:val="ListParagraph"/>
        <w:numPr>
          <w:ilvl w:val="0"/>
          <w:numId w:val="2"/>
        </w:numPr>
        <w:spacing w:after="80"/>
      </w:pPr>
      <w:r>
        <w:rPr/>
        <w:t>Shared assets accessible by all tenants: Knowledge Base, contract templates (Phase 1: MEPA and MPA), LRS template, playbook (partitioned by contract_type), audit log writer.</w:t>
      </w:r>
    </w:p>
    <w:p>
      <w:pPr>
        <w:pStyle w:val="ListParagraph"/>
        <w:numPr>
          <w:ilvl w:val="0"/>
          <w:numId w:val="2"/>
        </w:numPr>
        <w:spacing w:after="80"/>
      </w:pPr>
      <w:r>
        <w:t xml:space="preserve">Team-wide read surface: Agent 9's consolidated master view aggregates across all tenants.</w:t>
      </w:r>
    </w:p>
    <w:p>
      <w:pPr>
        <w:pStyle w:val="Heading2"/>
        <w:spacing w:after="160" w:before="280"/>
      </w:pPr>
      <w:r>
        <w:t xml:space="preserve">4.2 Roles &amp;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Role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Members</w:t>
            </w:r>
          </w:p>
        </w:tc>
        <w:tc>
          <w:tcPr>
            <w:tcW w:type="dxa" w:w="5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Permissions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b/>
                <w:bCs/>
                <w:sz w:val="20"/>
                <w:szCs w:val="20"/>
              </w:rPr>
              <w:t xml:space="preserve">System Owner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Vincent Calianno</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Full admin: configure all agents, manage playbook and Knowledge Base, full read/write on all SCM trackers, manage user roles, system maintenance.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Legal Reviewer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Sandelin Sikes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Read all SCM trackers, read all LRS artifacts, read full audit trail, approve/reject LRS deliverables, flag Knowledge Base entries, set legal-position precedents. Steering Group member.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b/>
                <w:bCs/>
                <w:sz w:val="20"/>
                <w:szCs w:val="20"/>
              </w:rPr>
              <w:t xml:space="preserve">Supply Chain Manager (SCM)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Vincent, Tom Butler, Emily Wang, Mugdha Thakkar</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Write own tracker, read own tracker, read consolidated master view (read-only), read shared Knowledge Base, contribute to Knowledge Base via completed negotiations, opt-out individual negotiations from automation.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sz w:val="20"/>
                <w:szCs w:val="20"/>
              </w:rPr>
              <w:t xml:space="preserve">Manager (Stakeholder)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Ranjeet Mankikar (VP SCM)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Read consolidated master view, read weekly executive summary, read portfolio metrics. No write access. No operational role (TBD by Steering Group).</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b/>
                <w:bCs/>
                <w:sz w:val="20"/>
                <w:szCs w:val="20"/>
              </w:rPr>
              <w:t xml:space="preserve">Steering Group</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Vincent Calianno, Sandelin Sikes</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Approve playbook changes, curate Knowledge Base, resolve cross-SCM disputes, set system policy, review escalations.</w:t>
            </w:r>
          </w:p>
        </w:tc>
      </w:tr>
    </w:tbl>
    <w:p>
      <w:pPr>
        <w:spacing w:before="280"/>
      </w:pPr>
      <w:r>
        <w:t xml:space="preserve"/>
      </w:r>
    </w:p>
    <w:p>
      <w:pPr>
        <w:pStyle w:val="Heading2"/>
        <w:spacing w:after="160" w:before="280"/>
      </w:pPr>
      <w:r>
        <w:t xml:space="preserve">4.3 Cross-Tenant Boundaries</w:t>
      </w:r>
    </w:p>
    <w:p>
      <w:pPr>
        <w:spacing w:after="120" w:before="0"/>
      </w:pPr>
      <w:r>
        <w:t xml:space="preserve">The following rules are enforced at the platform level and cannot be overridden by individual agents:</w:t>
      </w:r>
    </w:p>
    <w:p>
      <w:pPr>
        <w:pStyle w:val="ListParagraph"/>
        <w:numPr>
          <w:ilvl w:val="0"/>
          <w:numId w:val="2"/>
        </w:numPr>
        <w:spacing w:after="80"/>
      </w:pPr>
      <w:r>
        <w:t xml:space="preserve">No agent may write to a tracker scoped to another SCM.</w:t>
      </w:r>
    </w:p>
    <w:p>
      <w:pPr>
        <w:pStyle w:val="ListParagraph"/>
        <w:numPr>
          <w:ilvl w:val="0"/>
          <w:numId w:val="2"/>
        </w:numPr>
        <w:spacing w:after="80"/>
      </w:pPr>
      <w:r>
        <w:t xml:space="preserve">No agent may move documents between tenant-scoped Drive folders.</w:t>
      </w:r>
    </w:p>
    <w:p>
      <w:pPr>
        <w:pStyle w:val="ListParagraph"/>
        <w:numPr>
          <w:ilvl w:val="0"/>
          <w:numId w:val="2"/>
        </w:numPr>
        <w:spacing w:after="80"/>
      </w:pPr>
      <w:r>
        <w:t xml:space="preserve">All cross-tenant reads are read-only and go through Agent 9 (Portfolio Aggregator).</w:t>
      </w:r>
    </w:p>
    <w:p>
      <w:pPr>
        <w:pStyle w:val="ListParagraph"/>
        <w:numPr>
          <w:ilvl w:val="0"/>
          <w:numId w:val="2"/>
        </w:numPr>
        <w:spacing w:after="80"/>
      </w:pPr>
      <w:r>
        <w:t xml:space="preserve">Knowledge Base reads are unrestricted across tenants by design (this is the shared intelligence asset).</w:t>
      </w:r>
    </w:p>
    <w:p>
      <w:pPr>
        <w:pStyle w:val="ListParagraph"/>
        <w:numPr>
          <w:ilvl w:val="0"/>
          <w:numId w:val="2"/>
        </w:numPr>
        <w:spacing w:after="80"/>
      </w:pPr>
      <w:r>
        <w:t xml:space="preserve">Knowledge Base writes are tagged with the contributing SCM but visible to all.</w:t>
      </w:r>
    </w:p>
    <w:p>
      <w:pPr>
        <w:pStyle w:val="ListParagraph"/>
        <w:numPr>
          <w:ilvl w:val="0"/>
          <w:numId w:val="2"/>
        </w:numPr>
        <w:spacing w:after="80"/>
      </w:pPr>
      <w:r>
        <w:t xml:space="preserve">Audit log entries are scoped by SCM but visible to System Owner, Legal Reviewer, and the entry's SCM.</w:t>
      </w:r>
    </w:p>
    <w:p>
      <w:pPr>
        <w:pStyle w:val="Heading2"/>
        <w:spacing w:after="160" w:before="280"/>
      </w:pPr>
      <w:r>
        <w:t xml:space="preserve">4.4 Opt-Out Mechanism</w:t>
      </w:r>
    </w:p>
    <w:p>
      <w:pPr>
        <w:spacing w:after="120" w:before="0"/>
      </w:pPr>
      <w:r>
        <w:t xml:space="preserve">Per Principle 2.9, any SCM can pause ACP processing for specific negotiations or for their entire scope. Implementation:</w:t>
      </w:r>
    </w:p>
    <w:p>
      <w:pPr>
        <w:pStyle w:val="ListParagraph"/>
        <w:numPr>
          <w:ilvl w:val="0"/>
          <w:numId w:val="2"/>
        </w:numPr>
        <w:spacing w:after="80"/>
      </w:pPr>
      <w:r>
        <w:t xml:space="preserve">Each SCM tracker row includes an 'Automation Status' column with values: Active, Paused, Manual Only.</w:t>
      </w:r>
    </w:p>
    <w:p>
      <w:pPr>
        <w:pStyle w:val="ListParagraph"/>
        <w:numPr>
          <w:ilvl w:val="0"/>
          <w:numId w:val="2"/>
        </w:numPr>
        <w:spacing w:after="80"/>
      </w:pPr>
      <w:r>
        <w:t xml:space="preserve">Agents check this flag before any action. Paused negotiations are skipped entirely; Manual Only allows detection but no analysis.</w:t>
      </w:r>
    </w:p>
    <w:p>
      <w:pPr>
        <w:pStyle w:val="ListParagraph"/>
        <w:numPr>
          <w:ilvl w:val="0"/>
          <w:numId w:val="2"/>
        </w:numPr>
        <w:spacing w:after="80"/>
      </w:pPr>
      <w:r>
        <w:t xml:space="preserve">Tenant-wide pause: an SCM can set a master flag in their tracker header to pause all their negotiations (e.g., during PTO).</w:t>
      </w:r>
    </w:p>
    <w:p>
      <w:pPr>
        <w:pStyle w:val="ListParagraph"/>
        <w:numPr>
          <w:ilvl w:val="0"/>
          <w:numId w:val="2"/>
        </w:numPr>
        <w:spacing w:after="80"/>
      </w:pPr>
      <w:r>
        <w:t xml:space="preserve">Opt-out events are logged but require no approval. SCMs retain full autonomy over their portfolio.</w:t>
      </w:r>
    </w:p>
    <w:p>
      <w:r>
        <w:br w:type="page"/>
      </w:r>
    </w:p>
    <w:p>
      <w:pPr>
        <w:pStyle w:val="Heading1"/>
        <w:spacing w:after="200" w:before="360"/>
      </w:pPr>
      <w:r>
        <w:t xml:space="preserve">5. Agent Specifications</w:t>
      </w:r>
    </w:p>
    <w:p>
      <w:pPr>
        <w:spacing w:after="120" w:before="0"/>
      </w:pPr>
      <w:r>
        <w:t xml:space="preserve">This section defines each of the nine agents. Subsections 5.1 through 5.9 cover Agents 1 through 9 respectively. All agents operate within the tenancy model defined in Section 4.</w:t>
      </w:r>
    </w:p>
    <w:p>
      <w:r>
        <w:br w:type="page"/>
      </w:r>
    </w:p>
    <w:p>
      <w:pPr>
        <w:pStyle w:val="Heading2"/>
        <w:spacing w:after="160" w:before="280"/>
      </w:pPr>
      <w:r>
        <w:t xml:space="preserve">5.1 Agent 1: Email Watcher</w:t>
      </w:r>
    </w:p>
    <w:p>
      <w:pPr>
        <w:spacing w:after="200"/>
      </w:pPr>
      <w:r>
        <w:rPr>
          <w:b/>
          <w:bCs/>
          <w:sz w:val="20"/>
          <w:szCs w:val="20"/>
        </w:rPr>
        <w:t xml:space="preserve">Layer: </w:t>
      </w:r>
      <w:r>
        <w:rPr>
          <w:sz w:val="20"/>
          <w:szCs w:val="20"/>
        </w:rPr>
        <w:t xml:space="preserve">1 (Ingestion &amp; State)</w:t>
      </w:r>
      <w:r>
        <w:rPr>
          <w:b/>
          <w:bCs/>
          <w:sz w:val="20"/>
          <w:szCs w:val="20"/>
        </w:rPr>
        <w:t xml:space="preserve">    LLM: </w:t>
      </w:r>
      <w:r>
        <w:rPr>
          <w:sz w:val="20"/>
          <w:szCs w:val="20"/>
        </w:rPr>
        <w:t xml:space="preserve">Haiku (classification)</w:t>
      </w:r>
      <w:r>
        <w:rPr>
          <w:b/>
          <w:bCs/>
          <w:sz w:val="20"/>
          <w:szCs w:val="20"/>
        </w:rPr>
        <w:t xml:space="preserve">    Runtime: </w:t>
      </w:r>
      <w:r>
        <w:rPr>
          <w:sz w:val="20"/>
          <w:szCs w:val="20"/>
        </w:rPr>
        <w:t xml:space="preserve">Scheduled</w:t>
      </w:r>
      <w:r>
        <w:rPr>
          <w:b/>
          <w:bCs/>
          <w:sz w:val="20"/>
          <w:szCs w:val="20"/>
        </w:rPr>
        <w:t xml:space="preserve">    Tenancy: </w:t>
      </w:r>
      <w:r>
        <w:rPr>
          <w:sz w:val="20"/>
          <w:szCs w:val="20"/>
        </w:rPr>
        <w:t xml:space="preserve">Per-SCM scoped</w:t>
      </w:r>
    </w:p>
    <w:p>
      <w:pPr>
        <w:pStyle w:val="Heading3"/>
        <w:spacing w:after="120" w:before="220"/>
      </w:pPr>
      <w:r>
        <w:t xml:space="preserve">Single Responsibility</w:t>
      </w:r>
    </w:p>
    <w:p>
      <w:pPr>
        <w:spacing w:after="120" w:before="0"/>
      </w:pPr>
      <w:r>
        <w:rPr/>
        <w:t>Detect contract-negotiation-relevant email events across the inboxes of all four SCMs and the supporting Legal Reviewer. Architecturally, the agent classifies any contract Legal routes through an SCM for operational ownership of the negotiation cycle; Phase 1 scope is MEPA and MPA. Classify each event into one of three types: (a) outbound contract initiation from Legal or an SCM, (b) inbound counterparty redline response with .docx attachment, (c) inbound counterparty non-redline correspondence on an active negotiation thread.</w:t>
      </w:r>
    </w:p>
    <w:p>
      <w:pPr>
        <w:pStyle w:val="Heading3"/>
        <w:spacing w:after="120" w:before="220"/>
      </w:pPr>
      <w:r>
        <w:t xml:space="preserve">Triggers</w:t>
      </w:r>
    </w:p>
    <w:p>
      <w:pPr>
        <w:pStyle w:val="ListParagraph"/>
        <w:numPr>
          <w:ilvl w:val="0"/>
          <w:numId w:val="2"/>
        </w:numPr>
        <w:spacing w:after="80"/>
      </w:pPr>
      <w:r>
        <w:t xml:space="preserve">Scheduled poll every 2 hours during business hours (8am, 10am, 12pm, 2pm, 4pm, 6pm PT, Mon–Fri).</w:t>
      </w:r>
    </w:p>
    <w:p>
      <w:pPr>
        <w:pStyle w:val="ListParagraph"/>
        <w:numPr>
          <w:ilvl w:val="0"/>
          <w:numId w:val="2"/>
        </w:numPr>
        <w:spacing w:after="80"/>
      </w:pPr>
      <w:r>
        <w:t xml:space="preserve">Scheduled poll every 6 hours off-hours and weekends.</w:t>
      </w:r>
    </w:p>
    <w:p>
      <w:pPr>
        <w:pStyle w:val="ListParagraph"/>
        <w:numPr>
          <w:ilvl w:val="0"/>
          <w:numId w:val="2"/>
        </w:numPr>
        <w:spacing w:after="80"/>
      </w:pPr>
      <w:r>
        <w:t xml:space="preserve">Manual trigger via Slack slash command per SCM (e.g., /acp-check).</w:t>
      </w:r>
    </w:p>
    <w:p>
      <w:pPr>
        <w:pStyle w:val="Heading3"/>
        <w:spacing w:after="120" w:before="220"/>
      </w:pPr>
      <w:r>
        <w:t xml:space="preserve">Inputs</w:t>
      </w:r>
    </w:p>
    <w:p>
      <w:pPr>
        <w:pStyle w:val="ListParagraph"/>
        <w:numPr>
          <w:ilvl w:val="0"/>
          <w:numId w:val="2"/>
        </w:numPr>
        <w:spacing w:after="80"/>
      </w:pPr>
      <w:r>
        <w:rPr/>
        <w:t>Gmail API access via OAuth2 to all four SCM inboxes (Vincent, Tom, Emily, Mugdha) and Sandelin's inbox (for detecting outbound contract initiations from Legal).</w:t>
      </w:r>
    </w:p>
    <w:p>
      <w:pPr>
        <w:pStyle w:val="ListParagraph"/>
        <w:numPr>
          <w:ilvl w:val="0"/>
          <w:numId w:val="2"/>
        </w:numPr>
        <w:spacing w:after="80"/>
      </w:pPr>
      <w:r>
        <w:rPr/>
        <w:t>Read access to all four SCM ACP_Tracker Google Sheets for active negotiation thread mapping.</w:t>
      </w:r>
    </w:p>
    <w:p>
      <w:pPr>
        <w:pStyle w:val="ListParagraph"/>
        <w:numPr>
          <w:ilvl w:val="0"/>
          <w:numId w:val="2"/>
        </w:numPr>
        <w:spacing w:after="80"/>
      </w:pPr>
      <w:r>
        <w:t xml:space="preserve">Configuration: supplier domain patterns, SCM-to-tenant mapping table.</w:t>
      </w:r>
    </w:p>
    <w:p>
      <w:pPr>
        <w:pStyle w:val="Heading3"/>
        <w:spacing w:after="120" w:before="220"/>
      </w:pPr>
      <w:r>
        <w:t xml:space="preserve">Outputs</w:t>
      </w:r>
    </w:p>
    <w:p>
      <w:pPr>
        <w:pStyle w:val="ListParagraph"/>
        <w:numPr>
          <w:ilvl w:val="0"/>
          <w:numId w:val="2"/>
        </w:numPr>
        <w:spacing w:after="80"/>
      </w:pPr>
      <w:r>
        <w:t xml:space="preserve">Structured event published to Agent 3 with tenant_scope set to owning SCM: { tenant, event_type, supplier_id, thread_id, message_id, sender, timestamp, has_docx_attachment, classification_confidence }.</w:t>
      </w:r>
    </w:p>
    <w:p>
      <w:pPr>
        <w:pStyle w:val="ListParagraph"/>
        <w:numPr>
          <w:ilvl w:val="0"/>
          <w:numId w:val="2"/>
        </w:numPr>
        <w:spacing w:after="80"/>
      </w:pPr>
      <w:r>
        <w:t xml:space="preserve">Slack notification to #mepa-mpa-redline-agent for high-confidence events (mentions the owning SCM).</w:t>
      </w:r>
    </w:p>
    <w:p>
      <w:pPr>
        <w:pStyle w:val="ListParagraph"/>
        <w:numPr>
          <w:ilvl w:val="0"/>
          <w:numId w:val="2"/>
        </w:numPr>
        <w:spacing w:after="80"/>
      </w:pPr>
      <w:r>
        <w:t xml:space="preserve">Triage queue per SCM for low-confidence events.</w:t>
      </w:r>
    </w:p>
    <w:p>
      <w:pPr>
        <w:pStyle w:val="Heading3"/>
        <w:spacing w:after="120" w:before="220"/>
      </w:pPr>
      <w:r>
        <w:t xml:space="preserve">Writes to SCM Tracker</w:t>
      </w:r>
    </w:p>
    <w:p>
      <w:pPr>
        <w:spacing w:after="120" w:before="0"/>
      </w:pPr>
      <w:r>
        <w:rPr>
          <w:i/>
          <w:iCs/>
        </w:rPr>
        <w:t xml:space="preserve">None. This agent produces artifacts only; tracker writes flow through Agent 3.</w:t>
      </w:r>
    </w:p>
    <w:p>
      <w:pPr>
        <w:pStyle w:val="Heading3"/>
        <w:spacing w:after="120" w:before="220"/>
      </w:pPr>
      <w:r>
        <w:t xml:space="preserve">External Dependencies</w:t>
      </w:r>
    </w:p>
    <w:p>
      <w:pPr>
        <w:pStyle w:val="ListParagraph"/>
        <w:numPr>
          <w:ilvl w:val="0"/>
          <w:numId w:val="2"/>
        </w:numPr>
        <w:spacing w:after="80"/>
      </w:pPr>
      <w:r>
        <w:t xml:space="preserve">Gmail API with OAuth2 grants from each SCM and from Sandelin.</w:t>
      </w:r>
    </w:p>
    <w:p>
      <w:pPr>
        <w:pStyle w:val="ListParagraph"/>
        <w:numPr>
          <w:ilvl w:val="0"/>
          <w:numId w:val="2"/>
        </w:numPr>
        <w:spacing w:after="80"/>
      </w:pPr>
      <w:r>
        <w:t xml:space="preserve">Anthropic API (Haiku for ambiguous classification, &lt; 5% of events).</w:t>
      </w:r>
    </w:p>
    <w:p>
      <w:pPr>
        <w:pStyle w:val="ListParagraph"/>
        <w:numPr>
          <w:ilvl w:val="0"/>
          <w:numId w:val="2"/>
        </w:numPr>
        <w:spacing w:after="80"/>
      </w:pPr>
      <w:r>
        <w:t xml:space="preserve">Slack Web API.</w:t>
      </w:r>
    </w:p>
    <w:p>
      <w:pPr>
        <w:pStyle w:val="ListParagraph"/>
        <w:numPr>
          <w:ilvl w:val="0"/>
          <w:numId w:val="2"/>
        </w:numPr>
        <w:spacing w:after="80"/>
      </w:pPr>
      <w:r>
        <w:t xml:space="preserve">Per-SCM SQLite cache for processed message IDs.</w:t>
      </w:r>
    </w:p>
    <w:p>
      <w:pPr>
        <w:pStyle w:val="Heading3"/>
        <w:spacing w:after="120" w:before="220"/>
      </w:pPr>
      <w:r>
        <w:t xml:space="preserve">Implementation Notes</w:t>
      </w:r>
    </w:p>
    <w:p>
      <w:pPr>
        <w:spacing w:after="120" w:before="0"/>
      </w:pPr>
      <w:r>
        <w:rPr/>
        <w:t>Each SCM grants OAuth2 access during onboarding (Phase 4 for the pilot peer, Phase 5 for full team). Sandelin's delegated access is required for detecting outbound contract initiations from Legal — confirmed as an open item for Steering Group resolution. Classification respects tenancy: a message in Tom's inbox is classified as Tom's event and routed to Tom's scope; the agent never crosses inbox boundaries except as explicitly configured.</w:t>
      </w:r>
    </w:p>
    <w:p>
      <w:r>
        <w:br w:type="page"/>
      </w:r>
    </w:p>
    <w:p>
      <w:pPr>
        <w:pStyle w:val="Heading2"/>
        <w:spacing w:after="160" w:before="280"/>
      </w:pPr>
      <w:r>
        <w:t xml:space="preserve">5.2 Agent 2: Document Extraction</w:t>
      </w:r>
    </w:p>
    <w:p>
      <w:pPr>
        <w:spacing w:after="200"/>
      </w:pPr>
      <w:r>
        <w:rPr>
          <w:b/>
          <w:bCs/>
          <w:sz w:val="20"/>
          <w:szCs w:val="20"/>
        </w:rPr>
        <w:t xml:space="preserve">Layer: </w:t>
      </w:r>
      <w:r>
        <w:rPr>
          <w:sz w:val="20"/>
          <w:szCs w:val="20"/>
        </w:rPr>
        <w:t xml:space="preserve">1 (Ingestion &amp; State)</w:t>
      </w:r>
      <w:r>
        <w:rPr>
          <w:b/>
          <w:bCs/>
          <w:sz w:val="20"/>
          <w:szCs w:val="20"/>
        </w:rPr>
        <w:t xml:space="preserve">    LLM: </w:t>
      </w:r>
      <w:r>
        <w:rPr>
          <w:sz w:val="20"/>
          <w:szCs w:val="20"/>
        </w:rPr>
        <w:t xml:space="preserve">None (deterministic)</w:t>
      </w:r>
      <w:r>
        <w:rPr>
          <w:b/>
          <w:bCs/>
          <w:sz w:val="20"/>
          <w:szCs w:val="20"/>
        </w:rPr>
        <w:t xml:space="preserve">    Runtime: </w:t>
      </w:r>
      <w:r>
        <w:rPr>
          <w:sz w:val="20"/>
          <w:szCs w:val="20"/>
        </w:rPr>
        <w:t xml:space="preserve">Event-triggered</w:t>
      </w:r>
      <w:r>
        <w:rPr>
          <w:b/>
          <w:bCs/>
          <w:sz w:val="20"/>
          <w:szCs w:val="20"/>
        </w:rPr>
        <w:t xml:space="preserve">    Tenancy: </w:t>
      </w:r>
      <w:r>
        <w:rPr>
          <w:sz w:val="20"/>
          <w:szCs w:val="20"/>
        </w:rPr>
        <w:t xml:space="preserve">Per-SCM scoped</w:t>
      </w:r>
    </w:p>
    <w:p>
      <w:pPr>
        <w:pStyle w:val="Heading3"/>
        <w:spacing w:after="120" w:before="220"/>
      </w:pPr>
      <w:r>
        <w:t xml:space="preserve">Single Responsibility</w:t>
      </w:r>
    </w:p>
    <w:p>
      <w:pPr>
        <w:spacing w:after="120" w:before="0"/>
      </w:pPr>
      <w:r>
        <w:rPr/>
        <w:t>Pull contract document attachments from Gmail (any contract type the SCM owns operationally; Phase 1 scope: MEPA and MPA), persist them to the tenant-scoped Drive folder at canonical paths, compute integrity fingerprints, and extract document metadata. Strict tenant isolation: documents are persisted only to the owning SCM's Drive scope.</w:t>
      </w:r>
    </w:p>
    <w:p>
      <w:pPr>
        <w:pStyle w:val="Heading3"/>
        <w:spacing w:after="120" w:before="220"/>
      </w:pPr>
      <w:r>
        <w:t xml:space="preserve">Triggers</w:t>
      </w:r>
    </w:p>
    <w:p>
      <w:pPr>
        <w:pStyle w:val="ListParagraph"/>
        <w:numPr>
          <w:ilvl w:val="0"/>
          <w:numId w:val="2"/>
        </w:numPr>
        <w:spacing w:after="80"/>
      </w:pPr>
      <w:r>
        <w:t xml:space="preserve">State event from Agent 3: 'document_extraction_required' with Gmail message ID, owning SCM, supplier/round metadata.</w:t>
      </w:r>
    </w:p>
    <w:p>
      <w:pPr>
        <w:pStyle w:val="Heading3"/>
        <w:spacing w:after="120" w:before="220"/>
      </w:pPr>
      <w:r>
        <w:t xml:space="preserve">Inputs</w:t>
      </w:r>
    </w:p>
    <w:p>
      <w:pPr>
        <w:pStyle w:val="ListParagraph"/>
        <w:numPr>
          <w:ilvl w:val="0"/>
          <w:numId w:val="2"/>
        </w:numPr>
        <w:spacing w:after="80"/>
      </w:pPr>
      <w:r>
        <w:t xml:space="preserve">Gmail API access (re-uses Agent 1's OAuth2 grants).</w:t>
      </w:r>
    </w:p>
    <w:p>
      <w:pPr>
        <w:pStyle w:val="ListParagraph"/>
        <w:numPr>
          <w:ilvl w:val="0"/>
          <w:numId w:val="2"/>
        </w:numPr>
        <w:spacing w:after="80"/>
      </w:pPr>
      <w:r>
        <w:rPr/>
        <w:t>Google Drive SDK with write access to all tenant-scoped ACP_Negotiations_{SCM} folders.</w:t>
      </w:r>
    </w:p>
    <w:p>
      <w:pPr>
        <w:pStyle w:val="ListParagraph"/>
        <w:numPr>
          <w:ilvl w:val="0"/>
          <w:numId w:val="2"/>
        </w:numPr>
        <w:spacing w:after="80"/>
      </w:pPr>
      <w:r>
        <w:t xml:space="preserve">Canonical path schema (Section 6.2).</w:t>
      </w:r>
    </w:p>
    <w:p>
      <w:pPr>
        <w:pStyle w:val="Heading3"/>
        <w:spacing w:after="120" w:before="220"/>
      </w:pPr>
      <w:r>
        <w:t xml:space="preserve">Outputs</w:t>
      </w:r>
    </w:p>
    <w:p>
      <w:pPr>
        <w:pStyle w:val="ListParagraph"/>
        <w:numPr>
          <w:ilvl w:val="0"/>
          <w:numId w:val="2"/>
        </w:numPr>
        <w:spacing w:after="80"/>
      </w:pPr>
      <w:r>
        <w:rPr/>
        <w:t>Downloaded .docx persisted to ACP_Negotiations_{SCM}/{contract_type}/{counterparty}/round_{N}/{antora|counterparty}_{timestamp}.docx</w:t>
      </w:r>
    </w:p>
    <w:p>
      <w:pPr>
        <w:pStyle w:val="ListParagraph"/>
        <w:numPr>
          <w:ilvl w:val="0"/>
          <w:numId w:val="2"/>
        </w:numPr>
        <w:spacing w:after="80"/>
      </w:pPr>
      <w:r>
        <w:t xml:space="preserve">Document fingerprint: { sha256_hash, clause_count, page_count, word_count, file_size_bytes }.</w:t>
      </w:r>
    </w:p>
    <w:p>
      <w:pPr>
        <w:pStyle w:val="ListParagraph"/>
        <w:numPr>
          <w:ilvl w:val="0"/>
          <w:numId w:val="2"/>
        </w:numPr>
        <w:spacing w:after="80"/>
      </w:pPr>
      <w:r>
        <w:t xml:space="preserve">Metadata package returned to Agent 3 for tracker update.</w:t>
      </w:r>
    </w:p>
    <w:p>
      <w:pPr>
        <w:pStyle w:val="Heading3"/>
        <w:spacing w:after="120" w:before="220"/>
      </w:pPr>
      <w:r>
        <w:t xml:space="preserve">Writes to SCM Tracker</w:t>
      </w:r>
    </w:p>
    <w:p>
      <w:pPr>
        <w:spacing w:after="120" w:before="0"/>
      </w:pPr>
      <w:r>
        <w:rPr>
          <w:i/>
          <w:iCs/>
        </w:rPr>
        <w:t xml:space="preserve">None. This agent produces artifacts only; tracker writes flow through Agent 3.</w:t>
      </w:r>
    </w:p>
    <w:p>
      <w:pPr>
        <w:pStyle w:val="Heading3"/>
        <w:spacing w:after="120" w:before="220"/>
      </w:pPr>
      <w:r>
        <w:t xml:space="preserve">External Dependencies</w:t>
      </w:r>
    </w:p>
    <w:p>
      <w:pPr>
        <w:pStyle w:val="ListParagraph"/>
        <w:numPr>
          <w:ilvl w:val="0"/>
          <w:numId w:val="2"/>
        </w:numPr>
        <w:spacing w:after="80"/>
      </w:pPr>
      <w:r>
        <w:t xml:space="preserve">Google Drive Python SDK with OAuth2 (per AgentOS pattern).</w:t>
      </w:r>
    </w:p>
    <w:p>
      <w:pPr>
        <w:pStyle w:val="ListParagraph"/>
        <w:numPr>
          <w:ilvl w:val="0"/>
          <w:numId w:val="2"/>
        </w:numPr>
        <w:spacing w:after="80"/>
      </w:pPr>
      <w:r>
        <w:t xml:space="preserve">python-docx for clause counting.</w:t>
      </w:r>
    </w:p>
    <w:p>
      <w:pPr>
        <w:pStyle w:val="ListParagraph"/>
        <w:numPr>
          <w:ilvl w:val="0"/>
          <w:numId w:val="2"/>
        </w:numPr>
        <w:spacing w:after="80"/>
      </w:pPr>
      <w:r>
        <w:t xml:space="preserve">hashlib for SHA-256 fingerprinting.</w:t>
      </w:r>
    </w:p>
    <w:p>
      <w:pPr>
        <w:pStyle w:val="Heading3"/>
        <w:spacing w:after="120" w:before="220"/>
      </w:pPr>
      <w:r>
        <w:t xml:space="preserve">Implementation Notes</w:t>
      </w:r>
    </w:p>
    <w:p>
      <w:pPr>
        <w:spacing w:after="120" w:before="0"/>
      </w:pPr>
      <w:r>
        <w:t xml:space="preserve">Files are never overwritten; each new version gets a fresh timestamped filename to preserve lineage within the owning SCM's scope.</w:t>
      </w:r>
    </w:p>
    <w:p>
      <w:r>
        <w:br w:type="page"/>
      </w:r>
    </w:p>
    <w:p>
      <w:pPr>
        <w:pStyle w:val="Heading2"/>
        <w:spacing w:after="160" w:before="280"/>
      </w:pPr>
      <w:r>
        <w:t xml:space="preserve">5.3 Agent 3: Negotiation State Manager</w:t>
      </w:r>
    </w:p>
    <w:p>
      <w:pPr>
        <w:spacing w:after="200"/>
      </w:pPr>
      <w:r>
        <w:rPr>
          <w:b/>
          <w:bCs/>
          <w:sz w:val="20"/>
          <w:szCs w:val="20"/>
        </w:rPr>
        <w:t xml:space="preserve">Layer: </w:t>
      </w:r>
      <w:r>
        <w:rPr>
          <w:sz w:val="20"/>
          <w:szCs w:val="20"/>
        </w:rPr>
        <w:t xml:space="preserve">1 (Ingestion &amp; State) — system spine</w:t>
      </w:r>
      <w:r>
        <w:rPr>
          <w:b/>
          <w:bCs/>
          <w:sz w:val="20"/>
          <w:szCs w:val="20"/>
        </w:rPr>
        <w:t xml:space="preserve">    LLM: </w:t>
      </w:r>
      <w:r>
        <w:rPr>
          <w:sz w:val="20"/>
          <w:szCs w:val="20"/>
        </w:rPr>
        <w:t xml:space="preserve">None (deterministic)</w:t>
      </w:r>
      <w:r>
        <w:rPr>
          <w:b/>
          <w:bCs/>
          <w:sz w:val="20"/>
          <w:szCs w:val="20"/>
        </w:rPr>
        <w:t xml:space="preserve">    Runtime: </w:t>
      </w:r>
      <w:r>
        <w:rPr>
          <w:sz w:val="20"/>
          <w:szCs w:val="20"/>
        </w:rPr>
        <w:t xml:space="preserve">Always-on service</w:t>
      </w:r>
      <w:r>
        <w:rPr>
          <w:b/>
          <w:bCs/>
          <w:sz w:val="20"/>
          <w:szCs w:val="20"/>
        </w:rPr>
        <w:t xml:space="preserve">    Tenancy: </w:t>
      </w:r>
      <w:r>
        <w:rPr>
          <w:sz w:val="20"/>
          <w:szCs w:val="20"/>
        </w:rPr>
        <w:t xml:space="preserve">Per-SCM scoped</w:t>
      </w:r>
    </w:p>
    <w:p>
      <w:pPr>
        <w:pStyle w:val="Heading3"/>
        <w:spacing w:after="120" w:before="220"/>
      </w:pPr>
      <w:r>
        <w:t xml:space="preserve">Single Responsibility</w:t>
      </w:r>
    </w:p>
    <w:p>
      <w:pPr>
        <w:spacing w:after="120" w:before="0"/>
      </w:pPr>
      <w:r>
        <w:rPr/>
        <w:t>Maintain the canonical source of truth for every active contract negotiation owned by an SCM across all SCM tenants. The State Manager instantiates a logical scope per SCM; writes are serialized within each tenant scope but proceed in parallel across tenants. Owns the four ACP_Tracker schemas (identical structure) and enforces valid state machine transitions; emits state events to downstream agents; rejects cross-tenant write attempts at the API level. Contract type is tracked as a first-class field on each negotiation row.</w:t>
      </w:r>
    </w:p>
    <w:p>
      <w:pPr>
        <w:pStyle w:val="Heading3"/>
        <w:spacing w:after="120" w:before="220"/>
      </w:pPr>
      <w:r>
        <w:t xml:space="preserve">Triggers</w:t>
      </w:r>
    </w:p>
    <w:p>
      <w:pPr>
        <w:pStyle w:val="ListParagraph"/>
        <w:numPr>
          <w:ilvl w:val="0"/>
          <w:numId w:val="2"/>
        </w:numPr>
        <w:spacing w:after="80"/>
      </w:pPr>
      <w:r>
        <w:t xml:space="preserve">Inbound state events from Agents 1, 2, 7 (tagged with tenant scope).</w:t>
      </w:r>
    </w:p>
    <w:p>
      <w:pPr>
        <w:pStyle w:val="ListParagraph"/>
        <w:numPr>
          <w:ilvl w:val="0"/>
          <w:numId w:val="2"/>
        </w:numPr>
        <w:spacing w:after="80"/>
      </w:pPr>
      <w:r>
        <w:t xml:space="preserve">Inbound queries from Agents 4, 5, 6, 8, 9.</w:t>
      </w:r>
    </w:p>
    <w:p>
      <w:pPr>
        <w:pStyle w:val="ListParagraph"/>
        <w:numPr>
          <w:ilvl w:val="0"/>
          <w:numId w:val="2"/>
        </w:numPr>
        <w:spacing w:after="80"/>
      </w:pPr>
      <w:r>
        <w:t xml:space="preserve">Scheduled hourly: SLA breach detection and stalled-deal flagging per tenant.</w:t>
      </w:r>
    </w:p>
    <w:p>
      <w:pPr>
        <w:pStyle w:val="Heading3"/>
        <w:spacing w:after="120" w:before="220"/>
      </w:pPr>
      <w:r>
        <w:t xml:space="preserve">Inputs</w:t>
      </w:r>
    </w:p>
    <w:p>
      <w:pPr>
        <w:pStyle w:val="ListParagraph"/>
        <w:numPr>
          <w:ilvl w:val="0"/>
          <w:numId w:val="2"/>
        </w:numPr>
        <w:spacing w:after="80"/>
      </w:pPr>
      <w:r>
        <w:t xml:space="preserve">State events with { tenant_scope, event_type, supplier_id, payload }.</w:t>
      </w:r>
    </w:p>
    <w:p>
      <w:pPr>
        <w:pStyle w:val="ListParagraph"/>
        <w:numPr>
          <w:ilvl w:val="0"/>
          <w:numId w:val="2"/>
        </w:numPr>
        <w:spacing w:after="80"/>
      </w:pPr>
      <w:r>
        <w:rPr/>
        <w:t>Read access to all four SCM ACP_Tracker Google Sheets.</w:t>
      </w:r>
    </w:p>
    <w:p>
      <w:pPr>
        <w:pStyle w:val="ListParagraph"/>
        <w:numPr>
          <w:ilvl w:val="0"/>
          <w:numId w:val="2"/>
        </w:numPr>
        <w:spacing w:after="80"/>
      </w:pPr>
      <w:r>
        <w:t xml:space="preserve">State transition rules table (Section 6.4).</w:t>
      </w:r>
    </w:p>
    <w:p>
      <w:pPr>
        <w:pStyle w:val="Heading3"/>
        <w:spacing w:after="120" w:before="220"/>
      </w:pPr>
      <w:r>
        <w:t xml:space="preserve">Outputs</w:t>
      </w:r>
    </w:p>
    <w:p>
      <w:pPr>
        <w:pStyle w:val="ListParagraph"/>
        <w:numPr>
          <w:ilvl w:val="0"/>
          <w:numId w:val="2"/>
        </w:numPr>
        <w:spacing w:after="80"/>
      </w:pPr>
      <w:r>
        <w:t xml:space="preserve">Updated rows in the appropriate SCM tracker (writes never cross tenant boundaries).</w:t>
      </w:r>
    </w:p>
    <w:p>
      <w:pPr>
        <w:pStyle w:val="ListParagraph"/>
        <w:numPr>
          <w:ilvl w:val="0"/>
          <w:numId w:val="2"/>
        </w:numPr>
        <w:spacing w:after="80"/>
      </w:pPr>
      <w:r>
        <w:t xml:space="preserve">State events emitted downstream: 'round_ready_for_analysis', 'lrs_ready_for_legal', 'stalled_deal_detected'.</w:t>
      </w:r>
    </w:p>
    <w:p>
      <w:pPr>
        <w:pStyle w:val="ListParagraph"/>
        <w:numPr>
          <w:ilvl w:val="0"/>
          <w:numId w:val="2"/>
        </w:numPr>
        <w:spacing w:after="80"/>
      </w:pPr>
      <w:r>
        <w:t xml:space="preserve">Per-tenant audit log entries.</w:t>
      </w:r>
    </w:p>
    <w:p>
      <w:pPr>
        <w:pStyle w:val="Heading3"/>
        <w:spacing w:after="120" w:before="220"/>
      </w:pPr>
      <w:r>
        <w:t xml:space="preserve">Writes to SCM Tracker</w:t>
      </w:r>
    </w:p>
    <w:p>
      <w:pPr>
        <w:pStyle w:val="ListParagraph"/>
        <w:numPr>
          <w:ilvl w:val="0"/>
          <w:numId w:val="2"/>
        </w:numPr>
        <w:spacing w:after="80"/>
      </w:pPr>
      <w:r>
        <w:t xml:space="preserve">Status, Who's Court, Round Number, Last Antora Version Sent, Last Supplier Version Received, Last Activity Date, Gmail Thread ID, Drive Folder Path, LRS Status, Action / Next Steps (system-generated), Automation Status.</w:t>
      </w:r>
    </w:p>
    <w:p>
      <w:pPr>
        <w:pStyle w:val="Heading3"/>
        <w:spacing w:after="120" w:before="220"/>
      </w:pPr>
      <w:r>
        <w:t xml:space="preserve">External Dependencies</w:t>
      </w:r>
    </w:p>
    <w:p>
      <w:pPr>
        <w:pStyle w:val="ListParagraph"/>
        <w:numPr>
          <w:ilvl w:val="0"/>
          <w:numId w:val="2"/>
        </w:numPr>
        <w:spacing w:after="80"/>
      </w:pPr>
      <w:r>
        <w:t xml:space="preserve">Google Sheets API with OAuth2 (writes via each SCM's grant or via a service-account model TBD in Phase 1).</w:t>
      </w:r>
    </w:p>
    <w:p>
      <w:pPr>
        <w:pStyle w:val="ListParagraph"/>
        <w:numPr>
          <w:ilvl w:val="0"/>
          <w:numId w:val="2"/>
        </w:numPr>
        <w:spacing w:after="80"/>
      </w:pPr>
      <w:r>
        <w:t xml:space="preserve">State transition validation logic.</w:t>
      </w:r>
    </w:p>
    <w:p>
      <w:pPr>
        <w:pStyle w:val="ListParagraph"/>
        <w:numPr>
          <w:ilvl w:val="0"/>
          <w:numId w:val="2"/>
        </w:numPr>
        <w:spacing w:after="80"/>
      </w:pPr>
      <w:r>
        <w:t xml:space="preserve">Per-tenant audit log writer.</w:t>
      </w:r>
    </w:p>
    <w:p>
      <w:pPr>
        <w:pStyle w:val="Heading3"/>
        <w:spacing w:after="120" w:before="220"/>
      </w:pPr>
      <w:r>
        <w:t xml:space="preserve">Implementation Notes</w:t>
      </w:r>
    </w:p>
    <w:p>
      <w:pPr>
        <w:spacing w:after="120" w:before="0"/>
      </w:pPr>
      <w:r>
        <w:t xml:space="preserve">Concurrency control: each tenant scope has its own write queue with optimistic concurrency. Cross-tenant writes are impossible by design — the API rejects them at the schema level. This guarantees tenant isolation even if upstream agents have bugs. Agent 3 is the system spine and the strictest enforcement point for tenancy.</w:t>
      </w:r>
    </w:p>
    <w:p>
      <w:r>
        <w:br w:type="page"/>
      </w:r>
    </w:p>
    <w:p>
      <w:pPr>
        <w:pStyle w:val="Heading2"/>
        <w:spacing w:after="160" w:before="280"/>
      </w:pPr>
      <w:r>
        <w:t xml:space="preserve">5.4 Agent 4: Structural Diff</w:t>
      </w:r>
    </w:p>
    <w:p>
      <w:pPr>
        <w:spacing w:after="200"/>
      </w:pPr>
      <w:r>
        <w:rPr>
          <w:b/>
          <w:bCs/>
          <w:sz w:val="20"/>
          <w:szCs w:val="20"/>
        </w:rPr>
        <w:t xml:space="preserve">Layer: </w:t>
      </w:r>
      <w:r>
        <w:rPr>
          <w:sz w:val="20"/>
          <w:szCs w:val="20"/>
        </w:rPr>
        <w:t xml:space="preserve">2 (Analysis &amp; Reasoning)</w:t>
      </w:r>
      <w:r>
        <w:rPr>
          <w:b/>
          <w:bCs/>
          <w:sz w:val="20"/>
          <w:szCs w:val="20"/>
        </w:rPr>
        <w:t xml:space="preserve">    LLM: </w:t>
      </w:r>
      <w:r>
        <w:rPr>
          <w:sz w:val="20"/>
          <w:szCs w:val="20"/>
        </w:rPr>
        <w:t xml:space="preserve">None (deterministic)</w:t>
      </w:r>
      <w:r>
        <w:rPr>
          <w:b/>
          <w:bCs/>
          <w:sz w:val="20"/>
          <w:szCs w:val="20"/>
        </w:rPr>
        <w:t xml:space="preserve">    Runtime: </w:t>
      </w:r>
      <w:r>
        <w:rPr>
          <w:sz w:val="20"/>
          <w:szCs w:val="20"/>
        </w:rPr>
        <w:t xml:space="preserve">Event-triggered</w:t>
      </w:r>
      <w:r>
        <w:rPr>
          <w:b/>
          <w:bCs/>
          <w:sz w:val="20"/>
          <w:szCs w:val="20"/>
        </w:rPr>
        <w:t xml:space="preserve">    Tenancy: </w:t>
      </w:r>
      <w:r>
        <w:rPr>
          <w:sz w:val="20"/>
          <w:szCs w:val="20"/>
        </w:rPr>
        <w:t xml:space="preserve">Per-SCM scoped</w:t>
      </w:r>
    </w:p>
    <w:p>
      <w:pPr>
        <w:pStyle w:val="Heading3"/>
        <w:spacing w:after="120" w:before="220"/>
      </w:pPr>
      <w:r>
        <w:t xml:space="preserve">Single Responsibility</w:t>
      </w:r>
    </w:p>
    <w:p>
      <w:pPr>
        <w:spacing w:after="120" w:before="0"/>
      </w:pPr>
      <w:r>
        <w:rPr/>
        <w:t>Produce a deterministic, clause-level structural diff between two contract versions for a specific SCM's negotiation. Contract-type-agnostic; works on any contract document the SCM owns operationally (Phase 1: MEPA, MPA). Identifies additions, deletions, modifications, and movements at the clause level, preserving full clause text and adjacent context.</w:t>
      </w:r>
    </w:p>
    <w:p>
      <w:pPr>
        <w:pStyle w:val="Heading3"/>
        <w:spacing w:after="120" w:before="220"/>
      </w:pPr>
      <w:r>
        <w:t xml:space="preserve">Triggers</w:t>
      </w:r>
    </w:p>
    <w:p>
      <w:pPr>
        <w:pStyle w:val="ListParagraph"/>
        <w:numPr>
          <w:ilvl w:val="0"/>
          <w:numId w:val="2"/>
        </w:numPr>
        <w:spacing w:after="80"/>
      </w:pPr>
      <w:r>
        <w:t xml:space="preserve">State event from Agent 3: 'round_ready_for_analysis' with paths to the two .docx files in the SCM's Drive scope.</w:t>
      </w:r>
    </w:p>
    <w:p>
      <w:pPr>
        <w:pStyle w:val="Heading3"/>
        <w:spacing w:after="120" w:before="220"/>
      </w:pPr>
      <w:r>
        <w:t xml:space="preserve">Inputs</w:t>
      </w:r>
    </w:p>
    <w:p>
      <w:pPr>
        <w:pStyle w:val="ListParagraph"/>
        <w:numPr>
          <w:ilvl w:val="0"/>
          <w:numId w:val="2"/>
        </w:numPr>
        <w:spacing w:after="80"/>
      </w:pPr>
      <w:r>
        <w:t xml:space="preserve">Two .docx file paths from Drive (tenant-scoped).</w:t>
      </w:r>
    </w:p>
    <w:p>
      <w:pPr>
        <w:pStyle w:val="ListParagraph"/>
        <w:numPr>
          <w:ilvl w:val="0"/>
          <w:numId w:val="2"/>
        </w:numPr>
        <w:spacing w:after="80"/>
      </w:pPr>
      <w:r>
        <w:t xml:space="preserve">Clause numbering convention configuration.</w:t>
      </w:r>
    </w:p>
    <w:p>
      <w:pPr>
        <w:pStyle w:val="Heading3"/>
        <w:spacing w:after="120" w:before="220"/>
      </w:pPr>
      <w:r>
        <w:t xml:space="preserve">Outputs</w:t>
      </w:r>
    </w:p>
    <w:p>
      <w:pPr>
        <w:pStyle w:val="ListParagraph"/>
        <w:numPr>
          <w:ilvl w:val="0"/>
          <w:numId w:val="2"/>
        </w:numPr>
        <w:spacing w:after="80"/>
      </w:pPr>
      <w:r>
        <w:rPr/>
        <w:t>Diff artifact (JSON) persisted to ACP_Negotiations_{SCM}/{contract_type}/{counterparty}/round_{N}/structural_diff.json</w:t>
      </w:r>
    </w:p>
    <w:p>
      <w:pPr>
        <w:pStyle w:val="ListParagraph"/>
        <w:numPr>
          <w:ilvl w:val="0"/>
          <w:numId w:val="2"/>
        </w:numPr>
        <w:spacing w:after="80"/>
      </w:pPr>
      <w:r>
        <w:t xml:space="preserve">Per-entry structure: { clause_reference, change_type, original_text, supplier_text, surrounding_context, character_delta }.</w:t>
      </w:r>
    </w:p>
    <w:p>
      <w:pPr>
        <w:pStyle w:val="Heading3"/>
        <w:spacing w:after="120" w:before="220"/>
      </w:pPr>
      <w:r>
        <w:t xml:space="preserve">Writes to SCM Tracker</w:t>
      </w:r>
    </w:p>
    <w:p>
      <w:pPr>
        <w:spacing w:after="120" w:before="0"/>
      </w:pPr>
      <w:r>
        <w:rPr>
          <w:i/>
          <w:iCs/>
        </w:rPr>
        <w:t xml:space="preserve">None. This agent produces artifacts only; tracker writes flow through Agent 3.</w:t>
      </w:r>
    </w:p>
    <w:p>
      <w:pPr>
        <w:pStyle w:val="Heading3"/>
        <w:spacing w:after="120" w:before="220"/>
      </w:pPr>
      <w:r>
        <w:t xml:space="preserve">External Dependencies</w:t>
      </w:r>
    </w:p>
    <w:p>
      <w:pPr>
        <w:pStyle w:val="ListParagraph"/>
        <w:numPr>
          <w:ilvl w:val="0"/>
          <w:numId w:val="2"/>
        </w:numPr>
        <w:spacing w:after="80"/>
      </w:pPr>
      <w:r>
        <w:t xml:space="preserve">python-docx</w:t>
      </w:r>
    </w:p>
    <w:p>
      <w:pPr>
        <w:pStyle w:val="ListParagraph"/>
        <w:numPr>
          <w:ilvl w:val="0"/>
          <w:numId w:val="2"/>
        </w:numPr>
        <w:spacing w:after="80"/>
      </w:pPr>
      <w:r>
        <w:t xml:space="preserve">Custom clause parser</w:t>
      </w:r>
    </w:p>
    <w:p>
      <w:pPr>
        <w:pStyle w:val="ListParagraph"/>
        <w:numPr>
          <w:ilvl w:val="0"/>
          <w:numId w:val="2"/>
        </w:numPr>
        <w:spacing w:after="80"/>
      </w:pPr>
      <w:r>
        <w:t xml:space="preserve">difflib</w:t>
      </w:r>
    </w:p>
    <w:p>
      <w:pPr>
        <w:pStyle w:val="Heading3"/>
        <w:spacing w:after="120" w:before="220"/>
      </w:pPr>
      <w:r>
        <w:t xml:space="preserve">Implementation Notes</w:t>
      </w:r>
    </w:p>
    <w:p>
      <w:pPr>
        <w:spacing w:after="120" w:before="0"/>
      </w:pPr>
      <w:r>
        <w:t xml:space="preserve">Clause-level diffing matches clauses by content similarity rather than position. The same diff engine runs for all four SCMs; the only thing that differs is the tenant-scoped file paths it operates on.</w:t>
      </w:r>
    </w:p>
    <w:p>
      <w:r>
        <w:br w:type="page"/>
      </w:r>
    </w:p>
    <w:p>
      <w:pPr>
        <w:pStyle w:val="Heading2"/>
        <w:spacing w:after="160" w:before="280"/>
      </w:pPr>
      <w:r>
        <w:t xml:space="preserve">5.5 Agent 5: Redline Analysis</w:t>
      </w:r>
    </w:p>
    <w:p>
      <w:pPr>
        <w:spacing w:after="200"/>
      </w:pPr>
      <w:r>
        <w:rPr>
          <w:b/>
          <w:bCs/>
          <w:sz w:val="20"/>
          <w:szCs w:val="20"/>
        </w:rPr>
        <w:t xml:space="preserve">Layer: </w:t>
      </w:r>
      <w:r>
        <w:rPr>
          <w:sz w:val="20"/>
          <w:szCs w:val="20"/>
        </w:rPr>
        <w:t xml:space="preserve">2 (Analysis &amp; Reasoning)</w:t>
      </w:r>
      <w:r>
        <w:rPr>
          <w:b/>
          <w:bCs/>
          <w:sz w:val="20"/>
          <w:szCs w:val="20"/>
        </w:rPr>
        <w:t xml:space="preserve">    LLM: </w:t>
      </w:r>
      <w:r>
        <w:rPr>
          <w:sz w:val="20"/>
          <w:szCs w:val="20"/>
        </w:rPr>
        <w:t xml:space="preserve">Opus (deep legal reasoning)</w:t>
      </w:r>
      <w:r>
        <w:rPr>
          <w:b/>
          <w:bCs/>
          <w:sz w:val="20"/>
          <w:szCs w:val="20"/>
        </w:rPr>
        <w:t xml:space="preserve">    Runtime: </w:t>
      </w:r>
      <w:r>
        <w:rPr>
          <w:sz w:val="20"/>
          <w:szCs w:val="20"/>
        </w:rPr>
        <w:t xml:space="preserve">Event-triggered</w:t>
      </w:r>
      <w:r>
        <w:rPr>
          <w:b/>
          <w:bCs/>
          <w:sz w:val="20"/>
          <w:szCs w:val="20"/>
        </w:rPr>
        <w:t xml:space="preserve">    Tenancy: </w:t>
      </w:r>
      <w:r>
        <w:rPr>
          <w:sz w:val="20"/>
          <w:szCs w:val="20"/>
        </w:rPr>
        <w:t xml:space="preserve">Per-SCM scoped (uses shared KB)</w:t>
      </w:r>
    </w:p>
    <w:p>
      <w:pPr>
        <w:pStyle w:val="Heading3"/>
        <w:spacing w:after="120" w:before="220"/>
      </w:pPr>
      <w:r>
        <w:t xml:space="preserve">Single Responsibility</w:t>
      </w:r>
    </w:p>
    <w:p>
      <w:pPr>
        <w:spacing w:after="120" w:before="0"/>
      </w:pPr>
      <w:r>
        <w:t xml:space="preserve">Reason about each entry in the structural diff and produce a recommendation: accept, reject, or negotiate. Cross-reference every redline against the shared Knowledge Base (precedents from all SCMs' historical negotiations). Apply supplier-profile calibration and Antora's playbook. Cite precedents explicitly; flag novel positions for Sandelin review.</w:t>
      </w:r>
    </w:p>
    <w:p>
      <w:pPr>
        <w:pStyle w:val="Heading3"/>
        <w:spacing w:after="120" w:before="220"/>
      </w:pPr>
      <w:r>
        <w:t xml:space="preserve">Triggers</w:t>
      </w:r>
    </w:p>
    <w:p>
      <w:pPr>
        <w:pStyle w:val="ListParagraph"/>
        <w:numPr>
          <w:ilvl w:val="0"/>
          <w:numId w:val="2"/>
        </w:numPr>
        <w:spacing w:after="80"/>
      </w:pPr>
      <w:r>
        <w:t xml:space="preserve">Diff artifact written to Drive by Agent 4 with notification event.</w:t>
      </w:r>
    </w:p>
    <w:p>
      <w:pPr>
        <w:pStyle w:val="Heading3"/>
        <w:spacing w:after="120" w:before="220"/>
      </w:pPr>
      <w:r>
        <w:t xml:space="preserve">Inputs</w:t>
      </w:r>
    </w:p>
    <w:p>
      <w:pPr>
        <w:pStyle w:val="ListParagraph"/>
        <w:numPr>
          <w:ilvl w:val="0"/>
          <w:numId w:val="2"/>
        </w:numPr>
        <w:spacing w:after="80"/>
      </w:pPr>
      <w:r>
        <w:t xml:space="preserve">Structural diff JSON from Agent 4.</w:t>
      </w:r>
    </w:p>
    <w:p>
      <w:pPr>
        <w:pStyle w:val="ListParagraph"/>
        <w:numPr>
          <w:ilvl w:val="0"/>
          <w:numId w:val="2"/>
        </w:numPr>
        <w:spacing w:after="80"/>
      </w:pPr>
      <w:r>
        <w:rPr/>
        <w:t>Antora negotiation playbook (shared across all SCMs; loaded by contract_type → clause_type).</w:t>
      </w:r>
    </w:p>
    <w:p>
      <w:pPr>
        <w:pStyle w:val="ListParagraph"/>
        <w:numPr>
          <w:ilvl w:val="0"/>
          <w:numId w:val="2"/>
        </w:numPr>
        <w:spacing w:after="80"/>
      </w:pPr>
      <w:r>
        <w:t xml:space="preserve">Shared Knowledge Base: precedent redlines, Sandelin overrides, executed counter-language from all SCMs' completed negotiations.</w:t>
      </w:r>
    </w:p>
    <w:p>
      <w:pPr>
        <w:pStyle w:val="ListParagraph"/>
        <w:numPr>
          <w:ilvl w:val="0"/>
          <w:numId w:val="2"/>
        </w:numPr>
        <w:spacing w:after="80"/>
      </w:pPr>
      <w:r>
        <w:t xml:space="preserve">Supplier profile sidecar JSON.</w:t>
      </w:r>
    </w:p>
    <w:p>
      <w:pPr>
        <w:pStyle w:val="ListParagraph"/>
        <w:numPr>
          <w:ilvl w:val="0"/>
          <w:numId w:val="2"/>
        </w:numPr>
        <w:spacing w:after="80"/>
      </w:pPr>
      <w:r>
        <w:t xml:space="preserve">Hard-coded high-risk flag rules (e.g., consequential damages + direct damages combination — the MCM precedent).</w:t>
      </w:r>
    </w:p>
    <w:p>
      <w:pPr>
        <w:pStyle w:val="Heading3"/>
        <w:spacing w:after="120" w:before="220"/>
      </w:pPr>
      <w:r>
        <w:t xml:space="preserve">Outputs</w:t>
      </w:r>
    </w:p>
    <w:p>
      <w:pPr>
        <w:pStyle w:val="ListParagraph"/>
        <w:numPr>
          <w:ilvl w:val="0"/>
          <w:numId w:val="2"/>
        </w:numPr>
        <w:spacing w:after="80"/>
      </w:pPr>
      <w:r>
        <w:rPr/>
        <w:t>Analysis artifact (JSON) at ACP_Negotiations_{SCM}/{contract_type}/{counterparty}/round_{N}/redline_analysis.json</w:t>
      </w:r>
    </w:p>
    <w:p>
      <w:pPr>
        <w:pStyle w:val="ListParagraph"/>
        <w:numPr>
          <w:ilvl w:val="0"/>
          <w:numId w:val="2"/>
        </w:numPr>
        <w:spacing w:after="80"/>
      </w:pPr>
      <w:r>
        <w:t xml:space="preserve">Per-entry: { clause_reference, recommendation, risk_rating, rationale, precedent_citations (with contributing SCM), supplier_profile_factors, sandelin_review_required }.</w:t>
      </w:r>
    </w:p>
    <w:p>
      <w:pPr>
        <w:pStyle w:val="ListParagraph"/>
        <w:numPr>
          <w:ilvl w:val="0"/>
          <w:numId w:val="2"/>
        </w:numPr>
        <w:spacing w:after="80"/>
      </w:pPr>
      <w:r>
        <w:t xml:space="preserve">Round summary: total redlines, breakdown by recommendation and risk, critical-risk items.</w:t>
      </w:r>
    </w:p>
    <w:p>
      <w:pPr>
        <w:pStyle w:val="Heading3"/>
        <w:spacing w:after="120" w:before="220"/>
      </w:pPr>
      <w:r>
        <w:t xml:space="preserve">Writes to SCM Tracker</w:t>
      </w:r>
    </w:p>
    <w:p>
      <w:pPr>
        <w:spacing w:after="120" w:before="0"/>
      </w:pPr>
      <w:r>
        <w:rPr>
          <w:i/>
          <w:iCs/>
        </w:rPr>
        <w:t xml:space="preserve">None. This agent produces artifacts only; tracker writes flow through Agent 3.</w:t>
      </w:r>
    </w:p>
    <w:p>
      <w:pPr>
        <w:pStyle w:val="Heading3"/>
        <w:spacing w:after="120" w:before="220"/>
      </w:pPr>
      <w:r>
        <w:t xml:space="preserve">External Dependencies</w:t>
      </w:r>
    </w:p>
    <w:p>
      <w:pPr>
        <w:pStyle w:val="ListParagraph"/>
        <w:numPr>
          <w:ilvl w:val="0"/>
          <w:numId w:val="2"/>
        </w:numPr>
        <w:spacing w:after="80"/>
      </w:pPr>
      <w:r>
        <w:t xml:space="preserve">Anthropic API (Opus)</w:t>
      </w:r>
    </w:p>
    <w:p>
      <w:pPr>
        <w:pStyle w:val="ListParagraph"/>
        <w:numPr>
          <w:ilvl w:val="0"/>
          <w:numId w:val="2"/>
        </w:numPr>
        <w:spacing w:after="80"/>
      </w:pPr>
      <w:r>
        <w:t xml:space="preserve">Shared Knowledge Base accessor</w:t>
      </w:r>
    </w:p>
    <w:p>
      <w:pPr>
        <w:pStyle w:val="ListParagraph"/>
        <w:numPr>
          <w:ilvl w:val="0"/>
          <w:numId w:val="2"/>
        </w:numPr>
        <w:spacing w:after="80"/>
      </w:pPr>
      <w:r>
        <w:t xml:space="preserve">Playbook accessor</w:t>
      </w:r>
    </w:p>
    <w:p>
      <w:pPr>
        <w:pStyle w:val="Heading3"/>
        <w:spacing w:after="120" w:before="220"/>
      </w:pPr>
      <w:r>
        <w:t xml:space="preserve">Implementation Notes</w:t>
      </w:r>
    </w:p>
    <w:p>
      <w:pPr>
        <w:spacing w:after="120" w:before="0"/>
      </w:pPr>
      <w:r>
        <w:t xml:space="preserve">This agent is the primary consumer and beneficiary of the multi-tenant Knowledge Base. A redline being negotiated by Tom can cite a precedent set by Mugdha. This is where ACP's cross-team value compounds. Recommendations are tenant-scoped (the analysis lives in the owning SCM's Drive) but the reasoning draws on all tenants' contributions.</w:t>
      </w:r>
    </w:p>
    <w:p>
      <w:r>
        <w:br w:type="page"/>
      </w:r>
    </w:p>
    <w:p>
      <w:pPr>
        <w:pStyle w:val="Heading2"/>
        <w:spacing w:after="160" w:before="280"/>
      </w:pPr>
      <w:r>
        <w:t xml:space="preserve">5.6 Agent 6: Counter-Proposal Drafting</w:t>
      </w:r>
    </w:p>
    <w:p>
      <w:pPr>
        <w:spacing w:after="200"/>
      </w:pPr>
      <w:r>
        <w:rPr>
          <w:b/>
          <w:bCs/>
          <w:sz w:val="20"/>
          <w:szCs w:val="20"/>
        </w:rPr>
        <w:t xml:space="preserve">Layer: </w:t>
      </w:r>
      <w:r>
        <w:rPr>
          <w:sz w:val="20"/>
          <w:szCs w:val="20"/>
        </w:rPr>
        <w:t xml:space="preserve">2 (Analysis &amp; Reasoning)</w:t>
      </w:r>
      <w:r>
        <w:rPr>
          <w:b/>
          <w:bCs/>
          <w:sz w:val="20"/>
          <w:szCs w:val="20"/>
        </w:rPr>
        <w:t xml:space="preserve">    LLM: </w:t>
      </w:r>
      <w:r>
        <w:rPr>
          <w:sz w:val="20"/>
          <w:szCs w:val="20"/>
        </w:rPr>
        <w:t xml:space="preserve">Sonnet (drafting)</w:t>
      </w:r>
      <w:r>
        <w:rPr>
          <w:b/>
          <w:bCs/>
          <w:sz w:val="20"/>
          <w:szCs w:val="20"/>
        </w:rPr>
        <w:t xml:space="preserve">    Runtime: </w:t>
      </w:r>
      <w:r>
        <w:rPr>
          <w:sz w:val="20"/>
          <w:szCs w:val="20"/>
        </w:rPr>
        <w:t xml:space="preserve">Event-triggered</w:t>
      </w:r>
      <w:r>
        <w:rPr>
          <w:b/>
          <w:bCs/>
          <w:sz w:val="20"/>
          <w:szCs w:val="20"/>
        </w:rPr>
        <w:t xml:space="preserve">    Tenancy: </w:t>
      </w:r>
      <w:r>
        <w:rPr>
          <w:sz w:val="20"/>
          <w:szCs w:val="20"/>
        </w:rPr>
        <w:t xml:space="preserve">Per-SCM scoped (uses shared KB)</w:t>
      </w:r>
    </w:p>
    <w:p>
      <w:pPr>
        <w:pStyle w:val="Heading3"/>
        <w:spacing w:after="120" w:before="220"/>
      </w:pPr>
      <w:r>
        <w:t xml:space="preserve">Single Responsibility</w:t>
      </w:r>
    </w:p>
    <w:p>
      <w:pPr>
        <w:spacing w:after="120" w:before="0"/>
      </w:pPr>
      <w:r>
        <w:t xml:space="preserve">Draft counter-proposal language for every reject/negotiate redline from Agent 5. Reuse precedent counter language from the shared Knowledge Base whenever Agent 5 cited a precedent, to maintain consistency across SCMs' negotiations.</w:t>
      </w:r>
    </w:p>
    <w:p>
      <w:pPr>
        <w:pStyle w:val="Heading3"/>
        <w:spacing w:after="120" w:before="220"/>
      </w:pPr>
      <w:r>
        <w:t xml:space="preserve">Triggers</w:t>
      </w:r>
    </w:p>
    <w:p>
      <w:pPr>
        <w:pStyle w:val="ListParagraph"/>
        <w:numPr>
          <w:ilvl w:val="0"/>
          <w:numId w:val="2"/>
        </w:numPr>
        <w:spacing w:after="80"/>
      </w:pPr>
      <w:r>
        <w:t xml:space="preserve">Analysis artifact from Agent 5 with notification.</w:t>
      </w:r>
    </w:p>
    <w:p>
      <w:pPr>
        <w:pStyle w:val="Heading3"/>
        <w:spacing w:after="120" w:before="220"/>
      </w:pPr>
      <w:r>
        <w:t xml:space="preserve">Inputs</w:t>
      </w:r>
    </w:p>
    <w:p>
      <w:pPr>
        <w:pStyle w:val="ListParagraph"/>
        <w:numPr>
          <w:ilvl w:val="0"/>
          <w:numId w:val="2"/>
        </w:numPr>
        <w:spacing w:after="80"/>
      </w:pPr>
      <w:r>
        <w:t xml:space="preserve">Redline Analysis JSON (filtered to reject and negotiate items).</w:t>
      </w:r>
    </w:p>
    <w:p>
      <w:pPr>
        <w:pStyle w:val="ListParagraph"/>
        <w:numPr>
          <w:ilvl w:val="0"/>
          <w:numId w:val="2"/>
        </w:numPr>
        <w:spacing w:after="80"/>
      </w:pPr>
      <w:r>
        <w:rPr/>
        <w:t>Antora contract template clauses (loaded per contract_type from Layer C content; Phase 1: MEPA, MPA templates).</w:t>
      </w:r>
    </w:p>
    <w:p>
      <w:pPr>
        <w:pStyle w:val="ListParagraph"/>
        <w:numPr>
          <w:ilvl w:val="0"/>
          <w:numId w:val="2"/>
        </w:numPr>
        <w:spacing w:after="80"/>
      </w:pPr>
      <w:r>
        <w:t xml:space="preserve">Counter-proposal library from shared Knowledge Base.</w:t>
      </w:r>
    </w:p>
    <w:p>
      <w:pPr>
        <w:pStyle w:val="ListParagraph"/>
        <w:numPr>
          <w:ilvl w:val="0"/>
          <w:numId w:val="2"/>
        </w:numPr>
        <w:spacing w:after="80"/>
      </w:pPr>
      <w:r>
        <w:t xml:space="preserve">Style guide.</w:t>
      </w:r>
    </w:p>
    <w:p>
      <w:pPr>
        <w:pStyle w:val="Heading3"/>
        <w:spacing w:after="120" w:before="220"/>
      </w:pPr>
      <w:r>
        <w:t xml:space="preserve">Outputs</w:t>
      </w:r>
    </w:p>
    <w:p>
      <w:pPr>
        <w:pStyle w:val="ListParagraph"/>
        <w:numPr>
          <w:ilvl w:val="0"/>
          <w:numId w:val="2"/>
        </w:numPr>
        <w:spacing w:after="80"/>
      </w:pPr>
      <w:r>
        <w:rPr/>
        <w:t>Counter-proposal artifact (JSON) at ACP_Negotiations_{SCM}/{contract_type}/{counterparty}/round_{N}/counter_proposals.json</w:t>
      </w:r>
    </w:p>
    <w:p>
      <w:pPr>
        <w:pStyle w:val="ListParagraph"/>
        <w:numPr>
          <w:ilvl w:val="0"/>
          <w:numId w:val="2"/>
        </w:numPr>
        <w:spacing w:after="80"/>
      </w:pPr>
      <w:r>
        <w:t xml:space="preserve">Per-entry: { clause_reference, supplier_text, counter_text, counter_rationale_summary, precedent_used (with contributing SCM), tracked_changes_ready_markup }.</w:t>
      </w:r>
    </w:p>
    <w:p>
      <w:pPr>
        <w:pStyle w:val="ListParagraph"/>
        <w:numPr>
          <w:ilvl w:val="0"/>
          <w:numId w:val="2"/>
        </w:numPr>
        <w:spacing w:after="80"/>
      </w:pPr>
      <w:r>
        <w:t xml:space="preserve">Tracked-changes-ready .docx fragments.</w:t>
      </w:r>
    </w:p>
    <w:p>
      <w:pPr>
        <w:pStyle w:val="Heading3"/>
        <w:spacing w:after="120" w:before="220"/>
      </w:pPr>
      <w:r>
        <w:t xml:space="preserve">Writes to SCM Tracker</w:t>
      </w:r>
    </w:p>
    <w:p>
      <w:pPr>
        <w:spacing w:after="120" w:before="0"/>
      </w:pPr>
      <w:r>
        <w:rPr>
          <w:i/>
          <w:iCs/>
        </w:rPr>
        <w:t xml:space="preserve">None. This agent produces artifacts only; tracker writes flow through Agent 3.</w:t>
      </w:r>
    </w:p>
    <w:p>
      <w:pPr>
        <w:pStyle w:val="Heading3"/>
        <w:spacing w:after="120" w:before="220"/>
      </w:pPr>
      <w:r>
        <w:t xml:space="preserve">External Dependencies</w:t>
      </w:r>
    </w:p>
    <w:p>
      <w:pPr>
        <w:pStyle w:val="ListParagraph"/>
        <w:numPr>
          <w:ilvl w:val="0"/>
          <w:numId w:val="2"/>
        </w:numPr>
        <w:spacing w:after="80"/>
      </w:pPr>
      <w:r>
        <w:t xml:space="preserve">Anthropic API (Sonnet)</w:t>
      </w:r>
    </w:p>
    <w:p>
      <w:pPr>
        <w:pStyle w:val="ListParagraph"/>
        <w:numPr>
          <w:ilvl w:val="0"/>
          <w:numId w:val="2"/>
        </w:numPr>
        <w:spacing w:after="80"/>
      </w:pPr>
      <w:r>
        <w:t xml:space="preserve">Counter-proposal library</w:t>
      </w:r>
    </w:p>
    <w:p>
      <w:pPr>
        <w:pStyle w:val="ListParagraph"/>
        <w:numPr>
          <w:ilvl w:val="0"/>
          <w:numId w:val="2"/>
        </w:numPr>
        <w:spacing w:after="80"/>
      </w:pPr>
      <w:r>
        <w:t xml:space="preserve">python-docx</w:t>
      </w:r>
    </w:p>
    <w:p>
      <w:pPr>
        <w:pStyle w:val="Heading3"/>
        <w:spacing w:after="120" w:before="220"/>
      </w:pPr>
      <w:r>
        <w:t xml:space="preserve">Implementation Notes</w:t>
      </w:r>
    </w:p>
    <w:p>
      <w:pPr>
        <w:spacing w:after="120" w:before="0"/>
      </w:pPr>
      <w:r>
        <w:t xml:space="preserve">Consistency across the team is critical: if multiple SCMs are negotiating the same clause type with different suppliers, they should generally present the same counter-language unless supplier-specific factors justify variance. The Knowledge Base enables this; Agent 6 enforces it.</w:t>
      </w:r>
    </w:p>
    <w:p>
      <w:r>
        <w:br w:type="page"/>
      </w:r>
    </w:p>
    <w:p>
      <w:pPr>
        <w:pStyle w:val="Heading2"/>
        <w:spacing w:after="160" w:before="280"/>
      </w:pPr>
      <w:r>
        <w:t xml:space="preserve">5.7 Agent 7: Legal Reference Sheet Generator</w:t>
      </w:r>
    </w:p>
    <w:p>
      <w:pPr>
        <w:spacing w:after="200"/>
      </w:pPr>
      <w:r>
        <w:rPr>
          <w:b/>
          <w:bCs/>
          <w:sz w:val="20"/>
          <w:szCs w:val="20"/>
        </w:rPr>
        <w:t xml:space="preserve">Layer: </w:t>
      </w:r>
      <w:r>
        <w:rPr>
          <w:sz w:val="20"/>
          <w:szCs w:val="20"/>
        </w:rPr>
        <w:t xml:space="preserve">3 (Output &amp; Coordination)</w:t>
      </w:r>
      <w:r>
        <w:rPr>
          <w:b/>
          <w:bCs/>
          <w:sz w:val="20"/>
          <w:szCs w:val="20"/>
        </w:rPr>
        <w:t xml:space="preserve">    LLM: </w:t>
      </w:r>
      <w:r>
        <w:rPr>
          <w:sz w:val="20"/>
          <w:szCs w:val="20"/>
        </w:rPr>
        <w:t xml:space="preserve">None (deterministic)</w:t>
      </w:r>
      <w:r>
        <w:rPr>
          <w:b/>
          <w:bCs/>
          <w:sz w:val="20"/>
          <w:szCs w:val="20"/>
        </w:rPr>
        <w:t xml:space="preserve">    Runtime: </w:t>
      </w:r>
      <w:r>
        <w:rPr>
          <w:sz w:val="20"/>
          <w:szCs w:val="20"/>
        </w:rPr>
        <w:t xml:space="preserve">Event-triggered</w:t>
      </w:r>
      <w:r>
        <w:rPr>
          <w:b/>
          <w:bCs/>
          <w:sz w:val="20"/>
          <w:szCs w:val="20"/>
        </w:rPr>
        <w:t xml:space="preserve">    Tenancy: </w:t>
      </w:r>
      <w:r>
        <w:rPr>
          <w:sz w:val="20"/>
          <w:szCs w:val="20"/>
        </w:rPr>
        <w:t xml:space="preserve">Per-SCM scoped</w:t>
      </w:r>
    </w:p>
    <w:p>
      <w:pPr>
        <w:pStyle w:val="Heading3"/>
        <w:spacing w:after="120" w:before="220"/>
      </w:pPr>
      <w:r>
        <w:t xml:space="preserve">Single Responsibility</w:t>
      </w:r>
    </w:p>
    <w:p>
      <w:pPr>
        <w:spacing w:after="120" w:before="0"/>
      </w:pPr>
      <w:r>
        <w:t xml:space="preserve">Populate the Antora Legal Reference Sheet template with the round's complete decision record. Deliver the populated LRS to Sandelin via Gmail with the owning SCM CC'd. This is the final output of the analysis pipeline and the formal handoff to Legal.</w:t>
      </w:r>
    </w:p>
    <w:p>
      <w:pPr>
        <w:pStyle w:val="Heading3"/>
        <w:spacing w:after="120" w:before="220"/>
      </w:pPr>
      <w:r>
        <w:t xml:space="preserve">Triggers</w:t>
      </w:r>
    </w:p>
    <w:p>
      <w:pPr>
        <w:pStyle w:val="ListParagraph"/>
        <w:numPr>
          <w:ilvl w:val="0"/>
          <w:numId w:val="2"/>
        </w:numPr>
        <w:spacing w:after="80"/>
      </w:pPr>
      <w:r>
        <w:t xml:space="preserve">Notification that both Agent 5 and Agent 6 outputs are complete.</w:t>
      </w:r>
    </w:p>
    <w:p>
      <w:pPr>
        <w:pStyle w:val="Heading3"/>
        <w:spacing w:after="120" w:before="220"/>
      </w:pPr>
      <w:r>
        <w:t xml:space="preserve">Inputs</w:t>
      </w:r>
    </w:p>
    <w:p>
      <w:pPr>
        <w:pStyle w:val="ListParagraph"/>
        <w:numPr>
          <w:ilvl w:val="0"/>
          <w:numId w:val="2"/>
        </w:numPr>
        <w:spacing w:after="80"/>
      </w:pPr>
      <w:r>
        <w:t xml:space="preserve">Redline Analysis JSON, Counter-Proposal JSON, LRS .docx template (open item — to be provided), round metadata.</w:t>
      </w:r>
    </w:p>
    <w:p>
      <w:pPr>
        <w:pStyle w:val="Heading3"/>
        <w:spacing w:after="120" w:before="220"/>
      </w:pPr>
      <w:r>
        <w:t xml:space="preserve">Outputs</w:t>
      </w:r>
    </w:p>
    <w:p>
      <w:pPr>
        <w:pStyle w:val="ListParagraph"/>
        <w:numPr>
          <w:ilvl w:val="0"/>
          <w:numId w:val="2"/>
        </w:numPr>
        <w:spacing w:after="80"/>
      </w:pPr>
      <w:r>
        <w:rPr/>
        <w:t>Populated LRS at ACP_Negotiations_{SCM}/{contract_type}/{counterparty}/round_{N}/legal_reference_sheet.docx</w:t>
      </w:r>
    </w:p>
    <w:p>
      <w:pPr>
        <w:pStyle w:val="ListParagraph"/>
        <w:numPr>
          <w:ilvl w:val="0"/>
          <w:numId w:val="2"/>
        </w:numPr>
        <w:spacing w:after="80"/>
      </w:pPr>
      <w:r>
        <w:t xml:space="preserve">Gmail to Sandelin (CC the owning SCM) with LRS attached and structured summary body identifying the SCM and supplier.</w:t>
      </w:r>
    </w:p>
    <w:p>
      <w:pPr>
        <w:pStyle w:val="ListParagraph"/>
        <w:numPr>
          <w:ilvl w:val="0"/>
          <w:numId w:val="2"/>
        </w:numPr>
        <w:spacing w:after="80"/>
      </w:pPr>
      <w:r>
        <w:t xml:space="preserve">Event to Agent 3: 'lrs_delivered_to_legal'.</w:t>
      </w:r>
    </w:p>
    <w:p>
      <w:pPr>
        <w:pStyle w:val="Heading3"/>
        <w:spacing w:after="120" w:before="220"/>
      </w:pPr>
      <w:r>
        <w:t xml:space="preserve">Writes to SCM Tracker</w:t>
      </w:r>
    </w:p>
    <w:p>
      <w:pPr>
        <w:spacing w:after="120" w:before="0"/>
      </w:pPr>
      <w:r>
        <w:rPr>
          <w:i/>
          <w:iCs/>
        </w:rPr>
        <w:t xml:space="preserve">None. This agent produces artifacts only; tracker writes flow through Agent 3.</w:t>
      </w:r>
    </w:p>
    <w:p>
      <w:pPr>
        <w:pStyle w:val="Heading3"/>
        <w:spacing w:after="120" w:before="220"/>
      </w:pPr>
      <w:r>
        <w:t xml:space="preserve">External Dependencies</w:t>
      </w:r>
    </w:p>
    <w:p>
      <w:pPr>
        <w:pStyle w:val="ListParagraph"/>
        <w:numPr>
          <w:ilvl w:val="0"/>
          <w:numId w:val="2"/>
        </w:numPr>
        <w:spacing w:after="80"/>
      </w:pPr>
      <w:r>
        <w:t xml:space="preserve">python-docx</w:t>
      </w:r>
    </w:p>
    <w:p>
      <w:pPr>
        <w:pStyle w:val="ListParagraph"/>
        <w:numPr>
          <w:ilvl w:val="0"/>
          <w:numId w:val="2"/>
        </w:numPr>
        <w:spacing w:after="80"/>
      </w:pPr>
      <w:r>
        <w:t xml:space="preserve">Gmail API</w:t>
      </w:r>
    </w:p>
    <w:p>
      <w:pPr>
        <w:pStyle w:val="ListParagraph"/>
        <w:numPr>
          <w:ilvl w:val="0"/>
          <w:numId w:val="2"/>
        </w:numPr>
        <w:spacing w:after="80"/>
      </w:pPr>
      <w:r>
        <w:t xml:space="preserve">LRS template</w:t>
      </w:r>
    </w:p>
    <w:p>
      <w:pPr>
        <w:pStyle w:val="Heading3"/>
        <w:spacing w:after="120" w:before="220"/>
      </w:pPr>
      <w:r>
        <w:t xml:space="preserve">Implementation Notes</w:t>
      </w:r>
    </w:p>
    <w:p>
      <w:pPr>
        <w:spacing w:after="120" w:before="0"/>
      </w:pPr>
      <w:r>
        <w:t xml:space="preserve">The Gmail body identifies which SCM owns the negotiation so Sandelin can route follow-up questions to the right person. Critical-risk items are flagged prominently in the body.</w:t>
      </w:r>
    </w:p>
    <w:p>
      <w:r>
        <w:br w:type="page"/>
      </w:r>
    </w:p>
    <w:p>
      <w:pPr>
        <w:pStyle w:val="Heading2"/>
        <w:spacing w:after="160" w:before="280"/>
      </w:pPr>
      <w:r>
        <w:t xml:space="preserve">5.8 Agent 8: Workflow Orchestrator</w:t>
      </w:r>
    </w:p>
    <w:p>
      <w:pPr>
        <w:spacing w:after="200"/>
      </w:pPr>
      <w:r>
        <w:rPr>
          <w:b/>
          <w:bCs/>
          <w:sz w:val="20"/>
          <w:szCs w:val="20"/>
        </w:rPr>
        <w:t xml:space="preserve">Layer: </w:t>
      </w:r>
      <w:r>
        <w:rPr>
          <w:sz w:val="20"/>
          <w:szCs w:val="20"/>
        </w:rPr>
        <w:t xml:space="preserve">3 (Output &amp; Coordination)</w:t>
      </w:r>
      <w:r>
        <w:rPr>
          <w:b/>
          <w:bCs/>
          <w:sz w:val="20"/>
          <w:szCs w:val="20"/>
        </w:rPr>
        <w:t xml:space="preserve">    LLM: </w:t>
      </w:r>
      <w:r>
        <w:rPr>
          <w:sz w:val="20"/>
          <w:szCs w:val="20"/>
        </w:rPr>
        <w:t xml:space="preserve">None (orchestration)</w:t>
      </w:r>
      <w:r>
        <w:rPr>
          <w:b/>
          <w:bCs/>
          <w:sz w:val="20"/>
          <w:szCs w:val="20"/>
        </w:rPr>
        <w:t xml:space="preserve">    Runtime: </w:t>
      </w:r>
      <w:r>
        <w:rPr>
          <w:sz w:val="20"/>
          <w:szCs w:val="20"/>
        </w:rPr>
        <w:t xml:space="preserve">Always-on + scheduled</w:t>
      </w:r>
      <w:r>
        <w:rPr>
          <w:b/>
          <w:bCs/>
          <w:sz w:val="20"/>
          <w:szCs w:val="20"/>
        </w:rPr>
        <w:t xml:space="preserve">    Tenancy: </w:t>
      </w:r>
      <w:r>
        <w:rPr>
          <w:sz w:val="20"/>
          <w:szCs w:val="20"/>
        </w:rPr>
        <w:t xml:space="preserve">Per-SCM scoped (executes), team-wide observable</w:t>
      </w:r>
    </w:p>
    <w:p>
      <w:pPr>
        <w:pStyle w:val="Heading3"/>
        <w:spacing w:after="120" w:before="220"/>
      </w:pPr>
      <w:r>
        <w:t xml:space="preserve">Single Responsibility</w:t>
      </w:r>
    </w:p>
    <w:p>
      <w:pPr>
        <w:spacing w:after="120" w:before="0"/>
      </w:pPr>
      <w:r>
        <w:t xml:space="preserve">Coordinate agent handoffs, enforce SLAs, manage retries, post consolidated status updates. SLA enforcement and retries are per-SCM scoped; pipeline health monitoring observes all tenants.</w:t>
      </w:r>
    </w:p>
    <w:p>
      <w:pPr>
        <w:pStyle w:val="Heading3"/>
        <w:spacing w:after="120" w:before="220"/>
      </w:pPr>
      <w:r>
        <w:t xml:space="preserve">Triggers</w:t>
      </w:r>
    </w:p>
    <w:p>
      <w:pPr>
        <w:pStyle w:val="ListParagraph"/>
        <w:numPr>
          <w:ilvl w:val="0"/>
          <w:numId w:val="2"/>
        </w:numPr>
        <w:spacing w:after="80"/>
      </w:pPr>
      <w:r>
        <w:t xml:space="preserve">All inter-agent state events (passive listener).</w:t>
      </w:r>
    </w:p>
    <w:p>
      <w:pPr>
        <w:pStyle w:val="ListParagraph"/>
        <w:numPr>
          <w:ilvl w:val="0"/>
          <w:numId w:val="2"/>
        </w:numPr>
        <w:spacing w:after="80"/>
      </w:pPr>
      <w:r>
        <w:t xml:space="preserve">Hourly SLA breach sweep per tenant.</w:t>
      </w:r>
    </w:p>
    <w:p>
      <w:pPr>
        <w:pStyle w:val="ListParagraph"/>
        <w:numPr>
          <w:ilvl w:val="0"/>
          <w:numId w:val="2"/>
        </w:numPr>
        <w:spacing w:after="80"/>
      </w:pPr>
      <w:r>
        <w:t xml:space="preserve">Daily 8am PT summary to #mepa-mpa-redline-agent.</w:t>
      </w:r>
    </w:p>
    <w:p>
      <w:pPr>
        <w:pStyle w:val="Heading3"/>
        <w:spacing w:after="120" w:before="220"/>
      </w:pPr>
      <w:r>
        <w:t xml:space="preserve">Inputs</w:t>
      </w:r>
    </w:p>
    <w:p>
      <w:pPr>
        <w:pStyle w:val="ListParagraph"/>
        <w:numPr>
          <w:ilvl w:val="0"/>
          <w:numId w:val="2"/>
        </w:numPr>
        <w:spacing w:after="80"/>
      </w:pPr>
      <w:r>
        <w:t xml:space="preserve">Event stream from all agents.</w:t>
      </w:r>
    </w:p>
    <w:p>
      <w:pPr>
        <w:pStyle w:val="ListParagraph"/>
        <w:numPr>
          <w:ilvl w:val="0"/>
          <w:numId w:val="2"/>
        </w:numPr>
        <w:spacing w:after="80"/>
      </w:pPr>
      <w:r>
        <w:t xml:space="preserve">Per-tenant SLA configuration.</w:t>
      </w:r>
    </w:p>
    <w:p>
      <w:pPr>
        <w:pStyle w:val="ListParagraph"/>
        <w:numPr>
          <w:ilvl w:val="0"/>
          <w:numId w:val="2"/>
        </w:numPr>
        <w:spacing w:after="80"/>
      </w:pPr>
      <w:r>
        <w:t xml:space="preserve">Retry policy.</w:t>
      </w:r>
    </w:p>
    <w:p>
      <w:pPr>
        <w:pStyle w:val="Heading3"/>
        <w:spacing w:after="120" w:before="220"/>
      </w:pPr>
      <w:r>
        <w:t xml:space="preserve">Outputs</w:t>
      </w:r>
    </w:p>
    <w:p>
      <w:pPr>
        <w:pStyle w:val="ListParagraph"/>
        <w:numPr>
          <w:ilvl w:val="0"/>
          <w:numId w:val="2"/>
        </w:numPr>
        <w:spacing w:after="80"/>
      </w:pPr>
      <w:r>
        <w:t xml:space="preserve">Slack notifications (mention owning SCM).</w:t>
      </w:r>
    </w:p>
    <w:p>
      <w:pPr>
        <w:pStyle w:val="ListParagraph"/>
        <w:numPr>
          <w:ilvl w:val="0"/>
          <w:numId w:val="2"/>
        </w:numPr>
        <w:spacing w:after="80"/>
      </w:pPr>
      <w:r>
        <w:t xml:space="preserve">Email alerts on critical events to the owning SCM and to Vincent as System Owner.</w:t>
      </w:r>
    </w:p>
    <w:p>
      <w:pPr>
        <w:pStyle w:val="ListParagraph"/>
        <w:numPr>
          <w:ilvl w:val="0"/>
          <w:numId w:val="2"/>
        </w:numPr>
        <w:spacing w:after="80"/>
      </w:pPr>
      <w:r>
        <w:t xml:space="preserve">Pipeline health metrics by tenant.</w:t>
      </w:r>
    </w:p>
    <w:p>
      <w:pPr>
        <w:pStyle w:val="ListParagraph"/>
        <w:numPr>
          <w:ilvl w:val="0"/>
          <w:numId w:val="2"/>
        </w:numPr>
        <w:spacing w:after="80"/>
      </w:pPr>
      <w:r>
        <w:t xml:space="preserve">Retry of failed downstream calls with exponential backoff.</w:t>
      </w:r>
    </w:p>
    <w:p>
      <w:pPr>
        <w:pStyle w:val="Heading3"/>
        <w:spacing w:after="120" w:before="220"/>
      </w:pPr>
      <w:r>
        <w:t xml:space="preserve">Writes to SCM Tracker</w:t>
      </w:r>
    </w:p>
    <w:p>
      <w:pPr>
        <w:spacing w:after="120" w:before="0"/>
      </w:pPr>
      <w:r>
        <w:rPr>
          <w:i/>
          <w:iCs/>
        </w:rPr>
        <w:t xml:space="preserve">None. This agent produces artifacts only; tracker writes flow through Agent 3.</w:t>
      </w:r>
    </w:p>
    <w:p>
      <w:pPr>
        <w:pStyle w:val="Heading3"/>
        <w:spacing w:after="120" w:before="220"/>
      </w:pPr>
      <w:r>
        <w:t xml:space="preserve">External Dependencies</w:t>
      </w:r>
    </w:p>
    <w:p>
      <w:pPr>
        <w:pStyle w:val="ListParagraph"/>
        <w:numPr>
          <w:ilvl w:val="0"/>
          <w:numId w:val="2"/>
        </w:numPr>
        <w:spacing w:after="80"/>
      </w:pPr>
      <w:r>
        <w:t xml:space="preserve">Slack Web API</w:t>
      </w:r>
    </w:p>
    <w:p>
      <w:pPr>
        <w:pStyle w:val="ListParagraph"/>
        <w:numPr>
          <w:ilvl w:val="0"/>
          <w:numId w:val="2"/>
        </w:numPr>
        <w:spacing w:after="80"/>
      </w:pPr>
      <w:r>
        <w:t xml:space="preserve">Gmail API</w:t>
      </w:r>
    </w:p>
    <w:p>
      <w:pPr>
        <w:pStyle w:val="ListParagraph"/>
        <w:numPr>
          <w:ilvl w:val="0"/>
          <w:numId w:val="2"/>
        </w:numPr>
        <w:spacing w:after="80"/>
      </w:pPr>
      <w:r>
        <w:t xml:space="preserve">Integration with scm_monitor.py</w:t>
      </w:r>
    </w:p>
    <w:p>
      <w:pPr>
        <w:pStyle w:val="Heading3"/>
        <w:spacing w:after="120" w:before="220"/>
      </w:pPr>
      <w:r>
        <w:t xml:space="preserve">Implementation Notes</w:t>
      </w:r>
    </w:p>
    <w:p>
      <w:pPr>
        <w:spacing w:after="120" w:before="0"/>
      </w:pPr>
      <w:r>
        <w:t xml:space="preserve">Critical-risk items generate immediate Slack alerts mentioning the owning SCM. SLA breaches escalate: first breach is a Slack notification to the SCM, second is Gmail to the SCM + Vincent, third escalates to Ranjeet.</w:t>
      </w:r>
    </w:p>
    <w:p>
      <w:r>
        <w:br w:type="page"/>
      </w:r>
    </w:p>
    <w:p>
      <w:pPr>
        <w:pStyle w:val="Heading2"/>
        <w:spacing w:after="160" w:before="280"/>
      </w:pPr>
      <w:r>
        <w:t xml:space="preserve">5.9 Agent 9: Portfolio Aggregator</w:t>
      </w:r>
    </w:p>
    <w:p>
      <w:pPr>
        <w:spacing w:after="200"/>
      </w:pPr>
      <w:r>
        <w:rPr>
          <w:b/>
          <w:bCs/>
          <w:sz w:val="20"/>
          <w:szCs w:val="20"/>
        </w:rPr>
        <w:t xml:space="preserve">Layer: </w:t>
      </w:r>
      <w:r>
        <w:rPr>
          <w:sz w:val="20"/>
          <w:szCs w:val="20"/>
        </w:rPr>
        <w:t xml:space="preserve">3 (Output &amp; Coordination) — NEW IN v2</w:t>
      </w:r>
      <w:r>
        <w:rPr>
          <w:b/>
          <w:bCs/>
          <w:sz w:val="20"/>
          <w:szCs w:val="20"/>
        </w:rPr>
        <w:t xml:space="preserve">    LLM: </w:t>
      </w:r>
      <w:r>
        <w:rPr>
          <w:sz w:val="20"/>
          <w:szCs w:val="20"/>
        </w:rPr>
        <w:t xml:space="preserve">None (deterministic aggregation)</w:t>
      </w:r>
      <w:r>
        <w:rPr>
          <w:b/>
          <w:bCs/>
          <w:sz w:val="20"/>
          <w:szCs w:val="20"/>
        </w:rPr>
        <w:t xml:space="preserve">    Runtime: </w:t>
      </w:r>
      <w:r>
        <w:rPr>
          <w:sz w:val="20"/>
          <w:szCs w:val="20"/>
        </w:rPr>
        <w:t xml:space="preserve">Always-on + scheduled</w:t>
      </w:r>
      <w:r>
        <w:rPr>
          <w:b/>
          <w:bCs/>
          <w:sz w:val="20"/>
          <w:szCs w:val="20"/>
        </w:rPr>
        <w:t xml:space="preserve">    Tenancy: </w:t>
      </w:r>
      <w:r>
        <w:rPr>
          <w:sz w:val="20"/>
          <w:szCs w:val="20"/>
        </w:rPr>
        <w:t xml:space="preserve">Team-wide read</w:t>
      </w:r>
    </w:p>
    <w:p>
      <w:pPr>
        <w:pStyle w:val="Heading3"/>
        <w:spacing w:after="120" w:before="220"/>
      </w:pPr>
      <w:r>
        <w:t xml:space="preserve">Single Responsibility</w:t>
      </w:r>
    </w:p>
    <w:p>
      <w:pPr>
        <w:spacing w:after="120" w:before="0"/>
      </w:pPr>
      <w:r>
        <w:t xml:space="preserve">Read from all four SCM trackers and produce consolidated team-level views: the master portfolio view, Sandelin's prioritized review queue, executive weekly summary, daily team Slack summary, and Steering Group dashboard. Agent 9 never writes to individual SCM trackers; it only reads and produces derived views.</w:t>
      </w:r>
    </w:p>
    <w:p>
      <w:pPr>
        <w:pStyle w:val="Heading3"/>
        <w:spacing w:after="120" w:before="220"/>
      </w:pPr>
      <w:r>
        <w:t xml:space="preserve">Triggers</w:t>
      </w:r>
    </w:p>
    <w:p>
      <w:pPr>
        <w:pStyle w:val="ListParagraph"/>
        <w:numPr>
          <w:ilvl w:val="0"/>
          <w:numId w:val="2"/>
        </w:numPr>
        <w:spacing w:after="80"/>
      </w:pPr>
      <w:r>
        <w:t xml:space="preserve">Scheduled refresh every 15 minutes during business hours, hourly off-hours.</w:t>
      </w:r>
    </w:p>
    <w:p>
      <w:pPr>
        <w:pStyle w:val="ListParagraph"/>
        <w:numPr>
          <w:ilvl w:val="0"/>
          <w:numId w:val="2"/>
        </w:numPr>
        <w:spacing w:after="80"/>
      </w:pPr>
      <w:r>
        <w:t xml:space="preserve">Triggered refresh on any state change in any tenant.</w:t>
      </w:r>
    </w:p>
    <w:p>
      <w:pPr>
        <w:pStyle w:val="ListParagraph"/>
        <w:numPr>
          <w:ilvl w:val="0"/>
          <w:numId w:val="2"/>
        </w:numPr>
        <w:spacing w:after="80"/>
      </w:pPr>
      <w:r>
        <w:t xml:space="preserve">Scheduled daily 8am PT team Slack summary.</w:t>
      </w:r>
    </w:p>
    <w:p>
      <w:pPr>
        <w:pStyle w:val="ListParagraph"/>
        <w:numPr>
          <w:ilvl w:val="0"/>
          <w:numId w:val="2"/>
        </w:numPr>
        <w:spacing w:after="80"/>
      </w:pPr>
      <w:r>
        <w:t xml:space="preserve">Scheduled Monday 7am PT executive weekly summary.</w:t>
      </w:r>
    </w:p>
    <w:p>
      <w:pPr>
        <w:pStyle w:val="Heading3"/>
        <w:spacing w:after="120" w:before="220"/>
      </w:pPr>
      <w:r>
        <w:t xml:space="preserve">Inputs</w:t>
      </w:r>
    </w:p>
    <w:p>
      <w:pPr>
        <w:pStyle w:val="ListParagraph"/>
        <w:numPr>
          <w:ilvl w:val="0"/>
          <w:numId w:val="2"/>
        </w:numPr>
        <w:spacing w:after="80"/>
      </w:pPr>
      <w:r>
        <w:rPr/>
        <w:t>Read access to all four SCM ACP_Tracker Google Sheets.</w:t>
      </w:r>
    </w:p>
    <w:p>
      <w:pPr>
        <w:pStyle w:val="ListParagraph"/>
        <w:numPr>
          <w:ilvl w:val="0"/>
          <w:numId w:val="2"/>
        </w:numPr>
        <w:spacing w:after="80"/>
      </w:pPr>
      <w:r>
        <w:t xml:space="preserve">Read access to the audit log across all tenants.</w:t>
      </w:r>
    </w:p>
    <w:p>
      <w:pPr>
        <w:pStyle w:val="ListParagraph"/>
        <w:numPr>
          <w:ilvl w:val="0"/>
          <w:numId w:val="2"/>
        </w:numPr>
        <w:spacing w:after="80"/>
      </w:pPr>
      <w:r>
        <w:t xml:space="preserve">Read access to Knowledge Base metadata.</w:t>
      </w:r>
    </w:p>
    <w:p>
      <w:pPr>
        <w:pStyle w:val="ListParagraph"/>
        <w:numPr>
          <w:ilvl w:val="0"/>
          <w:numId w:val="2"/>
        </w:numPr>
        <w:spacing w:after="80"/>
      </w:pPr>
      <w:r>
        <w:t xml:space="preserve">Steering Group configuration (priority rules, escalation thresholds).</w:t>
      </w:r>
    </w:p>
    <w:p>
      <w:pPr>
        <w:pStyle w:val="Heading3"/>
        <w:spacing w:after="120" w:before="220"/>
      </w:pPr>
      <w:r>
        <w:t xml:space="preserve">Outputs</w:t>
      </w:r>
    </w:p>
    <w:p>
      <w:pPr>
        <w:pStyle w:val="ListParagraph"/>
        <w:numPr>
          <w:ilvl w:val="0"/>
          <w:numId w:val="2"/>
        </w:numPr>
        <w:spacing w:after="80"/>
      </w:pPr>
      <w:r>
        <w:t xml:space="preserve">Master Portfolio View (read-only Google Sheet): consolidated rows from all four SCM trackers with Owner column, sorted by priority and days-since-last-activity.</w:t>
      </w:r>
    </w:p>
    <w:p>
      <w:pPr>
        <w:pStyle w:val="ListParagraph"/>
        <w:numPr>
          <w:ilvl w:val="0"/>
          <w:numId w:val="2"/>
        </w:numPr>
        <w:spacing w:after="80"/>
      </w:pPr>
      <w:r>
        <w:t xml:space="preserve">Sandelin Queue View (read-only Google Sheet): all items where LRS Status = 'Awaiting Sandelin', oldest first, with direct LRS Drive links.</w:t>
      </w:r>
    </w:p>
    <w:p>
      <w:pPr>
        <w:pStyle w:val="ListParagraph"/>
        <w:numPr>
          <w:ilvl w:val="0"/>
          <w:numId w:val="2"/>
        </w:numPr>
        <w:spacing w:after="80"/>
      </w:pPr>
      <w:r>
        <w:t xml:space="preserve">Executive Weekly Summary (Monday email to Ranjeet, CC Vincent): portfolio metrics by SCM, executed this week, stalled &gt;10 business days, critical-risk pending, KB growth.</w:t>
      </w:r>
    </w:p>
    <w:p>
      <w:pPr>
        <w:pStyle w:val="ListParagraph"/>
        <w:numPr>
          <w:ilvl w:val="0"/>
          <w:numId w:val="2"/>
        </w:numPr>
        <w:spacing w:after="80"/>
      </w:pPr>
      <w:r>
        <w:t xml:space="preserve">Daily Team Slack Summary (#mepa-mpa-redline-agent): yesterday's closures across the team, current Sandelin queue depth, stalled deals.</w:t>
      </w:r>
    </w:p>
    <w:p>
      <w:pPr>
        <w:pStyle w:val="ListParagraph"/>
        <w:numPr>
          <w:ilvl w:val="0"/>
          <w:numId w:val="2"/>
        </w:numPr>
        <w:spacing w:after="80"/>
      </w:pPr>
      <w:r>
        <w:t xml:space="preserve">Steering Group Dashboard: KB contribution by SCM, playbook citation rates, override patterns, novel positions flagged.</w:t>
      </w:r>
    </w:p>
    <w:p>
      <w:pPr>
        <w:pStyle w:val="Heading3"/>
        <w:spacing w:after="120" w:before="220"/>
      </w:pPr>
      <w:r>
        <w:t xml:space="preserve">Writes to SCM Tracker</w:t>
      </w:r>
    </w:p>
    <w:p>
      <w:pPr>
        <w:spacing w:after="120" w:before="0"/>
      </w:pPr>
      <w:r>
        <w:rPr>
          <w:i/>
          <w:iCs/>
        </w:rPr>
        <w:t xml:space="preserve">None. This agent produces artifacts only; tracker writes flow through Agent 3.</w:t>
      </w:r>
    </w:p>
    <w:p>
      <w:pPr>
        <w:pStyle w:val="Heading3"/>
        <w:spacing w:after="120" w:before="220"/>
      </w:pPr>
      <w:r>
        <w:t xml:space="preserve">External Dependencies</w:t>
      </w:r>
    </w:p>
    <w:p>
      <w:pPr>
        <w:pStyle w:val="ListParagraph"/>
        <w:numPr>
          <w:ilvl w:val="0"/>
          <w:numId w:val="2"/>
        </w:numPr>
        <w:spacing w:after="80"/>
      </w:pPr>
      <w:r>
        <w:t xml:space="preserve">Google Sheets API (read across all tenants, write to derived view sheets).</w:t>
      </w:r>
    </w:p>
    <w:p>
      <w:pPr>
        <w:pStyle w:val="ListParagraph"/>
        <w:numPr>
          <w:ilvl w:val="0"/>
          <w:numId w:val="2"/>
        </w:numPr>
        <w:spacing w:after="80"/>
      </w:pPr>
      <w:r>
        <w:t xml:space="preserve">Gmail API for executive summary.</w:t>
      </w:r>
    </w:p>
    <w:p>
      <w:pPr>
        <w:pStyle w:val="ListParagraph"/>
        <w:numPr>
          <w:ilvl w:val="0"/>
          <w:numId w:val="2"/>
        </w:numPr>
        <w:spacing w:after="80"/>
      </w:pPr>
      <w:r>
        <w:t xml:space="preserve">Slack Web API for daily summary.</w:t>
      </w:r>
    </w:p>
    <w:p>
      <w:pPr>
        <w:pStyle w:val="Heading3"/>
        <w:spacing w:after="120" w:before="220"/>
      </w:pPr>
      <w:r>
        <w:t xml:space="preserve">Implementation Notes</w:t>
      </w:r>
    </w:p>
    <w:p>
      <w:pPr>
        <w:spacing w:after="120" w:before="0"/>
      </w:pPr>
      <w:r>
        <w:t xml:space="preserve">Agent 9 is the team-level value-creation agent. Without it, multi-tenant ACP would be four independent single-tenant systems. With it, the team gets coordinated visibility, Sandelin gets one queue, Ranjeet gets the portfolio, and the Steering Group gets the data to govern the system. Agent 9's outputs are entirely read-only derived views — it never modifies any tenant's state.</w:t>
      </w:r>
    </w:p>
    <w:p>
      <w:r>
        <w:br w:type="page"/>
      </w:r>
    </w:p>
    <w:p>
      <w:pPr>
        <w:pStyle w:val="Heading1"/>
        <w:spacing w:after="200" w:before="360"/>
      </w:pPr>
      <w:r>
        <w:t xml:space="preserve">6. Data Model &amp; Shared Assets</w:t>
      </w:r>
    </w:p>
    <w:p>
      <w:pPr>
        <w:pStyle w:val="Heading2"/>
        <w:spacing w:after="160" w:before="280"/>
      </w:pPr>
      <w:r>
        <w:t xml:space="preserve">6.1 Tracker Schema (Identical Across All Four SCMs)</w:t>
      </w:r>
    </w:p>
    <w:p>
      <w:pPr>
        <w:spacing w:after="120" w:before="0"/>
      </w:pPr>
      <w:r>
        <w:rPr/>
        <w:t>The existing v1 tracker columns (#, Category, Priority, Supplier / Description, Who's Court, Status, Comments, Action / Next Steps) are preserved. Each SCM retains exclusive write authority on Priority, Category, and Comments for their own tracker. The following columns are appended and are agent-writable through Agent 3: v2.3 adds a Contract Type column to support multiple contract types in future phases; Phase 1 values are 'MEPA' and 'MPA'.</w:t>
      </w:r>
    </w:p>
    <w:p>
      <w:pPr>
        <w:spacing w:after="80"/>
        <w:ind w:left="720" w:hanging="360"/>
      </w:pPr>
      <w:r>
        <w:rPr>
          <w:rFonts w:ascii="Arial" w:hAnsi="Arial"/>
          <w:b w:val="0"/>
          <w:i w:val="0"/>
          <w:sz w:val="22"/>
        </w:rPr>
        <w:t>• Contract Type (MEPA / MPA in Phase 1; additional values added per Phase 6+ expansion)</w:t>
      </w:r>
    </w:p>
    <w:p>
      <w:pPr>
        <w:pStyle w:val="ListParagraph"/>
        <w:numPr>
          <w:ilvl w:val="0"/>
          <w:numId w:val="2"/>
        </w:numPr>
        <w:spacing w:after="80"/>
      </w:pPr>
      <w:r>
        <w:t xml:space="preserve">Round Number</w:t>
      </w:r>
    </w:p>
    <w:p>
      <w:pPr>
        <w:pStyle w:val="ListParagraph"/>
        <w:numPr>
          <w:ilvl w:val="0"/>
          <w:numId w:val="2"/>
        </w:numPr>
        <w:spacing w:after="80"/>
      </w:pPr>
      <w:r>
        <w:t xml:space="preserve">Last Antora Version Sent (Drive path)</w:t>
      </w:r>
    </w:p>
    <w:p>
      <w:pPr>
        <w:pStyle w:val="ListParagraph"/>
        <w:numPr>
          <w:ilvl w:val="0"/>
          <w:numId w:val="2"/>
        </w:numPr>
        <w:spacing w:after="80"/>
      </w:pPr>
      <w:r>
        <w:t xml:space="preserve">Last Supplier Version Received (Drive path)</w:t>
      </w:r>
    </w:p>
    <w:p>
      <w:pPr>
        <w:pStyle w:val="ListParagraph"/>
        <w:numPr>
          <w:ilvl w:val="0"/>
          <w:numId w:val="2"/>
        </w:numPr>
        <w:spacing w:after="80"/>
      </w:pPr>
      <w:r>
        <w:t xml:space="preserve">Last Activity Date (ISO 8601)</w:t>
      </w:r>
    </w:p>
    <w:p>
      <w:pPr>
        <w:pStyle w:val="ListParagraph"/>
        <w:numPr>
          <w:ilvl w:val="0"/>
          <w:numId w:val="2"/>
        </w:numPr>
        <w:spacing w:after="80"/>
      </w:pPr>
      <w:r>
        <w:t xml:space="preserve">Days Since Last Activity (formula-derived)</w:t>
      </w:r>
    </w:p>
    <w:p>
      <w:pPr>
        <w:pStyle w:val="ListParagraph"/>
        <w:numPr>
          <w:ilvl w:val="0"/>
          <w:numId w:val="2"/>
        </w:numPr>
        <w:spacing w:after="80"/>
      </w:pPr>
      <w:r>
        <w:t xml:space="preserve">Gmail Thread ID</w:t>
      </w:r>
    </w:p>
    <w:p>
      <w:pPr>
        <w:pStyle w:val="ListParagraph"/>
        <w:numPr>
          <w:ilvl w:val="0"/>
          <w:numId w:val="2"/>
        </w:numPr>
        <w:spacing w:after="80"/>
      </w:pPr>
      <w:r>
        <w:t xml:space="preserve">Drive Folder Path</w:t>
      </w:r>
    </w:p>
    <w:p>
      <w:pPr>
        <w:pStyle w:val="ListParagraph"/>
        <w:numPr>
          <w:ilvl w:val="0"/>
          <w:numId w:val="2"/>
        </w:numPr>
        <w:spacing w:after="80"/>
      </w:pPr>
      <w:r>
        <w:t xml:space="preserve">LRS Status (Not Generated / Draft / Awaiting Sandelin / Approved / Returned for Revision)</w:t>
      </w:r>
    </w:p>
    <w:p>
      <w:pPr>
        <w:pStyle w:val="ListParagraph"/>
        <w:numPr>
          <w:ilvl w:val="0"/>
          <w:numId w:val="2"/>
        </w:numPr>
        <w:spacing w:after="80"/>
      </w:pPr>
      <w:r>
        <w:t xml:space="preserve">Supplier Profile Ref</w:t>
      </w:r>
    </w:p>
    <w:p>
      <w:pPr>
        <w:pStyle w:val="ListParagraph"/>
        <w:numPr>
          <w:ilvl w:val="0"/>
          <w:numId w:val="2"/>
        </w:numPr>
        <w:spacing w:after="80"/>
      </w:pPr>
      <w:r>
        <w:t xml:space="preserve">Last LRS Sent Date</w:t>
      </w:r>
    </w:p>
    <w:p>
      <w:pPr>
        <w:pStyle w:val="ListParagraph"/>
        <w:numPr>
          <w:ilvl w:val="0"/>
          <w:numId w:val="2"/>
        </w:numPr>
        <w:spacing w:after="80"/>
      </w:pPr>
      <w:r>
        <w:t xml:space="preserve">Automation Status (Active / Paused / Manual Only) — supports Principle 2.9</w:t>
      </w:r>
    </w:p>
    <w:p>
      <w:pPr>
        <w:pStyle w:val="ListParagraph"/>
        <w:numPr>
          <w:ilvl w:val="0"/>
          <w:numId w:val="2"/>
        </w:numPr>
        <w:spacing w:after="80"/>
      </w:pPr>
      <w:r>
        <w:t xml:space="preserve">Owner — populated automatically from tracker ownership; appears in consolidated view</w:t>
      </w:r>
    </w:p>
    <w:p>
      <w:pPr>
        <w:pStyle w:val="Heading2"/>
        <w:spacing w:after="160" w:before="280"/>
      </w:pPr>
      <w:r>
        <w:t xml:space="preserve">6.2 Canonical Drive Path Schema</w:t>
      </w:r>
    </w:p>
    <w:p>
      <w:pPr>
        <w:spacing w:after="120" w:before="0"/>
      </w:pPr>
      <w:r>
        <w:t xml:space="preserve">Tenant-scoped Drive hierarchy:</w:t>
      </w:r>
    </w:p>
    <w:p>
      <w:pPr>
        <w:spacing w:after="120" w:before="0"/>
      </w:pPr>
      <w:r>
        <w:rPr>
          <w:b/>
        </w:rPr>
        <w:t>ACP_Negotiations_{SCM}/    (per-tenant root; Phase 1 contract_types: MEPA, MPA)</w:t>
      </w:r>
    </w:p>
    <w:p>
      <w:pPr>
        <w:spacing w:after="120" w:before="0"/>
      </w:pPr>
      <w:r>
        <w:rPr>
          <w:b/>
        </w:rPr>
        <w:t xml:space="preserve">    {contract_type}/    (e.g., MEPA, MPA)</w:t>
      </w:r>
    </w:p>
    <w:p>
      <w:r>
        <w:rPr>
          <w:rFonts w:ascii="Courier New" w:hAnsi="Courier New"/>
          <w:b w:val="0"/>
          <w:i w:val="0"/>
          <w:sz w:val="20"/>
        </w:rPr>
        <w:t xml:space="preserve">        {counterparty_slug}/</w:t>
      </w:r>
    </w:p>
    <w:p>
      <w:pPr>
        <w:spacing w:after="120" w:before="0"/>
      </w:pPr>
      <w:r>
        <w:rPr>
          <w:rFonts w:ascii="Courier New" w:hAnsi="Courier New"/>
          <w:sz w:val="20"/>
        </w:rPr>
        <w:t xml:space="preserve">            round_1/</w:t>
      </w:r>
    </w:p>
    <w:p>
      <w:pPr>
        <w:spacing w:after="120" w:before="0"/>
      </w:pPr>
      <w:r>
        <w:rPr>
          <w:rFonts w:ascii="Courier New" w:hAnsi="Courier New"/>
          <w:sz w:val="20"/>
        </w:rPr>
        <w:t xml:space="preserve">                antora_v1_{timestamp}.docx</w:t>
      </w:r>
    </w:p>
    <w:p>
      <w:pPr>
        <w:spacing w:after="120" w:before="0"/>
      </w:pPr>
      <w:r>
        <w:rPr>
          <w:rFonts w:ascii="Courier New" w:hAnsi="Courier New"/>
          <w:sz w:val="20"/>
        </w:rPr>
        <w:t xml:space="preserve">                counterparty_v1_{timestamp}.docx</w:t>
      </w:r>
    </w:p>
    <w:p>
      <w:pPr>
        <w:spacing w:after="120" w:before="0"/>
      </w:pPr>
      <w:r>
        <w:rPr>
          <w:rFonts w:ascii="Courier New" w:hAnsi="Courier New"/>
          <w:sz w:val="20"/>
        </w:rPr>
        <w:t xml:space="preserve">                structural_diff.json</w:t>
      </w:r>
    </w:p>
    <w:p>
      <w:pPr>
        <w:spacing w:after="120" w:before="0"/>
      </w:pPr>
      <w:r>
        <w:rPr>
          <w:rFonts w:ascii="Courier New" w:hAnsi="Courier New"/>
          <w:sz w:val="20"/>
        </w:rPr>
        <w:t xml:space="preserve">                redline_analysis.json</w:t>
      </w:r>
    </w:p>
    <w:p>
      <w:pPr>
        <w:spacing w:after="120" w:before="0"/>
      </w:pPr>
      <w:r>
        <w:rPr>
          <w:rFonts w:ascii="Courier New" w:hAnsi="Courier New"/>
          <w:sz w:val="20"/>
        </w:rPr>
        <w:t xml:space="preserve">                counter_proposals.json</w:t>
      </w:r>
    </w:p>
    <w:p>
      <w:pPr>
        <w:spacing w:after="120" w:before="0"/>
      </w:pPr>
      <w:r>
        <w:rPr>
          <w:rFonts w:ascii="Courier New" w:hAnsi="Courier New"/>
          <w:sz w:val="20"/>
        </w:rPr>
        <w:t xml:space="preserve">                legal_reference_sheet.docx</w:t>
      </w:r>
    </w:p>
    <w:p>
      <w:pPr>
        <w:spacing w:after="120" w:before="0"/>
      </w:pPr>
      <w:r>
        <w:rPr>
          <w:rFonts w:ascii="Courier New" w:hAnsi="Courier New"/>
          <w:sz w:val="20"/>
        </w:rPr>
        <w:t xml:space="preserve">            round_2/ ...</w:t>
      </w:r>
    </w:p>
    <w:p>
      <w:pPr>
        <w:spacing w:after="120" w:before="0"/>
      </w:pPr>
      <w:r>
        <w:rPr>
          <w:b/>
          <w:bCs/>
        </w:rPr>
        <w:t xml:space="preserve">ACP_Shared/  (cross-tenant)</w:t>
      </w:r>
    </w:p>
    <w:p>
      <w:pPr>
        <w:spacing w:after="120" w:before="0"/>
      </w:pPr>
      <w:r>
        <w:rPr>
          <w:rFonts w:ascii="Courier New" w:hAnsi="Courier New"/>
          <w:sz w:val="20"/>
        </w:rPr>
        <w:t xml:space="preserve">    {contract_type}/antora_{contract_type}_template_{version}.docx    (Phase 1: mepa, mpa)</w:t>
      </w:r>
    </w:p>
    <w:p>
      <w:pPr>
        <w:spacing w:after="120" w:before="0"/>
      </w:pPr>
      <w:r>
        <w:rPr>
          <w:rFonts w:ascii="Courier New" w:hAnsi="Courier New"/>
          <w:sz w:val="20"/>
        </w:rPr>
        <w:t xml:space="preserve">    (additional contract type templates added per Phase 6+ expansion)</w:t>
      </w:r>
    </w:p>
    <w:p>
      <w:pPr>
        <w:spacing w:after="120" w:before="0"/>
      </w:pPr>
      <w:r>
        <w:rPr>
          <w:i/>
          <w:iCs/>
        </w:rPr>
        <w:t xml:space="preserve">    legal_reference_sheet_template.docx</w:t>
      </w:r>
    </w:p>
    <w:p>
      <w:pPr>
        <w:spacing w:after="120" w:before="0"/>
      </w:pPr>
      <w:r>
        <w:rPr>
          <w:i/>
        </w:rPr>
        <w:t>negotiation_playbook.json    (partitioned by contract_type → clause_type)</w:t>
      </w:r>
    </w:p>
    <w:p>
      <w:pPr>
        <w:spacing w:after="120" w:before="0"/>
      </w:pPr>
      <w:r>
        <w:rPr>
          <w:i/>
          <w:iCs/>
        </w:rPr>
        <w:t xml:space="preserve">    knowledge_base/</w:t>
      </w:r>
    </w:p>
    <w:p>
      <w:pPr>
        <w:pStyle w:val="Heading2"/>
        <w:spacing w:after="160" w:before="280"/>
      </w:pPr>
      <w:r>
        <w:t xml:space="preserve">6.3 Shared Knowledge Base</w:t>
      </w:r>
    </w:p>
    <w:p>
      <w:pPr>
        <w:spacing w:after="120" w:before="0"/>
      </w:pPr>
      <w:r>
        <w:t xml:space="preserve">The Knowledge Base is ACP's compounding asset and the primary justification for multi-tenant design. Every analyzed redline from every SCM, every Sandelin override, every executed counter-language entry is captured here.</w:t>
      </w:r>
    </w:p>
    <w:p>
      <w:pPr>
        <w:pStyle w:val="ListParagraph"/>
        <w:numPr>
          <w:ilvl w:val="0"/>
          <w:numId w:val="2"/>
        </w:numPr>
        <w:spacing w:after="80"/>
      </w:pPr>
      <w:r>
        <w:rPr/>
        <w:t>Indexed primarily by contract_type, secondarily by clause type, tertiarily by counterparty profile. Phase 1 contract_types are MEPA and MPA; additional values added per Phase 6+ expansion. Within a contract_type, all SCMs share access.</w:t>
      </w:r>
    </w:p>
    <w:p>
      <w:pPr>
        <w:pStyle w:val="ListParagraph"/>
        <w:numPr>
          <w:ilvl w:val="0"/>
          <w:numId w:val="2"/>
        </w:numPr>
        <w:spacing w:after="80"/>
      </w:pPr>
      <w:r>
        <w:t xml:space="preserve">Per entry: original Antora language, supplier-proposed language, final accepted language, Sandelin notes, outcome, date, contributing SCM, supplier.</w:t>
      </w:r>
    </w:p>
    <w:p>
      <w:pPr>
        <w:pStyle w:val="ListParagraph"/>
        <w:numPr>
          <w:ilvl w:val="0"/>
          <w:numId w:val="2"/>
        </w:numPr>
        <w:spacing w:after="80"/>
      </w:pPr>
      <w:r>
        <w:t xml:space="preserve">Storage: Drive for structured JSON (machine consumption); Notion for human browsing.</w:t>
      </w:r>
    </w:p>
    <w:p>
      <w:pPr>
        <w:pStyle w:val="ListParagraph"/>
        <w:numPr>
          <w:ilvl w:val="0"/>
          <w:numId w:val="2"/>
        </w:numPr>
        <w:spacing w:after="80"/>
      </w:pPr>
      <w:r>
        <w:t xml:space="preserve">Seed corpus: Vincent's existing completed analyses (Texas Transformers, nVent, MCM, Nanez, JL Precision) plus the MCM consequential/direct damages trap rule.</w:t>
      </w:r>
    </w:p>
    <w:p>
      <w:pPr>
        <w:pStyle w:val="ListParagraph"/>
        <w:numPr>
          <w:ilvl w:val="0"/>
          <w:numId w:val="2"/>
        </w:numPr>
        <w:spacing w:after="80"/>
      </w:pPr>
      <w:r>
        <w:t xml:space="preserve">Curation: Steering Group (Vincent + Sandelin) reviews and approves new entries marked as 'novel position' by Agent 5.</w:t>
      </w:r>
    </w:p>
    <w:p>
      <w:pPr>
        <w:pStyle w:val="ListParagraph"/>
        <w:numPr>
          <w:ilvl w:val="0"/>
          <w:numId w:val="2"/>
        </w:numPr>
        <w:spacing w:after="80"/>
      </w:pPr>
      <w:r>
        <w:t xml:space="preserve">Contributions become accessible to all tenants immediately; attribution is preserved.</w:t>
      </w:r>
    </w:p>
    <w:p>
      <w:pPr>
        <w:pStyle w:val="Heading2"/>
        <w:spacing w:after="160" w:before="280"/>
      </w:pPr>
      <w:r>
        <w:t xml:space="preserve">6.4 State Machine (Per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From</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To</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Trigger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Not Started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Requested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SCM submits request to Legal contract tool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Requested</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MPA Sent</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Agent 1 detects outbound MEPA from Sandelin to supplier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MPA Sent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Redlines Received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Agent 1 detects inbound supplier .docx response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Redlines Received</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Negotiating</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Agent 7 delivers LRS to Sandelin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Negotiating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MPA Sent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Agent 1 detects new outbound Antora version (next round)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Negotiating</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Pending Signature</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Manual transition by SCM or Sandelin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Pending Signature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Executed / Active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Manual transition by Sandelin upon signature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Any</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On Hold</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sz w:val="20"/>
                <w:szCs w:val="20"/>
              </w:rPr>
              <w:t xml:space="preserve">Manual transition by owning SCM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Any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Will Not Execute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sz w:val="20"/>
                <w:szCs w:val="20"/>
              </w:rPr>
              <w:t xml:space="preserve">Manual transition by owning SCM or Sandelin (terminal)</w:t>
            </w:r>
          </w:p>
        </w:tc>
      </w:tr>
    </w:tbl>
    <w:p>
      <w:pPr>
        <w:spacing w:before="280"/>
      </w:pPr>
      <w:r>
        <w:t xml:space="preserve"/>
      </w:r>
    </w:p>
    <w:p>
      <w:pPr>
        <w:spacing w:after="120" w:before="0"/>
      </w:pPr>
      <w:r>
        <w:t xml:space="preserve">Invalid transitions are rejected by Agent 3 and surfaced as audit log exceptions.</w:t>
      </w:r>
    </w:p>
    <w:p>
      <w:r>
        <w:br w:type="page"/>
      </w:r>
    </w:p>
    <w:p>
      <w:pPr>
        <w:pStyle w:val="Heading1"/>
        <w:spacing w:after="200" w:before="360"/>
      </w:pPr>
      <w:r>
        <w:t xml:space="preserve">7. Technology Stack</w:t>
      </w:r>
    </w:p>
    <w:p>
      <w:pPr>
        <w:pStyle w:val="Heading2"/>
        <w:spacing w:after="160" w:before="280"/>
      </w:pPr>
      <w:r>
        <w:t xml:space="preserve">7.1 Existing Antora Assets to Leverage</w:t>
      </w:r>
    </w:p>
    <w:p>
      <w:pPr>
        <w:pStyle w:val="ListParagraph"/>
        <w:numPr>
          <w:ilvl w:val="0"/>
          <w:numId w:val="2"/>
        </w:numPr>
        <w:spacing w:after="80"/>
      </w:pPr>
      <w:r>
        <w:t xml:space="preserve">AgentOS repository (github.com/vincentcalianno-prog/AgentOS) — ACP registers as a new project.</w:t>
      </w:r>
    </w:p>
    <w:p>
      <w:pPr>
        <w:pStyle w:val="ListParagraph"/>
        <w:numPr>
          <w:ilvl w:val="0"/>
          <w:numId w:val="2"/>
        </w:numPr>
        <w:spacing w:after="80"/>
      </w:pPr>
      <w:r>
        <w:t xml:space="preserve">scm_monitor.py watchdog — Agent 8 extends this pattern for multi-tenant health checks.</w:t>
      </w:r>
    </w:p>
    <w:p>
      <w:pPr>
        <w:pStyle w:val="ListParagraph"/>
        <w:numPr>
          <w:ilvl w:val="0"/>
          <w:numId w:val="2"/>
        </w:numPr>
        <w:spacing w:after="80"/>
      </w:pPr>
      <w:r>
        <w:t xml:space="preserve">Existing Gmail OAuth2 patterns (Daily SCM Agent, PO Acceptance Agent).</w:t>
      </w:r>
    </w:p>
    <w:p>
      <w:pPr>
        <w:pStyle w:val="ListParagraph"/>
        <w:numPr>
          <w:ilvl w:val="0"/>
          <w:numId w:val="2"/>
        </w:numPr>
        <w:spacing w:after="80"/>
      </w:pPr>
      <w:r>
        <w:t xml:space="preserve">Existing Google Drive Python SDK setup.</w:t>
      </w:r>
    </w:p>
    <w:p>
      <w:pPr>
        <w:pStyle w:val="ListParagraph"/>
        <w:numPr>
          <w:ilvl w:val="0"/>
          <w:numId w:val="2"/>
        </w:numPr>
        <w:spacing w:after="80"/>
      </w:pPr>
      <w:r>
        <w:t xml:space="preserve">Slack workspace and #mepa-mpa-redline-agent channel (C0ASTTRRF47).</w:t>
      </w:r>
    </w:p>
    <w:p>
      <w:pPr>
        <w:pStyle w:val="Heading2"/>
        <w:spacing w:after="160" w:before="280"/>
      </w:pPr>
      <w:r>
        <w:t xml:space="preserve">7.2 New Components</w:t>
      </w:r>
    </w:p>
    <w:p>
      <w:pPr>
        <w:pStyle w:val="ListParagraph"/>
        <w:numPr>
          <w:ilvl w:val="0"/>
          <w:numId w:val="2"/>
        </w:numPr>
        <w:spacing w:after="80"/>
      </w:pPr>
      <w:r>
        <w:t xml:space="preserve">State Manager service supporting multi-tenant scoping.</w:t>
      </w:r>
    </w:p>
    <w:p>
      <w:pPr>
        <w:pStyle w:val="ListParagraph"/>
        <w:numPr>
          <w:ilvl w:val="0"/>
          <w:numId w:val="2"/>
        </w:numPr>
        <w:spacing w:after="80"/>
      </w:pPr>
      <w:r>
        <w:t xml:space="preserve">Inter-agent event bus with tenant tagging.</w:t>
      </w:r>
    </w:p>
    <w:p>
      <w:pPr>
        <w:pStyle w:val="ListParagraph"/>
        <w:numPr>
          <w:ilvl w:val="0"/>
          <w:numId w:val="2"/>
        </w:numPr>
        <w:spacing w:after="80"/>
      </w:pPr>
      <w:r>
        <w:t xml:space="preserve">Knowledge Base seed loader (one-time + ongoing contribution intake).</w:t>
      </w:r>
    </w:p>
    <w:p>
      <w:pPr>
        <w:pStyle w:val="ListParagraph"/>
        <w:numPr>
          <w:ilvl w:val="0"/>
          <w:numId w:val="2"/>
        </w:numPr>
        <w:spacing w:after="80"/>
      </w:pPr>
      <w:r>
        <w:t xml:space="preserve">Multi-tenant OAuth2 grant management (one per SCM).</w:t>
      </w:r>
    </w:p>
    <w:p>
      <w:pPr>
        <w:pStyle w:val="ListParagraph"/>
        <w:numPr>
          <w:ilvl w:val="0"/>
          <w:numId w:val="2"/>
        </w:numPr>
        <w:spacing w:after="80"/>
      </w:pPr>
      <w:r>
        <w:t xml:space="preserve">Agent 9 (Portfolio Aggregator) — fully new component, no v1 analog.</w:t>
      </w:r>
    </w:p>
    <w:p>
      <w:pPr>
        <w:pStyle w:val="Heading2"/>
        <w:spacing w:after="160" w:before="280"/>
      </w:pPr>
      <w:r>
        <w:t xml:space="preserve">7.3 LLM Cost Estimation (Multi-Tenant)</w:t>
      </w:r>
    </w:p>
    <w:p>
      <w:pPr>
        <w:spacing w:after="120" w:before="0"/>
      </w:pPr>
      <w:r>
        <w:t xml:space="preserve">Estimated monthly volume scaled to four-SCM operation, assuming similar redline volume per SCM as Vincent's current pace (~5 redline rounds per SCM per month = ~20 rounds total):</w:t>
      </w:r>
    </w:p>
    <w:p>
      <w:pPr>
        <w:pStyle w:val="ListParagraph"/>
        <w:numPr>
          <w:ilvl w:val="0"/>
          <w:numId w:val="2"/>
        </w:numPr>
        <w:spacing w:after="80"/>
      </w:pPr>
      <w:r>
        <w:t xml:space="preserve">Agent 1 (Haiku) — negligible (&lt; $20/month team-wide).</w:t>
      </w:r>
    </w:p>
    <w:p>
      <w:pPr>
        <w:pStyle w:val="ListParagraph"/>
        <w:numPr>
          <w:ilvl w:val="0"/>
          <w:numId w:val="2"/>
        </w:numPr>
        <w:spacing w:after="80"/>
      </w:pPr>
      <w:r>
        <w:t xml:space="preserve">Agent 5 (Opus) — ~700 reasoning passes/month: ~$80–120/month.</w:t>
      </w:r>
    </w:p>
    <w:p>
      <w:pPr>
        <w:pStyle w:val="ListParagraph"/>
        <w:numPr>
          <w:ilvl w:val="0"/>
          <w:numId w:val="2"/>
        </w:numPr>
        <w:spacing w:after="80"/>
      </w:pPr>
      <w:r>
        <w:t xml:space="preserve">Agent 6 (Sonnet) — ~300 drafting passes/month: ~$20–30/month.</w:t>
      </w:r>
    </w:p>
    <w:p>
      <w:pPr>
        <w:pStyle w:val="ListParagraph"/>
        <w:numPr>
          <w:ilvl w:val="0"/>
          <w:numId w:val="2"/>
        </w:numPr>
        <w:spacing w:after="80"/>
      </w:pPr>
      <w:r>
        <w:t xml:space="preserve">Estimated team-wide total: $120–170/month. Justified against any single hour of Staff-level time saved per round per SCM.</w:t>
      </w:r>
    </w:p>
    <w:p>
      <w:pPr>
        <w:pStyle w:val="Heading2"/>
        <w:spacing w:after="160" w:before="280"/>
      </w:pPr>
      <w:r>
        <w:t xml:space="preserve">7.4 Data Storage</w:t>
      </w:r>
    </w:p>
    <w:p>
      <w:pPr>
        <w:pStyle w:val="ListParagraph"/>
        <w:numPr>
          <w:ilvl w:val="0"/>
          <w:numId w:val="2"/>
        </w:numPr>
        <w:spacing w:after="80"/>
      </w:pPr>
      <w:r>
        <w:t xml:space="preserve">Google Sheets: 4 SCM trackers + 1 Master Portfolio View + 1 Sandelin Queue View.</w:t>
      </w:r>
    </w:p>
    <w:p>
      <w:pPr>
        <w:pStyle w:val="ListParagraph"/>
        <w:numPr>
          <w:ilvl w:val="0"/>
          <w:numId w:val="2"/>
        </w:numPr>
        <w:spacing w:after="80"/>
      </w:pPr>
      <w:r>
        <w:rPr/>
        <w:t>Google Drive: 4 tenant-scoped ACP_Negotiations folders (one per SCM) + ACP_Shared folder. Each tenant folder is internally partitioned by contract_type.</w:t>
      </w:r>
    </w:p>
    <w:p>
      <w:pPr>
        <w:pStyle w:val="ListParagraph"/>
        <w:numPr>
          <w:ilvl w:val="0"/>
          <w:numId w:val="2"/>
        </w:numPr>
        <w:spacing w:after="80"/>
      </w:pPr>
      <w:r>
        <w:t xml:space="preserve">Notion: human-readable Knowledge Base browser.</w:t>
      </w:r>
    </w:p>
    <w:p>
      <w:pPr>
        <w:pStyle w:val="ListParagraph"/>
        <w:numPr>
          <w:ilvl w:val="0"/>
          <w:numId w:val="2"/>
        </w:numPr>
        <w:spacing w:after="80"/>
      </w:pPr>
      <w:r>
        <w:t xml:space="preserve">Local SQLite per SCM: Agent 1 cache, Agent 8 event queue.</w:t>
      </w:r>
    </w:p>
    <w:p>
      <w:pPr>
        <w:pStyle w:val="ListParagraph"/>
        <w:numPr>
          <w:ilvl w:val="0"/>
          <w:numId w:val="2"/>
        </w:numPr>
        <w:spacing w:after="80"/>
      </w:pPr>
      <w:r>
        <w:t xml:space="preserve">Append-only audit log in Drive, scoped by SCM but readable by System Owner and Legal Reviewer.</w:t>
      </w:r>
    </w:p>
    <w:p>
      <w:r>
        <w:br w:type="page"/>
      </w:r>
    </w:p>
    <w:p>
      <w:pPr>
        <w:pStyle w:val="Heading1"/>
        <w:spacing w:after="200" w:before="360"/>
      </w:pPr>
      <w:r>
        <w:t xml:space="preserve">8. Phased Rollout Plan</w:t>
      </w:r>
    </w:p>
    <w:p>
      <w:pPr>
        <w:spacing w:after="120" w:before="0"/>
      </w:pPr>
      <w:r>
        <w:t xml:space="preserve">ACP rolls out in five phases. Phases 1–3 are Vincent solo pilot. Phase 4 onboards one peer SCM (selection deferred to Steering Group). Phase 5 is full team rollout. Each phase has a validation gate.</w:t>
      </w:r>
    </w:p>
    <w:p>
      <w:pPr>
        <w:pStyle w:val="Heading2"/>
        <w:spacing w:after="160" w:before="280"/>
      </w:pPr>
      <w:r>
        <w:t xml:space="preserve">8.1 Phase 1: Foundation (Weeks 1–2) — Vincent Solo</w:t>
      </w:r>
    </w:p>
    <w:p>
      <w:pPr>
        <w:spacing w:after="120"/>
      </w:pPr>
      <w:r>
        <w:rPr>
          <w:rFonts w:ascii="Arial" w:hAnsi="Arial"/>
          <w:b w:val="0"/>
          <w:i/>
          <w:sz w:val="22"/>
        </w:rPr>
        <w:t>Phase 1 contract type scope: MEPAs and MPAs only. Additional contract types are out of scope for Phase 1 (see Section 8.6 Phase 6+).</w:t>
      </w:r>
    </w:p>
    <w:p>
      <w:pPr>
        <w:pStyle w:val="ListParagraph"/>
        <w:numPr>
          <w:ilvl w:val="0"/>
          <w:numId w:val="2"/>
        </w:numPr>
        <w:spacing w:after="80"/>
      </w:pPr>
      <w:r>
        <w:rPr/>
        <w:t>Migrate Vincent's existing MEPA_MPA_Tracker.xlsx to Google Sheets, renamed ACP_Tracker, with extended v2 schema including Contract Type as a first-class column. (Phase 1 contract_type values remain MEPA and MPA, matching the original file's scope.)</w:t>
      </w:r>
    </w:p>
    <w:p>
      <w:pPr>
        <w:pStyle w:val="ListParagraph"/>
        <w:numPr>
          <w:ilvl w:val="0"/>
          <w:numId w:val="2"/>
        </w:numPr>
        <w:spacing w:after="80"/>
      </w:pPr>
      <w:r>
        <w:t xml:space="preserve">Build Agent 3 (State Manager) with multi-tenant scoping from the start, even though only one tenant is active.</w:t>
      </w:r>
    </w:p>
    <w:p>
      <w:pPr>
        <w:pStyle w:val="ListParagraph"/>
        <w:numPr>
          <w:ilvl w:val="0"/>
          <w:numId w:val="2"/>
        </w:numPr>
        <w:spacing w:after="80"/>
      </w:pPr>
      <w:r>
        <w:t xml:space="preserve">Build Agent 1 (Email Watcher) scoped to Vincent's inbox initially.</w:t>
      </w:r>
    </w:p>
    <w:p>
      <w:pPr>
        <w:pStyle w:val="ListParagraph"/>
        <w:numPr>
          <w:ilvl w:val="0"/>
          <w:numId w:val="2"/>
        </w:numPr>
        <w:spacing w:after="80"/>
      </w:pPr>
      <w:r>
        <w:t xml:space="preserve">Build Agent 2 (Document Extraction).</w:t>
      </w:r>
    </w:p>
    <w:p>
      <w:pPr>
        <w:pStyle w:val="ListParagraph"/>
        <w:numPr>
          <w:ilvl w:val="0"/>
          <w:numId w:val="2"/>
        </w:numPr>
        <w:spacing w:after="80"/>
      </w:pPr>
      <w:r>
        <w:t xml:space="preserve">Provision ACP_Shared Drive folder and Knowledge Base structure.</w:t>
      </w:r>
    </w:p>
    <w:p>
      <w:pPr>
        <w:pStyle w:val="ListParagraph"/>
        <w:numPr>
          <w:ilvl w:val="0"/>
          <w:numId w:val="2"/>
        </w:numPr>
        <w:spacing w:after="80"/>
      </w:pPr>
      <w:r>
        <w:t xml:space="preserve">Validation gate: end-to-end detection, persistence, and tracker update for a real supplier redline in Vincent's pipeline.</w:t>
      </w:r>
    </w:p>
    <w:p>
      <w:pPr>
        <w:pStyle w:val="Heading2"/>
        <w:spacing w:after="160" w:before="280"/>
      </w:pPr>
      <w:r>
        <w:t xml:space="preserve">8.2 Phase 2: Analysis (Weeks 3–4) — Vincent Solo</w:t>
      </w:r>
    </w:p>
    <w:p>
      <w:pPr>
        <w:pStyle w:val="ListParagraph"/>
        <w:numPr>
          <w:ilvl w:val="0"/>
          <w:numId w:val="2"/>
        </w:numPr>
        <w:spacing w:after="80"/>
      </w:pPr>
      <w:r>
        <w:t xml:space="preserve">Build Agent 4 (Structural Diff).</w:t>
      </w:r>
    </w:p>
    <w:p>
      <w:pPr>
        <w:pStyle w:val="ListParagraph"/>
        <w:numPr>
          <w:ilvl w:val="0"/>
          <w:numId w:val="2"/>
        </w:numPr>
        <w:spacing w:after="80"/>
      </w:pPr>
      <w:r>
        <w:t xml:space="preserve">Seed Knowledge Base with Vincent's completed work.</w:t>
      </w:r>
    </w:p>
    <w:p>
      <w:pPr>
        <w:pStyle w:val="ListParagraph"/>
        <w:numPr>
          <w:ilvl w:val="0"/>
          <w:numId w:val="2"/>
        </w:numPr>
        <w:spacing w:after="80"/>
      </w:pPr>
      <w:r>
        <w:t xml:space="preserve">Build Agent 5 (Redline Analysis) and tune Opus prompts.</w:t>
      </w:r>
    </w:p>
    <w:p>
      <w:pPr>
        <w:pStyle w:val="ListParagraph"/>
        <w:numPr>
          <w:ilvl w:val="0"/>
          <w:numId w:val="2"/>
        </w:numPr>
        <w:spacing w:after="80"/>
      </w:pPr>
      <w:r>
        <w:t xml:space="preserve">Validation gate: run Agent 5 against historical Vincent negotiations; recommendation alignment with Vincent's actual decisions ≥ 90%.</w:t>
      </w:r>
    </w:p>
    <w:p>
      <w:pPr>
        <w:pStyle w:val="Heading2"/>
        <w:spacing w:after="160" w:before="280"/>
      </w:pPr>
      <w:r>
        <w:t xml:space="preserve">8.3 Phase 3: Drafting &amp; Delivery (Weeks 5–6) — Vincent Solo</w:t>
      </w:r>
    </w:p>
    <w:p>
      <w:pPr>
        <w:pStyle w:val="ListParagraph"/>
        <w:numPr>
          <w:ilvl w:val="0"/>
          <w:numId w:val="2"/>
        </w:numPr>
        <w:spacing w:after="80"/>
      </w:pPr>
      <w:r>
        <w:t xml:space="preserve">Build Agent 6 (Counter-Proposal Drafting).</w:t>
      </w:r>
    </w:p>
    <w:p>
      <w:pPr>
        <w:pStyle w:val="ListParagraph"/>
        <w:numPr>
          <w:ilvl w:val="0"/>
          <w:numId w:val="2"/>
        </w:numPr>
        <w:spacing w:after="80"/>
      </w:pPr>
      <w:r>
        <w:t xml:space="preserve">Build Agent 7 (LRS Generator) using template from Vincent.</w:t>
      </w:r>
    </w:p>
    <w:p>
      <w:pPr>
        <w:pStyle w:val="ListParagraph"/>
        <w:numPr>
          <w:ilvl w:val="0"/>
          <w:numId w:val="2"/>
        </w:numPr>
        <w:spacing w:after="80"/>
      </w:pPr>
      <w:r>
        <w:t xml:space="preserve">Build Agent 9 (Portfolio Aggregator) — initial single-tenant version producing Vincent's master view and Sandelin's queue.</w:t>
      </w:r>
    </w:p>
    <w:p>
      <w:pPr>
        <w:pStyle w:val="ListParagraph"/>
        <w:numPr>
          <w:ilvl w:val="0"/>
          <w:numId w:val="2"/>
        </w:numPr>
        <w:spacing w:after="80"/>
      </w:pPr>
      <w:r>
        <w:t xml:space="preserve">Validation gate: Sandelin blind-reviews a system-generated LRS from a historical Vincent round and rates it comparable to Vincent's manual deliverable.</w:t>
      </w:r>
    </w:p>
    <w:p>
      <w:pPr>
        <w:pStyle w:val="Heading2"/>
        <w:spacing w:after="160" w:before="280"/>
      </w:pPr>
      <w:r>
        <w:t xml:space="preserve">8.4 Phase 4: First Peer Onboarding (Weeks 7–10) — Vincent + 1 Peer SCM (TBD)</w:t>
      </w:r>
    </w:p>
    <w:p>
      <w:pPr>
        <w:pStyle w:val="ListParagraph"/>
        <w:numPr>
          <w:ilvl w:val="0"/>
          <w:numId w:val="2"/>
        </w:numPr>
        <w:spacing w:after="80"/>
      </w:pPr>
      <w:r>
        <w:t xml:space="preserve">Build Agent 8 (Workflow Orchestrator) with full multi-tenant SLA monitoring.</w:t>
      </w:r>
    </w:p>
    <w:p>
      <w:pPr>
        <w:pStyle w:val="ListParagraph"/>
        <w:numPr>
          <w:ilvl w:val="0"/>
          <w:numId w:val="2"/>
        </w:numPr>
        <w:spacing w:after="80"/>
      </w:pPr>
      <w:r>
        <w:t xml:space="preserve">Steering Group selects pilot peer (Tom, Emily, or Mugdha) — OPEN ITEM.</w:t>
      </w:r>
    </w:p>
    <w:p>
      <w:pPr>
        <w:pStyle w:val="ListParagraph"/>
        <w:numPr>
          <w:ilvl w:val="0"/>
          <w:numId w:val="2"/>
        </w:numPr>
        <w:spacing w:after="80"/>
      </w:pPr>
      <w:r>
        <w:t xml:space="preserve">Onboard pilot peer: provision tracker, OAuth2 grants, Drive scope, training session.</w:t>
      </w:r>
    </w:p>
    <w:p>
      <w:pPr>
        <w:pStyle w:val="ListParagraph"/>
        <w:numPr>
          <w:ilvl w:val="0"/>
          <w:numId w:val="2"/>
        </w:numPr>
        <w:spacing w:after="80"/>
      </w:pPr>
      <w:r>
        <w:t xml:space="preserve">Pilot peer starts with new negotiations only; existing negotiations remain on their current process.</w:t>
      </w:r>
    </w:p>
    <w:p>
      <w:pPr>
        <w:pStyle w:val="ListParagraph"/>
        <w:numPr>
          <w:ilvl w:val="0"/>
          <w:numId w:val="2"/>
        </w:numPr>
        <w:spacing w:after="80"/>
      </w:pPr>
      <w:r>
        <w:t xml:space="preserve">Agent 9 expands to two-tenant consolidated view.</w:t>
      </w:r>
    </w:p>
    <w:p>
      <w:pPr>
        <w:pStyle w:val="ListParagraph"/>
        <w:numPr>
          <w:ilvl w:val="0"/>
          <w:numId w:val="2"/>
        </w:numPr>
        <w:spacing w:after="80"/>
      </w:pPr>
      <w:r>
        <w:t xml:space="preserve">Validation gate: 30-day shadow run; pilot peer reports ≥ 80% satisfaction and zero state corruption events.</w:t>
      </w:r>
    </w:p>
    <w:p>
      <w:pPr>
        <w:pStyle w:val="Heading2"/>
        <w:spacing w:after="160" w:before="280"/>
      </w:pPr>
      <w:r>
        <w:t xml:space="preserve">8.5 Phase 5: Full Team Rollout (Weeks 11–16)</w:t>
      </w:r>
    </w:p>
    <w:p>
      <w:pPr>
        <w:pStyle w:val="ListParagraph"/>
        <w:numPr>
          <w:ilvl w:val="0"/>
          <w:numId w:val="2"/>
        </w:numPr>
        <w:spacing w:after="80"/>
      </w:pPr>
      <w:r>
        <w:t xml:space="preserve">Onboard remaining two SCMs sequentially (not in parallel — preserve operational stability).</w:t>
      </w:r>
    </w:p>
    <w:p>
      <w:pPr>
        <w:pStyle w:val="ListParagraph"/>
        <w:numPr>
          <w:ilvl w:val="0"/>
          <w:numId w:val="2"/>
        </w:numPr>
        <w:spacing w:after="80"/>
      </w:pPr>
      <w:r>
        <w:t xml:space="preserve">Each onboarding follows the Phase 4 pattern: tracker provision, OAuth2 grants, training, new-negotiations-first.</w:t>
      </w:r>
    </w:p>
    <w:p>
      <w:pPr>
        <w:pStyle w:val="ListParagraph"/>
        <w:numPr>
          <w:ilvl w:val="0"/>
          <w:numId w:val="2"/>
        </w:numPr>
        <w:spacing w:after="80"/>
      </w:pPr>
      <w:r>
        <w:t xml:space="preserve">Existing peer trackers (current state) discovery and migration plan formalized with each onboardee.</w:t>
      </w:r>
    </w:p>
    <w:p>
      <w:pPr>
        <w:pStyle w:val="ListParagraph"/>
        <w:numPr>
          <w:ilvl w:val="0"/>
          <w:numId w:val="2"/>
        </w:numPr>
        <w:spacing w:after="80"/>
      </w:pPr>
      <w:r>
        <w:t xml:space="preserve">Full Agent 9 outputs operational: weekly executive summary to Ranjeet begins.</w:t>
      </w:r>
    </w:p>
    <w:p>
      <w:pPr>
        <w:pStyle w:val="ListParagraph"/>
        <w:numPr>
          <w:ilvl w:val="0"/>
          <w:numId w:val="2"/>
        </w:numPr>
        <w:spacing w:after="80"/>
      </w:pPr>
      <w:r>
        <w:t xml:space="preserve">Steering Group cadence established and first meeting held.</w:t>
      </w:r>
    </w:p>
    <w:p>
      <w:pPr>
        <w:pStyle w:val="ListParagraph"/>
        <w:numPr>
          <w:ilvl w:val="0"/>
          <w:numId w:val="2"/>
        </w:numPr>
        <w:spacing w:after="80"/>
      </w:pPr>
      <w:r>
        <w:t xml:space="preserve">Validation gate: 60-day full-team operation with SLA met ≥ 95%, Sandelin queue depth stable, zero cross-tenant write events.</w:t>
      </w:r>
    </w:p>
    <w:p>
      <w:pPr>
        <w:spacing w:before="280" w:after="160"/>
        <w:outlineLvl w:val="1"/>
      </w:pPr>
      <w:r>
        <w:rPr>
          <w:rFonts w:ascii="Arial" w:hAnsi="Arial"/>
          <w:b/>
          <w:i w:val="0"/>
          <w:color w:val="2E75B6"/>
          <w:sz w:val="26"/>
        </w:rPr>
        <w:t>8.6 Phase 6+: Contract Type Expansion (Future)</w:t>
      </w:r>
    </w:p>
    <w:p>
      <w:pPr>
        <w:spacing w:after="120"/>
      </w:pPr>
      <w:r>
        <w:rPr>
          <w:rFonts w:ascii="Arial" w:hAnsi="Arial"/>
          <w:b w:val="0"/>
          <w:i w:val="0"/>
          <w:sz w:val="22"/>
        </w:rPr>
        <w:t>Phase 6 and beyond extend ACP to additional contract types beyond MEPAs and MPAs. Phase 6+ is future-state planning; it is not committed in the v2.3 plan. Each Phase 6+ expansion is approved individually by the Steering Group based on operational readiness and business demand.</w:t>
      </w:r>
    </w:p>
    <w:p>
      <w:pPr>
        <w:spacing w:after="80"/>
        <w:ind w:left="720" w:hanging="360"/>
      </w:pPr>
      <w:r>
        <w:rPr>
          <w:rFonts w:ascii="Arial" w:hAnsi="Arial"/>
          <w:b w:val="0"/>
          <w:i w:val="0"/>
          <w:sz w:val="22"/>
        </w:rPr>
        <w:t>• Phase 6a (candidate): NDAs within SCM. Estimated effort: 3-4 weeks of Layer C content work (NDA-specific playbook, template, knowledge base seed). No Layer B code changes.</w:t>
      </w:r>
    </w:p>
    <w:p>
      <w:pPr>
        <w:spacing w:after="80"/>
        <w:ind w:left="720" w:hanging="360"/>
      </w:pPr>
      <w:r>
        <w:rPr>
          <w:rFonts w:ascii="Arial" w:hAnsi="Arial"/>
          <w:b w:val="0"/>
          <w:i w:val="0"/>
          <w:sz w:val="22"/>
        </w:rPr>
        <w:t>• Phase 6b (candidate): MSAs for services within SCM. Estimated effort: 4-6 weeks of Layer C content work. Leverages overlap with MEPA playbook on common clauses.</w:t>
      </w:r>
    </w:p>
    <w:p>
      <w:pPr>
        <w:spacing w:after="80"/>
        <w:ind w:left="720" w:hanging="360"/>
      </w:pPr>
      <w:r>
        <w:rPr>
          <w:rFonts w:ascii="Arial" w:hAnsi="Arial"/>
          <w:b w:val="0"/>
          <w:i w:val="0"/>
          <w:sz w:val="22"/>
        </w:rPr>
        <w:t>• Phase 6c (candidate): PO T&amp;Cs negotiations within SCM. Estimated effort: 3-4 weeks; heavy reuse of existing MEPA/MPA precedents.</w:t>
      </w:r>
    </w:p>
    <w:p>
      <w:pPr>
        <w:spacing w:after="80"/>
        <w:ind w:left="720" w:hanging="360"/>
      </w:pPr>
      <w:r>
        <w:rPr>
          <w:rFonts w:ascii="Arial" w:hAnsi="Arial"/>
          <w:b w:val="0"/>
          <w:i w:val="0"/>
          <w:sz w:val="22"/>
        </w:rPr>
        <w:t>• Phase 6d (candidate): Cross-department expansion. Significant scope, new Steering Group structure required, additional Legal Counsel onboarding required. Estimated effort: not estimated until 6a-c are operational.</w:t>
      </w:r>
    </w:p>
    <w:p>
      <w:pPr>
        <w:spacing w:after="120"/>
      </w:pPr>
      <w:r>
        <w:rPr>
          <w:rFonts w:ascii="Arial" w:hAnsi="Arial"/>
          <w:b w:val="0"/>
          <w:i w:val="0"/>
          <w:sz w:val="22"/>
        </w:rPr>
        <w:t>Prerequisites for any Phase 6+ activation: Phase 5 operational stability ≥ 90 days, Steering Group approval for the specific contract type, Layer C content owner identified for the new contract type, Legal Counsel paired with the new contract type if different from Sandelin, no Layer B regressions introduced.</w:t>
      </w:r>
    </w:p>
    <w:p>
      <w:pPr>
        <w:spacing w:after="120"/>
      </w:pPr>
      <w:r>
        <w:rPr>
          <w:rFonts w:ascii="Arial" w:hAnsi="Arial"/>
          <w:b w:val="0"/>
          <w:i/>
          <w:sz w:val="22"/>
        </w:rPr>
        <w:t>Important constraint: Phase 6+ activation must not destabilize Phase 1-5 operations. The Steering Group has authority to defer or reject Phase 6+ expansions if Phase 1-5 metrics are not held.</w:t>
      </w:r>
    </w:p>
    <w:p>
      <w:pPr>
        <w:pStyle w:val="Heading2"/>
        <w:spacing w:after="160" w:before="280"/>
      </w:pPr>
      <w:r>
        <w:rPr/>
        <w:t>8.7 Go/No-Go Criteria</w:t>
      </w:r>
    </w:p>
    <w:p>
      <w:pPr>
        <w:pStyle w:val="ListParagraph"/>
        <w:numPr>
          <w:ilvl w:val="0"/>
          <w:numId w:val="2"/>
        </w:numPr>
        <w:spacing w:after="80"/>
      </w:pPr>
      <w:r>
        <w:t xml:space="preserve">Phase 3 → Phase 4: Agent 5 alignment with Vincent ≥ 90%; Sandelin approves blind-review LRS.</w:t>
      </w:r>
    </w:p>
    <w:p>
      <w:pPr>
        <w:pStyle w:val="ListParagraph"/>
        <w:numPr>
          <w:ilvl w:val="0"/>
          <w:numId w:val="2"/>
        </w:numPr>
        <w:spacing w:after="80"/>
      </w:pPr>
      <w:r>
        <w:t xml:space="preserve">Phase 4 → Phase 5: Pilot peer satisfaction ≥ 80%; zero cross-tenant write events; SLA met ≥ 95%.</w:t>
      </w:r>
    </w:p>
    <w:p>
      <w:pPr>
        <w:pStyle w:val="ListParagraph"/>
        <w:numPr>
          <w:ilvl w:val="0"/>
          <w:numId w:val="2"/>
        </w:numPr>
        <w:spacing w:after="80"/>
      </w:pPr>
      <w:r>
        <w:t xml:space="preserve">Phase 5 → Production: 60-day full-team operation with all metrics met.</w:t>
      </w:r>
    </w:p>
    <w:p>
      <w:r>
        <w:br w:type="page"/>
      </w:r>
    </w:p>
    <w:p>
      <w:pPr>
        <w:pStyle w:val="Heading1"/>
        <w:spacing w:after="200" w:before="360"/>
      </w:pPr>
      <w:r>
        <w:t xml:space="preserve">9. Risks &amp; Open Questions</w:t>
      </w:r>
    </w:p>
    <w:p>
      <w:pPr>
        <w:pStyle w:val="Heading2"/>
        <w:spacing w:after="160" w:before="280"/>
      </w:pPr>
      <w:r>
        <w:t xml:space="preserve">9.1 Top Risks</w:t>
      </w:r>
    </w:p>
    <w:p>
      <w:pPr>
        <w:pStyle w:val="Heading3"/>
        <w:spacing w:after="120" w:before="220"/>
      </w:pPr>
      <w:r>
        <w:t xml:space="preserve">Risk 1: Sandelin Review Bottleneck (highest-rated in v2)</w:t>
      </w:r>
    </w:p>
    <w:p>
      <w:pPr>
        <w:spacing w:after="120" w:before="0"/>
      </w:pPr>
      <w:r>
        <w:t xml:space="preserve">With four SCMs producing LRSs at 4-hour cycle time, Sandelin's review queue could saturate, creating a worse bottleneck than the manual process it replaces. This is the binding constraint on team-wide ACP throughput.</w:t>
      </w:r>
    </w:p>
    <w:p>
      <w:pPr>
        <w:pStyle w:val="ListParagraph"/>
        <w:numPr>
          <w:ilvl w:val="0"/>
          <w:numId w:val="2"/>
        </w:numPr>
        <w:spacing w:after="80"/>
      </w:pPr>
      <w:r>
        <w:t xml:space="preserve">Mitigation: Sandelin reviews v2 spec before lock-in. Her realistic review throughput becomes a hard input to phase-5 onboarding pacing.</w:t>
      </w:r>
    </w:p>
    <w:p>
      <w:pPr>
        <w:pStyle w:val="ListParagraph"/>
        <w:numPr>
          <w:ilvl w:val="0"/>
          <w:numId w:val="2"/>
        </w:numPr>
        <w:spacing w:after="80"/>
      </w:pPr>
      <w:r>
        <w:t xml:space="preserve">Mitigation: Agent 9's Sandelin Queue View prioritizes by risk rating and stalled-deal age, so she always works highest-impact first.</w:t>
      </w:r>
    </w:p>
    <w:p>
      <w:pPr>
        <w:pStyle w:val="ListParagraph"/>
        <w:numPr>
          <w:ilvl w:val="0"/>
          <w:numId w:val="2"/>
        </w:numPr>
        <w:spacing w:after="80"/>
      </w:pPr>
      <w:r>
        <w:t xml:space="preserve">Mitigation: Steering Group reviews queue depth weekly; if depth grows, phase-5 onboarding pauses until throughput rebalances.</w:t>
      </w:r>
    </w:p>
    <w:p>
      <w:pPr>
        <w:pStyle w:val="Heading3"/>
        <w:spacing w:after="120" w:before="220"/>
      </w:pPr>
      <w:r>
        <w:t xml:space="preserve">Risk 2: Cross-Tenant Data Leakage</w:t>
      </w:r>
    </w:p>
    <w:p>
      <w:pPr>
        <w:spacing w:after="120" w:before="0"/>
      </w:pPr>
      <w:r>
        <w:t xml:space="preserve">An agent bug could cause writes from one SCM's events to land in another's tracker, or expose tenant-private documents inappropriately.</w:t>
      </w:r>
    </w:p>
    <w:p>
      <w:pPr>
        <w:pStyle w:val="ListParagraph"/>
        <w:numPr>
          <w:ilvl w:val="0"/>
          <w:numId w:val="2"/>
        </w:numPr>
        <w:spacing w:after="80"/>
      </w:pPr>
      <w:r>
        <w:t xml:space="preserve">Mitigation: Agent 3 enforces tenancy at the API layer — cross-tenant writes are rejected by design, not by convention.</w:t>
      </w:r>
    </w:p>
    <w:p>
      <w:pPr>
        <w:pStyle w:val="ListParagraph"/>
        <w:numPr>
          <w:ilvl w:val="0"/>
          <w:numId w:val="2"/>
        </w:numPr>
        <w:spacing w:after="80"/>
      </w:pPr>
      <w:r>
        <w:t xml:space="preserve">Mitigation: All cross-tenant access (Agent 9) is read-only.</w:t>
      </w:r>
    </w:p>
    <w:p>
      <w:pPr>
        <w:pStyle w:val="ListParagraph"/>
        <w:numPr>
          <w:ilvl w:val="0"/>
          <w:numId w:val="2"/>
        </w:numPr>
        <w:spacing w:after="80"/>
      </w:pPr>
      <w:r>
        <w:t xml:space="preserve">Mitigation: Audit log captures every state event with tenant scope; cross-tenant attempts surface immediately.</w:t>
      </w:r>
    </w:p>
    <w:p>
      <w:pPr>
        <w:pStyle w:val="Heading3"/>
        <w:spacing w:after="120" w:before="220"/>
      </w:pPr>
      <w:r>
        <w:t xml:space="preserve">Risk 3: LLM Hallucination on Legal Reasoning</w:t>
      </w:r>
    </w:p>
    <w:p>
      <w:pPr>
        <w:spacing w:after="120" w:before="0"/>
      </w:pPr>
      <w:r>
        <w:t xml:space="preserve">Agent 5 could produce confident but legally incorrect rationale, made worse by multi-tenant scale (more outputs, more chances for an SCM to act on bad reasoning).</w:t>
      </w:r>
    </w:p>
    <w:p>
      <w:pPr>
        <w:pStyle w:val="ListParagraph"/>
        <w:numPr>
          <w:ilvl w:val="0"/>
          <w:numId w:val="2"/>
        </w:numPr>
        <w:spacing w:after="80"/>
      </w:pPr>
      <w:r>
        <w:t xml:space="preserve">Mitigation: Every recommendation cites a KB precedent or playbook rule; uncited recommendations auto-flag for Sandelin review.</w:t>
      </w:r>
    </w:p>
    <w:p>
      <w:pPr>
        <w:pStyle w:val="ListParagraph"/>
        <w:numPr>
          <w:ilvl w:val="0"/>
          <w:numId w:val="2"/>
        </w:numPr>
        <w:spacing w:after="80"/>
      </w:pPr>
      <w:r>
        <w:t xml:space="preserve">Mitigation: Sandelin reviews all LRSs; she remains the authority on every outbound counter.</w:t>
      </w:r>
    </w:p>
    <w:p>
      <w:pPr>
        <w:pStyle w:val="Heading3"/>
        <w:spacing w:after="120" w:before="220"/>
      </w:pPr>
      <w:r>
        <w:t xml:space="preserve">Risk 4: Knowledge Base Quality Degradation</w:t>
      </w:r>
    </w:p>
    <w:p>
      <w:pPr>
        <w:spacing w:after="120" w:before="0"/>
      </w:pPr>
      <w:r>
        <w:t xml:space="preserve">As more SCMs contribute to the KB, quality could degrade through inconsistent contributions, conflicting precedents, or stale entries.</w:t>
      </w:r>
    </w:p>
    <w:p>
      <w:pPr>
        <w:pStyle w:val="ListParagraph"/>
        <w:numPr>
          <w:ilvl w:val="0"/>
          <w:numId w:val="2"/>
        </w:numPr>
        <w:spacing w:after="80"/>
      </w:pPr>
      <w:r>
        <w:t xml:space="preserve">Mitigation: Steering Group (Vincent + Sandelin) owns KB curation; novel positions require Steering Group approval before they become precedent.</w:t>
      </w:r>
    </w:p>
    <w:p>
      <w:pPr>
        <w:pStyle w:val="ListParagraph"/>
        <w:numPr>
          <w:ilvl w:val="0"/>
          <w:numId w:val="2"/>
        </w:numPr>
        <w:spacing w:after="80"/>
      </w:pPr>
      <w:r>
        <w:t xml:space="preserve">Mitigation: Conflict detection in Agent 5 surfaces contradictory precedents for resolution.</w:t>
      </w:r>
    </w:p>
    <w:p>
      <w:pPr>
        <w:pStyle w:val="Heading3"/>
        <w:spacing w:after="120" w:before="220"/>
      </w:pPr>
      <w:r>
        <w:t xml:space="preserve">Risk 5: Peer Adoption Resistance</w:t>
      </w:r>
    </w:p>
    <w:p>
      <w:pPr>
        <w:spacing w:after="120" w:before="0"/>
      </w:pPr>
      <w:r>
        <w:t xml:space="preserve">Tom, Emily, and Mugdha may resist adopting a system they didn't design or request.</w:t>
      </w:r>
    </w:p>
    <w:p>
      <w:pPr>
        <w:pStyle w:val="ListParagraph"/>
        <w:numPr>
          <w:ilvl w:val="0"/>
          <w:numId w:val="2"/>
        </w:numPr>
        <w:spacing w:after="80"/>
      </w:pPr>
      <w:r>
        <w:t xml:space="preserve">Mitigation: Phase 4 pilot peer chosen for openness to new tools; their feedback shapes Phase 5 rollout.</w:t>
      </w:r>
    </w:p>
    <w:p>
      <w:pPr>
        <w:pStyle w:val="ListParagraph"/>
        <w:numPr>
          <w:ilvl w:val="0"/>
          <w:numId w:val="2"/>
        </w:numPr>
        <w:spacing w:after="80"/>
      </w:pPr>
      <w:r>
        <w:t xml:space="preserve">Mitigation: Opt-out mechanism (Principle 2.9) preserves individual autonomy.</w:t>
      </w:r>
    </w:p>
    <w:p>
      <w:pPr>
        <w:pStyle w:val="ListParagraph"/>
        <w:numPr>
          <w:ilvl w:val="0"/>
          <w:numId w:val="2"/>
        </w:numPr>
        <w:spacing w:after="80"/>
      </w:pPr>
      <w:r>
        <w:t xml:space="preserve">Mitigation: Demonstrate value with Sandy queue time savings and Knowledge Base precedent reuse before mandating adoption.</w:t>
      </w:r>
    </w:p>
    <w:p>
      <w:pPr>
        <w:pStyle w:val="Heading2"/>
        <w:spacing w:after="160" w:before="280"/>
      </w:pPr>
      <w:r>
        <w:t xml:space="preserve">9.2 Open Questions for Steering Group</w:t>
      </w:r>
    </w:p>
    <w:p>
      <w:pPr>
        <w:pStyle w:val="ListParagraph"/>
        <w:numPr>
          <w:ilvl w:val="0"/>
          <w:numId w:val="2"/>
        </w:numPr>
        <w:spacing w:after="80"/>
      </w:pPr>
      <w:r>
        <w:t xml:space="preserve">Phase 4 pilot peer selection (Tom Butler, Emily Wang, or Mugdha Thakkar).</w:t>
      </w:r>
    </w:p>
    <w:p>
      <w:pPr>
        <w:pStyle w:val="ListParagraph"/>
        <w:numPr>
          <w:ilvl w:val="0"/>
          <w:numId w:val="2"/>
        </w:numPr>
        <w:spacing w:after="80"/>
      </w:pPr>
      <w:r>
        <w:t xml:space="preserve">Steering Group meeting cadence (recommendation: monthly during Phases 1–4, quarterly thereafter, ad hoc on novel positions).</w:t>
      </w:r>
    </w:p>
    <w:p>
      <w:pPr>
        <w:pStyle w:val="ListParagraph"/>
        <w:numPr>
          <w:ilvl w:val="0"/>
          <w:numId w:val="2"/>
        </w:numPr>
        <w:spacing w:after="80"/>
      </w:pPr>
      <w:r>
        <w:t xml:space="preserve">Ranjeet Mankikar's involvement level (default: read-only stakeholder with weekly summary).</w:t>
      </w:r>
    </w:p>
    <w:p>
      <w:pPr>
        <w:pStyle w:val="ListParagraph"/>
        <w:numPr>
          <w:ilvl w:val="0"/>
          <w:numId w:val="2"/>
        </w:numPr>
        <w:spacing w:after="80"/>
      </w:pPr>
      <w:r>
        <w:t xml:space="preserve">LRS template — Vincent to provide as .docx export from .gdoc.</w:t>
      </w:r>
    </w:p>
    <w:p>
      <w:pPr>
        <w:pStyle w:val="ListParagraph"/>
        <w:numPr>
          <w:ilvl w:val="0"/>
          <w:numId w:val="2"/>
        </w:numPr>
        <w:spacing w:after="80"/>
      </w:pPr>
      <w:r>
        <w:rPr/>
        <w:t>Sandelin's delegated Gmail access for outbound contract initiation detection (Phase 1: applies to MEPA and MPA initiations from Legal).</w:t>
      </w:r>
    </w:p>
    <w:p>
      <w:pPr>
        <w:pStyle w:val="ListParagraph"/>
        <w:numPr>
          <w:ilvl w:val="0"/>
          <w:numId w:val="2"/>
        </w:numPr>
        <w:spacing w:after="80"/>
      </w:pPr>
      <w:r>
        <w:t xml:space="preserve">Existing peer trackers — discovery and migration plan deferred until Phase 4 onboardee is selected.</w:t>
      </w:r>
    </w:p>
    <w:p>
      <w:pPr>
        <w:pStyle w:val="ListParagraph"/>
        <w:numPr>
          <w:ilvl w:val="0"/>
          <w:numId w:val="2"/>
        </w:numPr>
        <w:spacing w:after="80"/>
      </w:pPr>
      <w:r>
        <w:t xml:space="preserve">Knowledge Base contribution norms when peer SCMs onboard in Phase 5.</w:t>
      </w:r>
    </w:p>
    <w:p>
      <w:r>
        <w:br w:type="page"/>
      </w:r>
    </w:p>
    <w:p>
      <w:pPr>
        <w:pStyle w:val="Heading1"/>
        <w:spacing w:after="200" w:before="360"/>
      </w:pPr>
      <w:r>
        <w:t xml:space="preserve">10. Change Management &amp; Peer Onboarding</w:t>
      </w:r>
    </w:p>
    <w:p>
      <w:pPr>
        <w:spacing w:after="120" w:before="0"/>
      </w:pPr>
      <w:r>
        <w:t xml:space="preserve">Multi-tenant rollout to peer SCMs requires deliberate change management. ACP is not a system any SCM requested; it is a system Vincent built to help the team and is offering to peers. Adoption depends on trust, demonstrated value, and respect for peer autonomy.</w:t>
      </w:r>
    </w:p>
    <w:p>
      <w:pPr>
        <w:pStyle w:val="Heading2"/>
        <w:spacing w:after="160" w:before="280"/>
      </w:pPr>
      <w:r>
        <w:t xml:space="preserve">10.1 Onboarding Principles</w:t>
      </w:r>
    </w:p>
    <w:p>
      <w:pPr>
        <w:pStyle w:val="ListParagraph"/>
        <w:numPr>
          <w:ilvl w:val="0"/>
          <w:numId w:val="2"/>
        </w:numPr>
        <w:spacing w:after="80"/>
      </w:pPr>
      <w:r>
        <w:t xml:space="preserve">Each SCM opts in. No mandate without Steering Group approval and demonstrated Phase 3 value.</w:t>
      </w:r>
    </w:p>
    <w:p>
      <w:pPr>
        <w:pStyle w:val="ListParagraph"/>
        <w:numPr>
          <w:ilvl w:val="0"/>
          <w:numId w:val="2"/>
        </w:numPr>
        <w:spacing w:after="80"/>
      </w:pPr>
      <w:r>
        <w:t xml:space="preserve">New negotiations first. Existing in-flight negotiations stay on the peer SCM's current process until natural close.</w:t>
      </w:r>
    </w:p>
    <w:p>
      <w:pPr>
        <w:pStyle w:val="ListParagraph"/>
        <w:numPr>
          <w:ilvl w:val="0"/>
          <w:numId w:val="2"/>
        </w:numPr>
        <w:spacing w:after="80"/>
      </w:pPr>
      <w:r>
        <w:t xml:space="preserve">One peer at a time. Sequential, not parallel rollout to preserve operational stability and feedback signal.</w:t>
      </w:r>
    </w:p>
    <w:p>
      <w:pPr>
        <w:pStyle w:val="ListParagraph"/>
        <w:numPr>
          <w:ilvl w:val="0"/>
          <w:numId w:val="2"/>
        </w:numPr>
        <w:spacing w:after="80"/>
      </w:pPr>
      <w:r>
        <w:t xml:space="preserve">Opt-out is permanent. Any SCM can pause ACP for any negotiation at any time without explanation.</w:t>
      </w:r>
    </w:p>
    <w:p>
      <w:pPr>
        <w:pStyle w:val="ListParagraph"/>
        <w:numPr>
          <w:ilvl w:val="0"/>
          <w:numId w:val="2"/>
        </w:numPr>
        <w:spacing w:after="80"/>
      </w:pPr>
      <w:r>
        <w:t xml:space="preserve">The peer SCM's tracker schema matches the canonical schema. No per-SCM schema customization.</w:t>
      </w:r>
    </w:p>
    <w:p>
      <w:pPr>
        <w:pStyle w:val="Heading2"/>
        <w:spacing w:after="160" w:before="280"/>
      </w:pPr>
      <w:r>
        <w:t xml:space="preserve">10.2 Onboarding Process (per SCM)</w:t>
      </w:r>
    </w:p>
    <w:p>
      <w:pPr>
        <w:pStyle w:val="ListParagraph"/>
        <w:numPr>
          <w:ilvl w:val="0"/>
          <w:numId w:val="2"/>
        </w:numPr>
        <w:spacing w:after="80"/>
      </w:pPr>
      <w:r>
        <w:t xml:space="preserve">Step 1: Steering Group selects the SCM and confirms with Vincent.</w:t>
      </w:r>
    </w:p>
    <w:p>
      <w:pPr>
        <w:pStyle w:val="ListParagraph"/>
        <w:numPr>
          <w:ilvl w:val="0"/>
          <w:numId w:val="2"/>
        </w:numPr>
        <w:spacing w:after="80"/>
      </w:pPr>
      <w:r>
        <w:t xml:space="preserve">Step 2: Vincent meets 1:1 with the SCM to walk through ACP capabilities, the trackers, the LRS flow, the opt-out mechanism. Honest conversation about what works and what is still beta.</w:t>
      </w:r>
    </w:p>
    <w:p>
      <w:pPr>
        <w:pStyle w:val="ListParagraph"/>
        <w:numPr>
          <w:ilvl w:val="0"/>
          <w:numId w:val="2"/>
        </w:numPr>
        <w:spacing w:after="80"/>
      </w:pPr>
      <w:r>
        <w:t xml:space="preserve">Step 3: SCM grants OAuth2 access to Gmail and Drive scopes.</w:t>
      </w:r>
    </w:p>
    <w:p>
      <w:pPr>
        <w:pStyle w:val="ListParagraph"/>
        <w:numPr>
          <w:ilvl w:val="0"/>
          <w:numId w:val="2"/>
        </w:numPr>
        <w:spacing w:after="80"/>
      </w:pPr>
      <w:r>
        <w:rPr/>
        <w:t>Step 4: SCM's ACP_Tracker is provisioned in Google Sheets using the canonical schema.</w:t>
      </w:r>
    </w:p>
    <w:p>
      <w:pPr>
        <w:pStyle w:val="ListParagraph"/>
        <w:numPr>
          <w:ilvl w:val="0"/>
          <w:numId w:val="2"/>
        </w:numPr>
        <w:spacing w:after="80"/>
      </w:pPr>
      <w:r>
        <w:t xml:space="preserve">Step 5: SCM's tenant-scoped Drive folder is provisioned.</w:t>
      </w:r>
    </w:p>
    <w:p>
      <w:pPr>
        <w:pStyle w:val="ListParagraph"/>
        <w:numPr>
          <w:ilvl w:val="0"/>
          <w:numId w:val="2"/>
        </w:numPr>
        <w:spacing w:after="80"/>
      </w:pPr>
      <w:r>
        <w:t xml:space="preserve">Step 6: Shadow period (2 weeks): ACP detects events on the SCM's inbox but Vincent reviews all outputs before they go to Sandelin.</w:t>
      </w:r>
    </w:p>
    <w:p>
      <w:pPr>
        <w:pStyle w:val="ListParagraph"/>
        <w:numPr>
          <w:ilvl w:val="0"/>
          <w:numId w:val="2"/>
        </w:numPr>
        <w:spacing w:after="80"/>
      </w:pPr>
      <w:r>
        <w:t xml:space="preserve">Step 7: Go-live: ACP delivers LRSs to Sandelin directly with the SCM CC'd.</w:t>
      </w:r>
    </w:p>
    <w:p>
      <w:pPr>
        <w:pStyle w:val="ListParagraph"/>
        <w:numPr>
          <w:ilvl w:val="0"/>
          <w:numId w:val="2"/>
        </w:numPr>
        <w:spacing w:after="80"/>
      </w:pPr>
      <w:r>
        <w:t xml:space="preserve">Step 8: 30-day review with Vincent, the SCM, and Sandelin. Adjust as needed.</w:t>
      </w:r>
    </w:p>
    <w:p>
      <w:pPr>
        <w:pStyle w:val="Heading2"/>
        <w:spacing w:after="160" w:before="280"/>
      </w:pPr>
      <w:r>
        <w:t xml:space="preserve">10.3 Training Materials</w:t>
      </w:r>
    </w:p>
    <w:p>
      <w:pPr>
        <w:pStyle w:val="ListParagraph"/>
        <w:numPr>
          <w:ilvl w:val="0"/>
          <w:numId w:val="2"/>
        </w:numPr>
        <w:spacing w:after="80"/>
      </w:pPr>
      <w:r>
        <w:t xml:space="preserve">ACP user guide for SCMs (one-pager + detail doc).</w:t>
      </w:r>
    </w:p>
    <w:p>
      <w:pPr>
        <w:pStyle w:val="ListParagraph"/>
        <w:numPr>
          <w:ilvl w:val="0"/>
          <w:numId w:val="2"/>
        </w:numPr>
        <w:spacing w:after="80"/>
      </w:pPr>
      <w:r>
        <w:t xml:space="preserve">Tracker walkthrough video.</w:t>
      </w:r>
    </w:p>
    <w:p>
      <w:pPr>
        <w:pStyle w:val="ListParagraph"/>
        <w:numPr>
          <w:ilvl w:val="0"/>
          <w:numId w:val="2"/>
        </w:numPr>
        <w:spacing w:after="80"/>
      </w:pPr>
      <w:r>
        <w:t xml:space="preserve">LRS review walkthrough for Sandelin.</w:t>
      </w:r>
    </w:p>
    <w:p>
      <w:pPr>
        <w:pStyle w:val="ListParagraph"/>
        <w:numPr>
          <w:ilvl w:val="0"/>
          <w:numId w:val="2"/>
        </w:numPr>
        <w:spacing w:after="80"/>
      </w:pPr>
      <w:r>
        <w:t xml:space="preserve">Slack channel etiquette and command reference.</w:t>
      </w:r>
    </w:p>
    <w:p>
      <w:pPr>
        <w:pStyle w:val="ListParagraph"/>
        <w:numPr>
          <w:ilvl w:val="0"/>
          <w:numId w:val="2"/>
        </w:numPr>
        <w:spacing w:after="80"/>
      </w:pPr>
      <w:r>
        <w:t xml:space="preserve">Opt-out and exception handling guide.</w:t>
      </w:r>
    </w:p>
    <w:p>
      <w:pPr>
        <w:pStyle w:val="Heading2"/>
        <w:spacing w:after="160" w:before="280"/>
      </w:pPr>
      <w:r>
        <w:t xml:space="preserve">10.4 Feedback Loop</w:t>
      </w:r>
    </w:p>
    <w:p>
      <w:pPr>
        <w:pStyle w:val="ListParagraph"/>
        <w:numPr>
          <w:ilvl w:val="0"/>
          <w:numId w:val="2"/>
        </w:numPr>
        <w:spacing w:after="80"/>
      </w:pPr>
      <w:r>
        <w:t xml:space="preserve">Each onboarded SCM gets a 30-day check-in with Vincent.</w:t>
      </w:r>
    </w:p>
    <w:p>
      <w:pPr>
        <w:pStyle w:val="ListParagraph"/>
        <w:numPr>
          <w:ilvl w:val="0"/>
          <w:numId w:val="2"/>
        </w:numPr>
        <w:spacing w:after="80"/>
      </w:pPr>
      <w:r>
        <w:t xml:space="preserve">Quarterly retrospectives with the Steering Group review system-wide feedback.</w:t>
      </w:r>
    </w:p>
    <w:p>
      <w:pPr>
        <w:pStyle w:val="ListParagraph"/>
        <w:numPr>
          <w:ilvl w:val="0"/>
          <w:numId w:val="2"/>
        </w:numPr>
        <w:spacing w:after="80"/>
      </w:pPr>
      <w:r>
        <w:t xml:space="preserve">Slack channel #mepa-mpa-redline-agent serves as the operational feedback channel.</w:t>
      </w:r>
    </w:p>
    <w:p>
      <w:pPr>
        <w:pStyle w:val="ListParagraph"/>
        <w:numPr>
          <w:ilvl w:val="0"/>
          <w:numId w:val="2"/>
        </w:numPr>
        <w:spacing w:after="80"/>
      </w:pPr>
      <w:r>
        <w:t xml:space="preserve">Issues that affect a tenant's negotiations are addressed within 1 business day.</w:t>
      </w:r>
    </w:p>
    <w:p>
      <w:r>
        <w:br w:type="page"/>
      </w:r>
    </w:p>
    <w:p>
      <w:pPr>
        <w:pStyle w:val="Heading1"/>
        <w:spacing w:after="200" w:before="360"/>
      </w:pPr>
      <w:r>
        <w:t xml:space="preserve">11. Governance</w:t>
      </w:r>
    </w:p>
    <w:p>
      <w:pPr>
        <w:pStyle w:val="Heading2"/>
        <w:spacing w:after="160" w:before="280"/>
      </w:pPr>
      <w:r>
        <w:t xml:space="preserve">11.1 Steering Group</w:t>
      </w:r>
    </w:p>
    <w:p>
      <w:pPr>
        <w:spacing w:after="120" w:before="0"/>
      </w:pPr>
      <w:r>
        <w:t xml:space="preserve">The Steering Group is the platform's decision-making body for matters above the operational level. Initial composition:</w:t>
      </w:r>
    </w:p>
    <w:p>
      <w:pPr>
        <w:pStyle w:val="ListParagraph"/>
        <w:numPr>
          <w:ilvl w:val="0"/>
          <w:numId w:val="2"/>
        </w:numPr>
        <w:spacing w:after="80"/>
      </w:pPr>
      <w:r>
        <w:t xml:space="preserve">Vincent Calianno — System Owner. Operational authority; technical decisions; Knowledge Base curation.</w:t>
      </w:r>
    </w:p>
    <w:p>
      <w:pPr>
        <w:pStyle w:val="ListParagraph"/>
        <w:numPr>
          <w:ilvl w:val="0"/>
          <w:numId w:val="2"/>
        </w:numPr>
        <w:spacing w:after="80"/>
      </w:pPr>
      <w:r>
        <w:t xml:space="preserve">Sandelin Sikes — Legal Reviewer. Legal positions; novel-position approvals; LRS standards.</w:t>
      </w:r>
    </w:p>
    <w:p>
      <w:pPr>
        <w:spacing w:after="120" w:before="0"/>
      </w:pPr>
      <w:r>
        <w:t xml:space="preserve">Future expansion may include Ranjeet Mankikar or another senior stakeholder if the platform's scope grows.</w:t>
      </w:r>
    </w:p>
    <w:p>
      <w:pPr>
        <w:pStyle w:val="Heading2"/>
        <w:spacing w:after="160" w:before="280"/>
      </w:pPr>
      <w:r>
        <w:t xml:space="preserve">11.2 Steering Group Responsibilities</w:t>
      </w:r>
    </w:p>
    <w:p>
      <w:pPr>
        <w:pStyle w:val="ListParagraph"/>
        <w:numPr>
          <w:ilvl w:val="0"/>
          <w:numId w:val="2"/>
        </w:numPr>
        <w:spacing w:after="80"/>
      </w:pPr>
      <w:r>
        <w:t xml:space="preserve">Approve playbook changes (additions, modifications, deprecations).</w:t>
      </w:r>
    </w:p>
    <w:p>
      <w:pPr>
        <w:pStyle w:val="ListParagraph"/>
        <w:numPr>
          <w:ilvl w:val="0"/>
          <w:numId w:val="2"/>
        </w:numPr>
        <w:spacing w:after="80"/>
      </w:pPr>
      <w:r>
        <w:t xml:space="preserve">Curate Knowledge Base entries marked as 'novel position' by Agent 5.</w:t>
      </w:r>
    </w:p>
    <w:p>
      <w:pPr>
        <w:pStyle w:val="ListParagraph"/>
        <w:numPr>
          <w:ilvl w:val="0"/>
          <w:numId w:val="2"/>
        </w:numPr>
        <w:spacing w:after="80"/>
      </w:pPr>
      <w:r>
        <w:t xml:space="preserve">Resolve cross-SCM disputes (e.g., two SCMs negotiating contradictory positions on similar clauses).</w:t>
      </w:r>
    </w:p>
    <w:p>
      <w:pPr>
        <w:pStyle w:val="ListParagraph"/>
        <w:numPr>
          <w:ilvl w:val="0"/>
          <w:numId w:val="2"/>
        </w:numPr>
        <w:spacing w:after="80"/>
      </w:pPr>
      <w:r>
        <w:t xml:space="preserve">Approve material agent or system changes.</w:t>
      </w:r>
    </w:p>
    <w:p>
      <w:pPr>
        <w:pStyle w:val="ListParagraph"/>
        <w:numPr>
          <w:ilvl w:val="0"/>
          <w:numId w:val="2"/>
        </w:numPr>
        <w:spacing w:after="80"/>
      </w:pPr>
      <w:r>
        <w:t xml:space="preserve">Approve new tenant onboarding.</w:t>
      </w:r>
    </w:p>
    <w:p>
      <w:pPr>
        <w:pStyle w:val="ListParagraph"/>
        <w:numPr>
          <w:ilvl w:val="0"/>
          <w:numId w:val="2"/>
        </w:numPr>
        <w:spacing w:after="80"/>
      </w:pPr>
      <w:r>
        <w:t xml:space="preserve">Review and approve escalations from Agent 8.</w:t>
      </w:r>
    </w:p>
    <w:p>
      <w:pPr>
        <w:pStyle w:val="ListParagraph"/>
        <w:numPr>
          <w:ilvl w:val="0"/>
          <w:numId w:val="2"/>
        </w:numPr>
        <w:spacing w:after="80"/>
      </w:pPr>
      <w:r>
        <w:t xml:space="preserve">Set and adjust SLA targets.</w:t>
      </w:r>
    </w:p>
    <w:p>
      <w:pPr>
        <w:pStyle w:val="Heading2"/>
        <w:spacing w:after="160" w:before="280"/>
      </w:pPr>
      <w:r>
        <w:t xml:space="preserve">11.3 Cadence</w:t>
      </w:r>
    </w:p>
    <w:p>
      <w:pPr>
        <w:spacing w:after="120" w:before="0"/>
      </w:pPr>
      <w:r>
        <w:t xml:space="preserve">Recommended cadence (subject to Steering Group ratification):</w:t>
      </w:r>
    </w:p>
    <w:p>
      <w:pPr>
        <w:pStyle w:val="ListParagraph"/>
        <w:numPr>
          <w:ilvl w:val="0"/>
          <w:numId w:val="2"/>
        </w:numPr>
        <w:spacing w:after="80"/>
      </w:pPr>
      <w:r>
        <w:t xml:space="preserve">During Phases 1–4: monthly Steering Group meeting.</w:t>
      </w:r>
    </w:p>
    <w:p>
      <w:pPr>
        <w:pStyle w:val="ListParagraph"/>
        <w:numPr>
          <w:ilvl w:val="0"/>
          <w:numId w:val="2"/>
        </w:numPr>
        <w:spacing w:after="80"/>
      </w:pPr>
      <w:r>
        <w:t xml:space="preserve">During Phase 5 and steady-state: quarterly Steering Group meeting.</w:t>
      </w:r>
    </w:p>
    <w:p>
      <w:pPr>
        <w:pStyle w:val="ListParagraph"/>
        <w:numPr>
          <w:ilvl w:val="0"/>
          <w:numId w:val="2"/>
        </w:numPr>
        <w:spacing w:after="80"/>
      </w:pPr>
      <w:r>
        <w:t xml:space="preserve">Ad-hoc convening for: novel-position approvals, security incidents, peer onboarding decisions, material agent changes.</w:t>
      </w:r>
    </w:p>
    <w:p>
      <w:pPr>
        <w:pStyle w:val="ListParagraph"/>
        <w:numPr>
          <w:ilvl w:val="0"/>
          <w:numId w:val="2"/>
        </w:numPr>
        <w:spacing w:after="80"/>
      </w:pPr>
      <w:r>
        <w:t xml:space="preserve">Asynchronous decisions for routine items via Slack thread with explicit Steering Group sign-off.</w:t>
      </w:r>
    </w:p>
    <w:p>
      <w:pPr>
        <w:pStyle w:val="Heading2"/>
        <w:spacing w:after="160" w:before="280"/>
      </w:pPr>
      <w:r>
        <w:t xml:space="preserve">11.4 Escalation Paths</w:t>
      </w:r>
    </w:p>
    <w:p>
      <w:pPr>
        <w:pStyle w:val="ListParagraph"/>
        <w:numPr>
          <w:ilvl w:val="0"/>
          <w:numId w:val="2"/>
        </w:numPr>
        <w:spacing w:after="80"/>
      </w:pPr>
      <w:r>
        <w:t xml:space="preserve">Operational issue (agent failure, SLA breach) → Agent 8 → owning SCM → Vincent.</w:t>
      </w:r>
    </w:p>
    <w:p>
      <w:pPr>
        <w:pStyle w:val="ListParagraph"/>
        <w:numPr>
          <w:ilvl w:val="0"/>
          <w:numId w:val="2"/>
        </w:numPr>
        <w:spacing w:after="80"/>
      </w:pPr>
      <w:r>
        <w:t xml:space="preserve">Legal issue (clause requiring novel position) → Agent 5 flags → Agent 7 puts LRS in 'requires Sandelin sign-off' state → Sandelin → Steering Group if precedent-setting.</w:t>
      </w:r>
    </w:p>
    <w:p>
      <w:pPr>
        <w:pStyle w:val="ListParagraph"/>
        <w:numPr>
          <w:ilvl w:val="0"/>
          <w:numId w:val="2"/>
        </w:numPr>
        <w:spacing w:after="80"/>
      </w:pPr>
      <w:r>
        <w:t xml:space="preserve">Cross-tenant dispute (two SCMs with conflicting positions) → Vincent attempts resolution → Steering Group if unresolved.</w:t>
      </w:r>
    </w:p>
    <w:p>
      <w:pPr>
        <w:pStyle w:val="ListParagraph"/>
        <w:numPr>
          <w:ilvl w:val="0"/>
          <w:numId w:val="2"/>
        </w:numPr>
        <w:spacing w:after="80"/>
      </w:pPr>
      <w:r>
        <w:t xml:space="preserve">Platform change (new feature, scope expansion, new agent) → Vincent drafts proposal → Steering Group reviews → Steering Group approves or rejects.</w:t>
      </w:r>
    </w:p>
    <w:p>
      <w:pPr>
        <w:pStyle w:val="Heading2"/>
        <w:spacing w:after="160" w:before="280"/>
      </w:pPr>
      <w:r>
        <w:t xml:space="preserve">11.5 Knowledge Base Curation</w:t>
      </w:r>
    </w:p>
    <w:p>
      <w:pPr>
        <w:pStyle w:val="ListParagraph"/>
        <w:numPr>
          <w:ilvl w:val="0"/>
          <w:numId w:val="2"/>
        </w:numPr>
        <w:spacing w:after="80"/>
      </w:pPr>
      <w:r>
        <w:t xml:space="preserve">Every novel position flagged by Agent 5 requires Steering Group review before it becomes a citable precedent.</w:t>
      </w:r>
    </w:p>
    <w:p>
      <w:pPr>
        <w:pStyle w:val="ListParagraph"/>
        <w:numPr>
          <w:ilvl w:val="0"/>
          <w:numId w:val="2"/>
        </w:numPr>
        <w:spacing w:after="80"/>
      </w:pPr>
      <w:r>
        <w:t xml:space="preserve">Steering Group can deprecate KB entries that have been superseded by new legal positions.</w:t>
      </w:r>
    </w:p>
    <w:p>
      <w:pPr>
        <w:pStyle w:val="ListParagraph"/>
        <w:numPr>
          <w:ilvl w:val="0"/>
          <w:numId w:val="2"/>
        </w:numPr>
        <w:spacing w:after="80"/>
      </w:pPr>
      <w:r>
        <w:t xml:space="preserve">Contributing SCM is preserved in every KB entry for attribution and accountability.</w:t>
      </w:r>
    </w:p>
    <w:p>
      <w:pPr>
        <w:pStyle w:val="ListParagraph"/>
        <w:numPr>
          <w:ilvl w:val="0"/>
          <w:numId w:val="2"/>
        </w:numPr>
        <w:spacing w:after="80"/>
      </w:pPr>
      <w:r>
        <w:t xml:space="preserve">Annual KB audit reviews entries for staleness, conflicts, and quality.</w:t>
      </w:r>
    </w:p>
    <w:p>
      <w:pPr>
        <w:pStyle w:val="Heading2"/>
        <w:spacing w:after="160" w:before="280"/>
      </w:pPr>
      <w:r>
        <w:t xml:space="preserve">11.6 Data Privacy &amp; Confidentiality</w:t>
      </w:r>
    </w:p>
    <w:p>
      <w:pPr>
        <w:pStyle w:val="ListParagraph"/>
        <w:numPr>
          <w:ilvl w:val="0"/>
          <w:numId w:val="2"/>
        </w:numPr>
        <w:spacing w:after="80"/>
      </w:pPr>
      <w:r>
        <w:t xml:space="preserve">All ACP data is Antora-internal. No tenant data is shared externally without explicit Sandelin approval.</w:t>
      </w:r>
    </w:p>
    <w:p>
      <w:pPr>
        <w:pStyle w:val="ListParagraph"/>
        <w:numPr>
          <w:ilvl w:val="0"/>
          <w:numId w:val="2"/>
        </w:numPr>
        <w:spacing w:after="80"/>
      </w:pPr>
      <w:r>
        <w:t xml:space="preserve">Cross-tenant visibility within ACP is limited per Section 4 permissions matrix.</w:t>
      </w:r>
    </w:p>
    <w:p>
      <w:pPr>
        <w:pStyle w:val="ListParagraph"/>
        <w:numPr>
          <w:ilvl w:val="0"/>
          <w:numId w:val="2"/>
        </w:numPr>
        <w:spacing w:after="80"/>
      </w:pPr>
      <w:r>
        <w:t xml:space="preserve">Audit log is retained indefinitely for legal record-keeping.</w:t>
      </w:r>
    </w:p>
    <w:p>
      <w:pPr>
        <w:pStyle w:val="ListParagraph"/>
        <w:numPr>
          <w:ilvl w:val="0"/>
          <w:numId w:val="2"/>
        </w:numPr>
        <w:spacing w:after="80"/>
      </w:pPr>
      <w:r>
        <w:t xml:space="preserve">Knowledge Base entries are visible to all internal SCMs by design; supplier names may be redacted in highly sensitive precedents at Sandelin's discretion.</w:t>
      </w:r>
    </w:p>
    <w:p>
      <w:r>
        <w:br w:type="page"/>
      </w:r>
    </w:p>
    <w:p>
      <w:pPr>
        <w:pStyle w:val="Heading1"/>
        <w:spacing w:after="200" w:before="360"/>
      </w:pPr>
      <w:r>
        <w:t xml:space="preserve">12. Success Metrics</w:t>
      </w:r>
    </w:p>
    <w:p>
      <w:pPr>
        <w:spacing w:after="120" w:before="0"/>
      </w:pPr>
      <w:r>
        <w:t xml:space="preserve">ACP will be measured against operational, business, and strategic metrics. Targets apply 12 months post Phase 5 go-live.</w:t>
      </w:r>
    </w:p>
    <w:p>
      <w:pPr>
        <w:pStyle w:val="Heading2"/>
        <w:spacing w:after="160" w:before="280"/>
      </w:pPr>
      <w:r>
        <w:t xml:space="preserve">12.1 Operational Metrics</w:t>
      </w:r>
    </w:p>
    <w:p>
      <w:pPr>
        <w:pStyle w:val="ListParagraph"/>
        <w:numPr>
          <w:ilvl w:val="0"/>
          <w:numId w:val="2"/>
        </w:numPr>
        <w:spacing w:after="80"/>
      </w:pPr>
      <w:r>
        <w:t xml:space="preserve">End-to-end cycle time (supplier email → LRS to Sandelin): p95 ≤ 4 business hours per SCM.</w:t>
      </w:r>
    </w:p>
    <w:p>
      <w:pPr>
        <w:pStyle w:val="ListParagraph"/>
        <w:numPr>
          <w:ilvl w:val="0"/>
          <w:numId w:val="2"/>
        </w:numPr>
        <w:spacing w:after="80"/>
      </w:pPr>
      <w:r>
        <w:t xml:space="preserve">Email Watcher classification accuracy: ≥ 95% high-confidence.</w:t>
      </w:r>
    </w:p>
    <w:p>
      <w:pPr>
        <w:pStyle w:val="ListParagraph"/>
        <w:numPr>
          <w:ilvl w:val="0"/>
          <w:numId w:val="2"/>
        </w:numPr>
        <w:spacing w:after="80"/>
      </w:pPr>
      <w:r>
        <w:t xml:space="preserve">Agent 5 recommendation alignment with SCM judgment: ≥ 90% across all SCMs.</w:t>
      </w:r>
    </w:p>
    <w:p>
      <w:pPr>
        <w:pStyle w:val="ListParagraph"/>
        <w:numPr>
          <w:ilvl w:val="0"/>
          <w:numId w:val="2"/>
        </w:numPr>
        <w:spacing w:after="80"/>
      </w:pPr>
      <w:r>
        <w:t xml:space="preserve">System uptime during business hours: ≥ 99%.</w:t>
      </w:r>
    </w:p>
    <w:p>
      <w:pPr>
        <w:pStyle w:val="ListParagraph"/>
        <w:numPr>
          <w:ilvl w:val="0"/>
          <w:numId w:val="2"/>
        </w:numPr>
        <w:spacing w:after="80"/>
      </w:pPr>
      <w:r>
        <w:t xml:space="preserve">State corruption events: 0.</w:t>
      </w:r>
    </w:p>
    <w:p>
      <w:pPr>
        <w:pStyle w:val="ListParagraph"/>
        <w:numPr>
          <w:ilvl w:val="0"/>
          <w:numId w:val="2"/>
        </w:numPr>
        <w:spacing w:after="80"/>
      </w:pPr>
      <w:r>
        <w:t xml:space="preserve">Cross-tenant write events: 0 (tenancy violations).</w:t>
      </w:r>
    </w:p>
    <w:p>
      <w:pPr>
        <w:pStyle w:val="Heading2"/>
        <w:spacing w:after="160" w:before="280"/>
      </w:pPr>
      <w:r>
        <w:t xml:space="preserve">12.2 Business Metrics</w:t>
      </w:r>
    </w:p>
    <w:p>
      <w:pPr>
        <w:pStyle w:val="ListParagraph"/>
        <w:numPr>
          <w:ilvl w:val="0"/>
          <w:numId w:val="2"/>
        </w:numPr>
        <w:spacing w:after="80"/>
      </w:pPr>
      <w:r>
        <w:t xml:space="preserve">SCM hours per redline round: reduced from 3–5 hours (current) to ≤ 1 hour (Sandelin handoff + edge case handling). Measured per SCM.</w:t>
      </w:r>
    </w:p>
    <w:p>
      <w:pPr>
        <w:pStyle w:val="ListParagraph"/>
        <w:numPr>
          <w:ilvl w:val="0"/>
          <w:numId w:val="2"/>
        </w:numPr>
        <w:spacing w:after="80"/>
      </w:pPr>
      <w:r>
        <w:rPr/>
        <w:t>Contract execution velocity (Phase 1: MEPA and MPA): agreements moving from Negotiating to Executed per quarter, team-wide. Target: 25%+ improvement over pre-ACP baseline.</w:t>
      </w:r>
    </w:p>
    <w:p>
      <w:pPr>
        <w:pStyle w:val="ListParagraph"/>
        <w:numPr>
          <w:ilvl w:val="0"/>
          <w:numId w:val="2"/>
        </w:numPr>
        <w:spacing w:after="80"/>
      </w:pPr>
      <w:r>
        <w:t xml:space="preserve">Sandelin queue depth: median ≤ 2 business days.</w:t>
      </w:r>
    </w:p>
    <w:p>
      <w:pPr>
        <w:pStyle w:val="ListParagraph"/>
        <w:numPr>
          <w:ilvl w:val="0"/>
          <w:numId w:val="2"/>
        </w:numPr>
        <w:spacing w:after="80"/>
      </w:pPr>
      <w:r>
        <w:t xml:space="preserve">Sandelin LRS quality rating: qualitative quarterly check-in.</w:t>
      </w:r>
    </w:p>
    <w:p>
      <w:pPr>
        <w:pStyle w:val="Heading2"/>
        <w:spacing w:after="160" w:before="280"/>
      </w:pPr>
      <w:r>
        <w:t xml:space="preserve">12.3 Platform Metrics</w:t>
      </w:r>
    </w:p>
    <w:p>
      <w:pPr>
        <w:pStyle w:val="ListParagraph"/>
        <w:numPr>
          <w:ilvl w:val="0"/>
          <w:numId w:val="2"/>
        </w:numPr>
        <w:spacing w:after="80"/>
      </w:pPr>
      <w:r>
        <w:t xml:space="preserve">Knowledge Base growth: precedent count, citation rate by Agent 5, contributing SCMs.</w:t>
      </w:r>
    </w:p>
    <w:p>
      <w:pPr>
        <w:pStyle w:val="ListParagraph"/>
        <w:numPr>
          <w:ilvl w:val="0"/>
          <w:numId w:val="2"/>
        </w:numPr>
        <w:spacing w:after="80"/>
      </w:pPr>
      <w:r>
        <w:t xml:space="preserve">Cross-SCM precedent reuse: count of redlines analyzed by one SCM citing a precedent contributed by another. This is the core multi-tenant value metric.</w:t>
      </w:r>
    </w:p>
    <w:p>
      <w:pPr>
        <w:pStyle w:val="ListParagraph"/>
        <w:numPr>
          <w:ilvl w:val="0"/>
          <w:numId w:val="2"/>
        </w:numPr>
        <w:spacing w:after="80"/>
      </w:pPr>
      <w:r>
        <w:t xml:space="preserve">Tenant onboarding velocity: time from Phase 5 start to all SCMs operational.</w:t>
      </w:r>
    </w:p>
    <w:p>
      <w:pPr>
        <w:pStyle w:val="ListParagraph"/>
        <w:numPr>
          <w:ilvl w:val="0"/>
          <w:numId w:val="2"/>
        </w:numPr>
        <w:spacing w:after="80"/>
      </w:pPr>
      <w:r>
        <w:t xml:space="preserve">Opt-out frequency: a high opt-out rate signals trust or quality issues.</w:t>
      </w:r>
    </w:p>
    <w:p>
      <w:pPr>
        <w:pStyle w:val="Heading2"/>
        <w:spacing w:after="160" w:before="280"/>
      </w:pPr>
      <w:r>
        <w:t xml:space="preserve">12.4 Strategic Metrics</w:t>
      </w:r>
    </w:p>
    <w:p>
      <w:pPr>
        <w:pStyle w:val="ListParagraph"/>
        <w:numPr>
          <w:ilvl w:val="0"/>
          <w:numId w:val="2"/>
        </w:numPr>
        <w:spacing w:after="80"/>
      </w:pPr>
      <w:r>
        <w:t xml:space="preserve">SCM hours reallocated to strategic should-cost, executive supplier relationships, and Pratt Project BOP delivery — supports Vincent's P5 promotion roadmap and equivalent development for peer SCMs.</w:t>
      </w:r>
    </w:p>
    <w:p>
      <w:pPr>
        <w:pStyle w:val="ListParagraph"/>
        <w:numPr>
          <w:ilvl w:val="0"/>
          <w:numId w:val="2"/>
        </w:numPr>
        <w:spacing w:after="80"/>
      </w:pPr>
      <w:r>
        <w:t xml:space="preserve">Ranjeet's portfolio visibility: qualitative quarterly check-in on whether the executive summary supports staff planning.</w:t>
      </w:r>
    </w:p>
    <w:p>
      <w:pPr>
        <w:pStyle w:val="ListParagraph"/>
        <w:numPr>
          <w:ilvl w:val="0"/>
          <w:numId w:val="2"/>
        </w:numPr>
        <w:spacing w:after="80"/>
      </w:pPr>
      <w:r>
        <w:t xml:space="preserve">Platform extensibility: success in adding Phase 2 scope (NDAs, MSAs, PO T&amp;Cs) when prioritized.</w:t>
      </w:r>
    </w:p>
    <w:p>
      <w:r>
        <w:br w:type="page"/>
      </w:r>
    </w:p>
    <w:p>
      <w:pPr>
        <w:spacing w:before="360" w:after="200"/>
        <w:outlineLvl w:val="0"/>
      </w:pPr>
      <w:r>
        <w:rPr>
          <w:rFonts w:ascii="Arial" w:hAnsi="Arial"/>
          <w:b/>
          <w:i w:val="0"/>
          <w:color w:val="1F3864"/>
          <w:sz w:val="32"/>
        </w:rPr>
        <w:t>13. Portability and Extensibility</w:t>
      </w:r>
    </w:p>
    <w:p>
      <w:pPr>
        <w:spacing w:after="120"/>
      </w:pPr>
      <w:r>
        <w:rPr>
          <w:rFonts w:ascii="Arial" w:hAnsi="Arial"/>
          <w:b w:val="0"/>
          <w:i w:val="0"/>
          <w:sz w:val="22"/>
        </w:rPr>
        <w:t>This section documents ACP's portability characteristics and the engineering effort required to extend the platform to adjacent use cases within Antora or to deploy the architecture outside Antora entirely. Section 13 was added in v2.1 to support future strategic planning.</w:t>
      </w:r>
    </w:p>
    <w:p>
      <w:pPr>
        <w:spacing w:before="280" w:after="160"/>
        <w:outlineLvl w:val="1"/>
      </w:pPr>
      <w:r>
        <w:rPr>
          <w:rFonts w:ascii="Arial" w:hAnsi="Arial"/>
          <w:b/>
          <w:i w:val="0"/>
          <w:color w:val="2E75B6"/>
          <w:sz w:val="26"/>
        </w:rPr>
        <w:t>13.1 Portability Layers</w:t>
      </w:r>
    </w:p>
    <w:p>
      <w:pPr>
        <w:spacing w:after="120"/>
      </w:pPr>
      <w:r>
        <w:rPr>
          <w:rFonts w:ascii="Arial" w:hAnsi="Arial"/>
          <w:b w:val="0"/>
          <w:i w:val="0"/>
          <w:sz w:val="22"/>
        </w:rPr>
        <w:t>ACP's portability separates into three distinct layers, each with different effort profiles and different IP considerations. Understanding which layer a future use case requires is the primary planning input for any extension or external deployment decision.</w:t>
      </w:r>
    </w:p>
    <w:tbl>
      <w:tblPr>
        <w:tblW w:type="auto" w:w="0"/>
        <w:jc w:val="left"/>
        <w:tblLook w:firstColumn="1" w:firstRow="1" w:lastColumn="0" w:lastRow="0" w:noHBand="0" w:noVBand="1" w:val="04A0"/>
      </w:tblPr>
      <w:tblGrid>
        <w:gridCol w:w="2340"/>
        <w:gridCol w:w="2340"/>
        <w:gridCol w:w="2340"/>
        <w:gridCol w:w="2340"/>
      </w:tblGrid>
      <w:tr>
        <w:tc>
          <w:tcPr>
            <w:tcW w:type="dxa" w:w="2016"/>
            <w:shd w:val="clear" w:color="auto" w:fill="1F3864"/>
          </w:tcPr>
          <w:p>
            <w:pPr>
              <w:spacing w:after="40"/>
            </w:pPr>
            <w:r/>
            <w:r>
              <w:rPr>
                <w:rFonts w:ascii="Arial" w:hAnsi="Arial"/>
                <w:b/>
                <w:i w:val="0"/>
                <w:color w:val="FFFFFF"/>
                <w:sz w:val="20"/>
              </w:rPr>
              <w:t>Layer</w:t>
            </w:r>
          </w:p>
        </w:tc>
        <w:tc>
          <w:tcPr>
            <w:tcW w:type="dxa" w:w="6336"/>
            <w:shd w:val="clear" w:color="auto" w:fill="1F3864"/>
          </w:tcPr>
          <w:p>
            <w:pPr>
              <w:spacing w:after="40"/>
            </w:pPr>
            <w:r/>
            <w:r>
              <w:rPr>
                <w:rFonts w:ascii="Arial" w:hAnsi="Arial"/>
                <w:b/>
                <w:i w:val="0"/>
                <w:color w:val="FFFFFF"/>
                <w:sz w:val="20"/>
              </w:rPr>
              <w:t>Description</w:t>
            </w:r>
          </w:p>
        </w:tc>
        <w:tc>
          <w:tcPr>
            <w:tcW w:type="dxa" w:w="2304"/>
            <w:shd w:val="clear" w:color="auto" w:fill="1F3864"/>
          </w:tcPr>
          <w:p>
            <w:pPr>
              <w:spacing w:after="40"/>
            </w:pPr>
            <w:r/>
            <w:r>
              <w:rPr>
                <w:rFonts w:ascii="Arial" w:hAnsi="Arial"/>
                <w:b/>
                <w:i w:val="0"/>
                <w:color w:val="FFFFFF"/>
                <w:sz w:val="20"/>
              </w:rPr>
              <w:t>Antora-Specific?</w:t>
            </w:r>
          </w:p>
        </w:tc>
        <w:tc>
          <w:tcPr>
            <w:tcW w:type="dxa" w:w="2880"/>
            <w:shd w:val="clear" w:color="auto" w:fill="1F3864"/>
          </w:tcPr>
          <w:p>
            <w:pPr>
              <w:spacing w:after="40"/>
            </w:pPr>
            <w:r/>
            <w:r>
              <w:rPr>
                <w:rFonts w:ascii="Arial" w:hAnsi="Arial"/>
                <w:b/>
                <w:i w:val="0"/>
                <w:color w:val="FFFFFF"/>
                <w:sz w:val="20"/>
              </w:rPr>
              <w:t>Reuse Effort</w:t>
            </w:r>
          </w:p>
        </w:tc>
      </w:tr>
      <w:tr>
        <w:tc>
          <w:tcPr>
            <w:tcW w:type="dxa" w:w="2016"/>
            <w:shd w:val="clear" w:color="auto" w:fill="F2F2F2"/>
          </w:tcPr>
          <w:p>
            <w:pPr>
              <w:spacing w:after="40"/>
            </w:pPr>
            <w:r/>
            <w:r>
              <w:rPr>
                <w:rFonts w:ascii="Arial" w:hAnsi="Arial"/>
                <w:b/>
                <w:i w:val="0"/>
                <w:sz w:val="20"/>
              </w:rPr>
              <w:t>Layer A — Architectural Pattern</w:t>
            </w:r>
          </w:p>
        </w:tc>
        <w:tc>
          <w:tcPr>
            <w:tcW w:type="dxa" w:w="6336"/>
            <w:shd w:val="clear" w:color="auto" w:fill="F2F2F2"/>
          </w:tcPr>
          <w:p>
            <w:pPr>
              <w:spacing w:after="40"/>
            </w:pPr>
            <w:r/>
            <w:r>
              <w:rPr>
                <w:rFonts w:ascii="Arial" w:hAnsi="Arial"/>
                <w:b w:val="0"/>
                <w:i w:val="0"/>
                <w:sz w:val="20"/>
              </w:rPr>
              <w:t>Nine-agent topology, three-layer organization, tenancy model, role permissions, state machine pattern. The structural skeleton.</w:t>
            </w:r>
          </w:p>
        </w:tc>
        <w:tc>
          <w:tcPr>
            <w:tcW w:type="dxa" w:w="2304"/>
            <w:shd w:val="clear" w:color="auto" w:fill="F2F2F2"/>
          </w:tcPr>
          <w:p>
            <w:pPr>
              <w:spacing w:after="40"/>
            </w:pPr>
            <w:r/>
            <w:r>
              <w:rPr>
                <w:rFonts w:ascii="Arial" w:hAnsi="Arial"/>
                <w:b w:val="0"/>
                <w:i w:val="0"/>
                <w:sz w:val="20"/>
              </w:rPr>
              <w:t>No. Generic.</w:t>
            </w:r>
          </w:p>
        </w:tc>
        <w:tc>
          <w:tcPr>
            <w:tcW w:type="dxa" w:w="2880"/>
            <w:shd w:val="clear" w:color="auto" w:fill="F2F2F2"/>
          </w:tcPr>
          <w:p>
            <w:pPr>
              <w:spacing w:after="40"/>
            </w:pPr>
            <w:r/>
            <w:r>
              <w:rPr>
                <w:rFonts w:ascii="Arial" w:hAnsi="Arial"/>
                <w:b w:val="0"/>
                <w:i w:val="0"/>
                <w:sz w:val="20"/>
              </w:rPr>
              <w:t>None. Reusable as documented design pattern.</w:t>
            </w:r>
          </w:p>
        </w:tc>
      </w:tr>
      <w:tr>
        <w:tc>
          <w:tcPr>
            <w:tcW w:type="dxa" w:w="2016"/>
          </w:tcPr>
          <w:p>
            <w:pPr>
              <w:spacing w:after="40"/>
            </w:pPr>
            <w:r/>
            <w:r>
              <w:rPr>
                <w:rFonts w:ascii="Arial" w:hAnsi="Arial"/>
                <w:b/>
                <w:i w:val="0"/>
                <w:sz w:val="20"/>
              </w:rPr>
              <w:t>Layer B — Generic Implementation</w:t>
            </w:r>
          </w:p>
        </w:tc>
        <w:tc>
          <w:tcPr>
            <w:tcW w:type="dxa" w:w="6336"/>
          </w:tcPr>
          <w:p>
            <w:pPr>
              <w:spacing w:after="40"/>
            </w:pPr>
            <w:r/>
            <w:r>
              <w:rPr>
                <w:rFonts w:ascii="Arial" w:hAnsi="Arial"/>
                <w:b w:val="0"/>
                <w:i w:val="0"/>
                <w:sz w:val="20"/>
              </w:rPr>
              <w:t>Code, data structures, agent runtime, event bus, schema definitions, OAuth flows, generic prompts. The reusable engineering work.</w:t>
            </w:r>
          </w:p>
        </w:tc>
        <w:tc>
          <w:tcPr>
            <w:tcW w:type="dxa" w:w="2304"/>
          </w:tcPr>
          <w:p>
            <w:pPr>
              <w:spacing w:after="40"/>
            </w:pPr>
            <w:r/>
            <w:r>
              <w:rPr>
                <w:rFonts w:ascii="Arial" w:hAnsi="Arial"/>
                <w:b w:val="0"/>
                <w:i w:val="0"/>
                <w:sz w:val="20"/>
              </w:rPr>
              <w:t>Partially. Built on Antora infrastructure but architecturally generic.</w:t>
            </w:r>
          </w:p>
        </w:tc>
        <w:tc>
          <w:tcPr>
            <w:tcW w:type="dxa" w:w="2880"/>
          </w:tcPr>
          <w:p>
            <w:pPr>
              <w:spacing w:after="40"/>
            </w:pPr>
            <w:r/>
            <w:r>
              <w:rPr>
                <w:rFonts w:ascii="Arial" w:hAnsi="Arial"/>
                <w:b w:val="0"/>
                <w:i w:val="0"/>
                <w:sz w:val="20"/>
              </w:rPr>
              <w:t>Medium. 2–4 weeks to re-implement at a new deployment.</w:t>
            </w:r>
          </w:p>
        </w:tc>
      </w:tr>
      <w:tr>
        <w:tc>
          <w:tcPr>
            <w:tcW w:type="dxa" w:w="2016"/>
            <w:shd w:val="clear" w:color="auto" w:fill="F2F2F2"/>
          </w:tcPr>
          <w:p>
            <w:pPr>
              <w:spacing w:after="40"/>
            </w:pPr>
            <w:r/>
            <w:r>
              <w:rPr>
                <w:rFonts w:ascii="Arial" w:hAnsi="Arial"/>
                <w:b/>
                <w:i w:val="0"/>
                <w:sz w:val="20"/>
              </w:rPr>
              <w:t>Layer C — Antora Domain Content</w:t>
            </w:r>
          </w:p>
        </w:tc>
        <w:tc>
          <w:tcPr>
            <w:tcW w:type="dxa" w:w="6336"/>
            <w:shd w:val="clear" w:color="auto" w:fill="F2F2F2"/>
          </w:tcPr>
          <w:p>
            <w:pPr>
              <w:spacing w:after="40"/>
            </w:pPr>
            <w:r/>
            <w:r>
              <w:rPr>
                <w:rFonts w:ascii="Arial" w:hAnsi="Arial"/>
                <w:b w:val="0"/>
                <w:i w:val="0"/>
                <w:sz w:val="20"/>
              </w:rPr>
              <w:t>MEPA template language, negotiation playbook with specific clause positions, Knowledge Base entries, supplier profiles, hard-coded high-risk rules (e.g., MCM consequential damages trap), supplier domains, integration with AgentOS and scm_monitor.py.</w:t>
            </w:r>
          </w:p>
        </w:tc>
        <w:tc>
          <w:tcPr>
            <w:tcW w:type="dxa" w:w="2304"/>
            <w:shd w:val="clear" w:color="auto" w:fill="F2F2F2"/>
          </w:tcPr>
          <w:p>
            <w:pPr>
              <w:spacing w:after="40"/>
            </w:pPr>
            <w:r/>
            <w:r>
              <w:rPr>
                <w:rFonts w:ascii="Arial" w:hAnsi="Arial"/>
                <w:b w:val="0"/>
                <w:i w:val="0"/>
                <w:sz w:val="20"/>
              </w:rPr>
              <w:t>Yes. Antora work product and IP.</w:t>
            </w:r>
          </w:p>
        </w:tc>
        <w:tc>
          <w:tcPr>
            <w:tcW w:type="dxa" w:w="2880"/>
            <w:shd w:val="clear" w:color="auto" w:fill="F2F2F2"/>
          </w:tcPr>
          <w:p>
            <w:pPr>
              <w:spacing w:after="40"/>
            </w:pPr>
            <w:r/>
            <w:r>
              <w:rPr>
                <w:rFonts w:ascii="Arial" w:hAnsi="Arial"/>
                <w:b w:val="0"/>
                <w:i w:val="0"/>
                <w:sz w:val="20"/>
              </w:rPr>
              <w:t>Not portable outside Antora. New deployments build their own.</w:t>
            </w:r>
          </w:p>
        </w:tc>
      </w:tr>
    </w:tbl>
    <w:p>
      <w:pPr>
        <w:spacing w:after="120"/>
      </w:pPr>
      <w:r>
        <w:rPr>
          <w:rFonts w:ascii="Arial" w:hAnsi="Arial"/>
          <w:b w:val="0"/>
          <w:i w:val="0"/>
          <w:sz w:val="22"/>
        </w:rPr>
      </w:r>
    </w:p>
    <w:p>
      <w:pPr>
        <w:spacing w:after="120"/>
      </w:pPr>
      <w:r>
        <w:rPr>
          <w:rFonts w:ascii="Arial" w:hAnsi="Arial"/>
          <w:b w:val="0"/>
          <w:i w:val="0"/>
          <w:sz w:val="22"/>
        </w:rPr>
        <w:t>The clean separation between Layers A, B, and C is itself a design goal. Code, configuration, and content should never blend across these layers. A future deployment should be able to lift Layer A and Layer B as a template, then populate Layer C from scratch with the new context's domain content.</w:t>
      </w:r>
    </w:p>
    <w:p>
      <w:pPr>
        <w:spacing w:before="280" w:after="160"/>
        <w:outlineLvl w:val="1"/>
      </w:pPr>
      <w:r>
        <w:rPr>
          <w:rFonts w:ascii="Arial" w:hAnsi="Arial"/>
          <w:b/>
          <w:i w:val="0"/>
          <w:color w:val="2E75B6"/>
          <w:sz w:val="26"/>
        </w:rPr>
        <w:t>13.2 Internal Antora Extension Scenarios</w:t>
      </w:r>
    </w:p>
    <w:p>
      <w:pPr>
        <w:spacing w:after="120"/>
      </w:pPr>
      <w:r>
        <w:rPr>
          <w:rFonts w:ascii="Arial" w:hAnsi="Arial"/>
          <w:b w:val="0"/>
          <w:i w:val="0"/>
          <w:sz w:val="22"/>
        </w:rPr>
        <w:t>ACP's Phase 1 scope is the supply chain team's MEPA and MPA work. The architecture, however, is contract-type-agnostic by design (see Section 2.10). Several adjacent Antora use cases could be served by the same platform with modest extension effort:</w:t>
      </w:r>
    </w:p>
    <w:p>
      <w:pPr>
        <w:spacing w:before="220" w:after="120"/>
        <w:outlineLvl w:val="2"/>
      </w:pPr>
      <w:r>
        <w:rPr>
          <w:rFonts w:ascii="Arial" w:hAnsi="Arial"/>
          <w:b/>
          <w:i w:val="0"/>
          <w:color w:val="1F3864"/>
          <w:sz w:val="22"/>
        </w:rPr>
        <w:t>13.2.1 Scope Expansion Within SCM (Phase 2 Candidate)</w:t>
      </w:r>
    </w:p>
    <w:p>
      <w:pPr>
        <w:spacing w:after="80"/>
        <w:ind w:left="720" w:hanging="360"/>
      </w:pPr>
      <w:r>
        <w:rPr>
          <w:rFonts w:ascii="Arial" w:hAnsi="Arial"/>
          <w:b w:val="0"/>
          <w:i w:val="0"/>
          <w:sz w:val="22"/>
        </w:rPr>
        <w:t>• NDAs and MSAs for services: same workflow shape, different templates and clause types. Estimated effort: 2–3 weeks of incremental playbook and template work.</w:t>
      </w:r>
    </w:p>
    <w:p>
      <w:pPr>
        <w:spacing w:after="80"/>
        <w:ind w:left="720" w:hanging="360"/>
      </w:pPr>
      <w:r>
        <w:rPr>
          <w:rFonts w:ascii="Arial" w:hAnsi="Arial"/>
          <w:b w:val="0"/>
          <w:i w:val="0"/>
          <w:sz w:val="22"/>
        </w:rPr>
        <w:t>• Purchase Order T&amp;Cs negotiations: more transactional, shorter cycle time, but the same agent topology applies. Already a partial Vincent use case (MCM PO T&amp;Cs Round 3 negotiation).</w:t>
      </w:r>
    </w:p>
    <w:p>
      <w:pPr>
        <w:spacing w:after="80"/>
        <w:ind w:left="720" w:hanging="360"/>
      </w:pPr>
      <w:r>
        <w:rPr>
          <w:rFonts w:ascii="Arial" w:hAnsi="Arial"/>
          <w:b w:val="0"/>
          <w:i w:val="0"/>
          <w:sz w:val="22"/>
        </w:rPr>
        <w:t>• Supplier qualification documents and quality agreements: similar pattern, different signatory and reviewer (likely Quality Engineering rather than Legal).</w:t>
      </w:r>
    </w:p>
    <w:p>
      <w:pPr>
        <w:spacing w:before="220" w:after="120"/>
        <w:outlineLvl w:val="2"/>
      </w:pPr>
      <w:r>
        <w:rPr>
          <w:rFonts w:ascii="Arial" w:hAnsi="Arial"/>
          <w:b/>
          <w:i w:val="0"/>
          <w:color w:val="1F3864"/>
          <w:sz w:val="22"/>
        </w:rPr>
        <w:t>13.2.2 Cross-Department Extension</w:t>
      </w:r>
    </w:p>
    <w:p>
      <w:pPr>
        <w:spacing w:after="80"/>
        <w:ind w:left="720" w:hanging="360"/>
      </w:pPr>
      <w:r>
        <w:rPr>
          <w:rFonts w:ascii="Arial" w:hAnsi="Arial"/>
          <w:b w:val="0"/>
          <w:i w:val="0"/>
          <w:sz w:val="22"/>
        </w:rPr>
        <w:t>• Finance contracts (banking agreements, financing documents): different Legal Reviewer, different playbook, but the same nine-agent topology. Requires Finance team buy-in and a new Steering Group composition.</w:t>
      </w:r>
    </w:p>
    <w:p>
      <w:pPr>
        <w:spacing w:after="80"/>
        <w:ind w:left="720" w:hanging="360"/>
      </w:pPr>
      <w:r>
        <w:rPr>
          <w:rFonts w:ascii="Arial" w:hAnsi="Arial"/>
          <w:b w:val="0"/>
          <w:i w:val="0"/>
          <w:sz w:val="22"/>
        </w:rPr>
        <w:t>• HR agreements (employment contracts, consulting agreements, contractor agreements): different sensitivity profile; would require additional access controls but architecturally feasible.</w:t>
      </w:r>
    </w:p>
    <w:p>
      <w:pPr>
        <w:spacing w:after="80"/>
        <w:ind w:left="720" w:hanging="360"/>
      </w:pPr>
      <w:r>
        <w:rPr>
          <w:rFonts w:ascii="Arial" w:hAnsi="Arial"/>
          <w:b w:val="0"/>
          <w:i w:val="0"/>
          <w:sz w:val="22"/>
        </w:rPr>
        <w:t>• Sales contracts (if Antora's customer-facing contract volume grows): mirror image of the supply chain workflow — outbound Antora-as-supplier rather than inbound Antora-as-buyer.</w:t>
      </w:r>
    </w:p>
    <w:p>
      <w:pPr>
        <w:spacing w:after="120"/>
      </w:pPr>
      <w:r>
        <w:rPr>
          <w:rFonts w:ascii="Arial" w:hAnsi="Arial"/>
          <w:b w:val="0"/>
          <w:i w:val="0"/>
          <w:sz w:val="22"/>
        </w:rPr>
        <w:t>For all cross-department scenarios, the multi-tenant architecture is already in place. The tenant model would expand from per-SCM scoping to per-team scoping; otherwise the platform operates unchanged.</w:t>
      </w:r>
    </w:p>
    <w:p>
      <w:pPr>
        <w:spacing w:before="280" w:after="160"/>
        <w:outlineLvl w:val="1"/>
      </w:pPr>
      <w:r>
        <w:rPr>
          <w:rFonts w:ascii="Arial" w:hAnsi="Arial"/>
          <w:b/>
          <w:i w:val="0"/>
          <w:color w:val="2E75B6"/>
          <w:sz w:val="26"/>
        </w:rPr>
        <w:t>13.3 External Deployment Scenarios</w:t>
      </w:r>
    </w:p>
    <w:p>
      <w:pPr>
        <w:spacing w:after="120"/>
      </w:pPr>
      <w:r>
        <w:rPr>
          <w:rFonts w:ascii="Arial" w:hAnsi="Arial"/>
          <w:b w:val="0"/>
          <w:i w:val="0"/>
          <w:sz w:val="22"/>
        </w:rPr>
        <w:t>Three distinct external scenarios exist, each with different effort profiles and different constraints. These are documented for future strategic reference; none is currently a planned Antora initiative.</w:t>
      </w:r>
    </w:p>
    <w:p>
      <w:pPr>
        <w:spacing w:before="220" w:after="120"/>
        <w:outlineLvl w:val="2"/>
      </w:pPr>
      <w:r>
        <w:rPr>
          <w:rFonts w:ascii="Arial" w:hAnsi="Arial"/>
          <w:b/>
          <w:i w:val="0"/>
          <w:color w:val="1F3864"/>
          <w:sz w:val="22"/>
        </w:rPr>
        <w:t>13.3.1 Single-Company Re-Implementation</w:t>
      </w:r>
    </w:p>
    <w:p>
      <w:pPr>
        <w:spacing w:after="120"/>
      </w:pPr>
      <w:r>
        <w:rPr>
          <w:rFonts w:ascii="Arial" w:hAnsi="Arial"/>
          <w:b w:val="0"/>
          <w:i w:val="0"/>
          <w:sz w:val="22"/>
        </w:rPr>
        <w:t>Hypothetical scenario: the architectural pattern is rebuilt for another company's procurement team using their own templates, their own playbook, and their own seed KB. Layer A and Layer B are reused; Layer C is built fresh from the new company's domain content.</w:t>
      </w:r>
    </w:p>
    <w:p>
      <w:pPr>
        <w:spacing w:after="80"/>
        <w:ind w:left="720" w:hanging="360"/>
      </w:pPr>
      <w:r>
        <w:rPr>
          <w:rFonts w:ascii="Arial" w:hAnsi="Arial"/>
          <w:b w:val="0"/>
          <w:i w:val="0"/>
          <w:sz w:val="22"/>
        </w:rPr>
        <w:t>• Estimated effort: 4–6 weeks for working v1 equivalent.</w:t>
      </w:r>
    </w:p>
    <w:p>
      <w:pPr>
        <w:spacing w:after="80"/>
        <w:ind w:left="720" w:hanging="360"/>
      </w:pPr>
      <w:r>
        <w:rPr>
          <w:rFonts w:ascii="Arial" w:hAnsi="Arial"/>
          <w:b w:val="0"/>
          <w:i w:val="0"/>
          <w:sz w:val="22"/>
        </w:rPr>
        <w:t>• IP considerations: Layer A and Layer B as documented in this specification are reusable engineering patterns. Layer C — the Antora-specific content — does not travel outside Antora regardless of who builds the new deployment.</w:t>
      </w:r>
    </w:p>
    <w:p>
      <w:pPr>
        <w:spacing w:after="80"/>
        <w:ind w:left="720" w:hanging="360"/>
      </w:pPr>
      <w:r>
        <w:rPr>
          <w:rFonts w:ascii="Arial" w:hAnsi="Arial"/>
          <w:b w:val="0"/>
          <w:i w:val="0"/>
          <w:sz w:val="22"/>
        </w:rPr>
        <w:t>• Recommended approach if pursued: rebuild Layer C from scratch using the new employer's contract history and legal team's positions.</w:t>
      </w:r>
    </w:p>
    <w:p>
      <w:pPr>
        <w:spacing w:before="220" w:after="120"/>
        <w:outlineLvl w:val="2"/>
      </w:pPr>
      <w:r>
        <w:rPr>
          <w:rFonts w:ascii="Arial" w:hAnsi="Arial"/>
          <w:b/>
          <w:i w:val="0"/>
          <w:color w:val="1F3864"/>
          <w:sz w:val="22"/>
        </w:rPr>
        <w:t>13.3.2 Multi-Company SaaS Product</w:t>
      </w:r>
    </w:p>
    <w:p>
      <w:pPr>
        <w:spacing w:after="120"/>
      </w:pPr>
      <w:r>
        <w:rPr>
          <w:rFonts w:ascii="Arial" w:hAnsi="Arial"/>
          <w:b w:val="0"/>
          <w:i w:val="0"/>
          <w:sz w:val="22"/>
        </w:rPr>
        <w:t>Hypothetical scenario: ACP becomes a commercial product serving many companies, each as an isolated tenant with their own private Knowledge Base and configuration.</w:t>
      </w:r>
    </w:p>
    <w:p>
      <w:pPr>
        <w:spacing w:after="80"/>
        <w:ind w:left="720" w:hanging="360"/>
      </w:pPr>
      <w:r>
        <w:rPr>
          <w:rFonts w:ascii="Arial" w:hAnsi="Arial"/>
          <w:b w:val="0"/>
          <w:i w:val="0"/>
          <w:sz w:val="22"/>
        </w:rPr>
        <w:t>• Estimated effort: 6–12 months of focused engineering by a small team.</w:t>
      </w:r>
    </w:p>
    <w:p>
      <w:pPr>
        <w:spacing w:after="80"/>
        <w:ind w:left="720" w:hanging="360"/>
      </w:pPr>
      <w:r>
        <w:rPr>
          <w:rFonts w:ascii="Arial" w:hAnsi="Arial"/>
          <w:b w:val="0"/>
          <w:i w:val="0"/>
          <w:sz w:val="22"/>
        </w:rPr>
        <w:t>• Architectural changes required: tenancy isolation strengthened to company-level (each company gets a fully private KB; no shared cross-company intelligence by default).</w:t>
      </w:r>
    </w:p>
    <w:p>
      <w:pPr>
        <w:spacing w:after="80"/>
        <w:ind w:left="720" w:hanging="360"/>
      </w:pPr>
      <w:r>
        <w:rPr>
          <w:rFonts w:ascii="Arial" w:hAnsi="Arial"/>
          <w:b w:val="0"/>
          <w:i w:val="0"/>
          <w:sz w:val="22"/>
        </w:rPr>
        <w:t>• Non-engineering work required: SOC 2 or equivalent compliance posture, customer onboarding tooling, support function, billing infrastructure, terms of service, data processing agreements, security audits.</w:t>
      </w:r>
    </w:p>
    <w:p>
      <w:pPr>
        <w:spacing w:after="80"/>
        <w:ind w:left="720" w:hanging="360"/>
      </w:pPr>
      <w:r>
        <w:rPr>
          <w:rFonts w:ascii="Arial" w:hAnsi="Arial"/>
          <w:b w:val="0"/>
          <w:i w:val="0"/>
          <w:sz w:val="22"/>
        </w:rPr>
        <w:t>• Market context: contract lifecycle management is a mature category with established competitors (Ironclad, Icertis, LinkSquares, ContractWorks, and others). Differentiation strategy would be required.</w:t>
      </w:r>
    </w:p>
    <w:p>
      <w:pPr>
        <w:spacing w:after="80"/>
        <w:ind w:left="720" w:hanging="360"/>
      </w:pPr>
      <w:r>
        <w:rPr>
          <w:rFonts w:ascii="Arial" w:hAnsi="Arial"/>
          <w:b w:val="0"/>
          <w:i w:val="0"/>
          <w:sz w:val="22"/>
        </w:rPr>
        <w:t>• This scenario is not within ACP's design scope; documented here only for completeness.</w:t>
      </w:r>
    </w:p>
    <w:p>
      <w:pPr>
        <w:spacing w:before="220" w:after="120"/>
        <w:outlineLvl w:val="2"/>
      </w:pPr>
      <w:r>
        <w:rPr>
          <w:rFonts w:ascii="Arial" w:hAnsi="Arial"/>
          <w:b/>
          <w:i w:val="0"/>
          <w:color w:val="1F3864"/>
          <w:sz w:val="22"/>
        </w:rPr>
        <w:t>13.3.3 Open-Source Reference Architecture</w:t>
      </w:r>
    </w:p>
    <w:p>
      <w:pPr>
        <w:spacing w:after="120"/>
      </w:pPr>
      <w:r>
        <w:rPr>
          <w:rFonts w:ascii="Arial" w:hAnsi="Arial"/>
          <w:b w:val="0"/>
          <w:i w:val="0"/>
          <w:sz w:val="22"/>
        </w:rPr>
        <w:t>Hypothetical scenario: Layer A (architectural pattern) is published as a reference architecture for engineering teams building similar systems, without any Layer C content.</w:t>
      </w:r>
    </w:p>
    <w:p>
      <w:pPr>
        <w:spacing w:after="80"/>
        <w:ind w:left="720" w:hanging="360"/>
      </w:pPr>
      <w:r>
        <w:rPr>
          <w:rFonts w:ascii="Arial" w:hAnsi="Arial"/>
          <w:b w:val="0"/>
          <w:i w:val="0"/>
          <w:sz w:val="22"/>
        </w:rPr>
        <w:t>• Estimated effort: 1–2 weeks to extract and document.</w:t>
      </w:r>
    </w:p>
    <w:p>
      <w:pPr>
        <w:spacing w:after="80"/>
        <w:ind w:left="720" w:hanging="360"/>
      </w:pPr>
      <w:r>
        <w:rPr>
          <w:rFonts w:ascii="Arial" w:hAnsi="Arial"/>
          <w:b w:val="0"/>
          <w:i w:val="0"/>
          <w:sz w:val="22"/>
        </w:rPr>
        <w:t>• IP considerations: publishing the architectural pattern requires Antora authorization. The pattern itself is generic; Antora's implementation of it is not.</w:t>
      </w:r>
    </w:p>
    <w:p>
      <w:pPr>
        <w:spacing w:after="80"/>
        <w:ind w:left="720" w:hanging="360"/>
      </w:pPr>
      <w:r>
        <w:rPr>
          <w:rFonts w:ascii="Arial" w:hAnsi="Arial"/>
          <w:b w:val="0"/>
          <w:i w:val="0"/>
          <w:sz w:val="22"/>
        </w:rPr>
        <w:t>• Strategic value to Antora: positions Antora's engineering work publicly, supports recruiting, demonstrates technical leadership. Requires Antora Legal sign-off.</w:t>
      </w:r>
    </w:p>
    <w:p>
      <w:pPr>
        <w:spacing w:before="280" w:after="160"/>
        <w:outlineLvl w:val="1"/>
      </w:pPr>
      <w:r>
        <w:rPr>
          <w:rFonts w:ascii="Arial" w:hAnsi="Arial"/>
          <w:b/>
          <w:i w:val="0"/>
          <w:color w:val="2E75B6"/>
          <w:sz w:val="26"/>
        </w:rPr>
        <w:t>13.4 Parameterization Seams (Layer B → Layer C Boundary)</w:t>
      </w:r>
    </w:p>
    <w:p>
      <w:pPr>
        <w:spacing w:after="120"/>
      </w:pPr>
      <w:r>
        <w:rPr>
          <w:rFonts w:ascii="Arial" w:hAnsi="Arial"/>
          <w:b w:val="0"/>
          <w:i w:val="0"/>
          <w:sz w:val="22"/>
        </w:rPr>
        <w:t>The boundary between generic implementation (Layer B) and Antora-specific content (Layer C) must be deliberately maintained throughout implementation. The following are the primary parameterization seams. Each seam should be configurable rather than hard-coded, so that any future extension can populate it with new domain content without modifying Layer B code.</w:t>
      </w:r>
    </w:p>
    <w:p>
      <w:pPr>
        <w:spacing w:after="80"/>
        <w:ind w:left="720" w:hanging="360"/>
      </w:pPr>
      <w:r>
        <w:rPr>
          <w:rFonts w:ascii="Arial" w:hAnsi="Arial"/>
          <w:b w:val="0"/>
          <w:i w:val="0"/>
          <w:sz w:val="22"/>
        </w:rPr>
        <w:t>• Document templates: contract templates (Phase 1: MEPA, MPA) and LRS template loaded as configurable files from ACP_Shared, not embedded in code. Additional templates added per contract_type in Phase 6+.</w:t>
      </w:r>
    </w:p>
    <w:p>
      <w:pPr>
        <w:spacing w:after="80"/>
        <w:ind w:left="720" w:hanging="360"/>
      </w:pPr>
      <w:r>
        <w:rPr>
          <w:rFonts w:ascii="Arial" w:hAnsi="Arial"/>
          <w:b w:val="0"/>
          <w:i w:val="0"/>
          <w:sz w:val="22"/>
        </w:rPr>
        <w:t xml:space="preserve">• </w:t>
      </w:r>
      <w:r>
        <w:rPr>
          <w:rFonts w:ascii="Arial" w:hAnsi="Arial"/>
          <w:b/>
          <w:i w:val="0"/>
          <w:sz w:val="22"/>
        </w:rPr>
        <w:t xml:space="preserve">Negotiation playbook: </w:t>
      </w:r>
      <w:r>
        <w:rPr>
          <w:rFonts w:ascii="Arial" w:hAnsi="Arial"/>
          <w:b w:val="0"/>
          <w:i w:val="0"/>
          <w:sz w:val="22"/>
        </w:rPr>
        <w:t>Clause-type rules stored as structured JSON/YAML, loaded at runtime, editable without code changes.</w:t>
      </w:r>
    </w:p>
    <w:p>
      <w:pPr>
        <w:spacing w:after="80"/>
        <w:ind w:left="720" w:hanging="360"/>
      </w:pPr>
      <w:r>
        <w:rPr>
          <w:rFonts w:ascii="Arial" w:hAnsi="Arial"/>
          <w:b w:val="0"/>
          <w:i w:val="0"/>
          <w:sz w:val="22"/>
        </w:rPr>
        <w:t xml:space="preserve">• </w:t>
      </w:r>
      <w:r>
        <w:rPr>
          <w:rFonts w:ascii="Arial" w:hAnsi="Arial"/>
          <w:b/>
          <w:i w:val="0"/>
          <w:sz w:val="22"/>
        </w:rPr>
        <w:t xml:space="preserve">Knowledge Base schema: </w:t>
      </w:r>
      <w:r>
        <w:rPr>
          <w:rFonts w:ascii="Arial" w:hAnsi="Arial"/>
          <w:b w:val="0"/>
          <w:i w:val="0"/>
          <w:sz w:val="22"/>
        </w:rPr>
        <w:t>Generic structure (indexed by clause type, supplier profile); content is per-deployment.</w:t>
      </w:r>
    </w:p>
    <w:p>
      <w:pPr>
        <w:spacing w:after="80"/>
        <w:ind w:left="720" w:hanging="360"/>
      </w:pPr>
      <w:r>
        <w:rPr>
          <w:rFonts w:ascii="Arial" w:hAnsi="Arial"/>
          <w:b w:val="0"/>
          <w:i w:val="0"/>
          <w:sz w:val="22"/>
        </w:rPr>
        <w:t xml:space="preserve">• </w:t>
      </w:r>
      <w:r>
        <w:rPr>
          <w:rFonts w:ascii="Arial" w:hAnsi="Arial"/>
          <w:b/>
          <w:i w:val="0"/>
          <w:sz w:val="22"/>
        </w:rPr>
        <w:t xml:space="preserve">Supplier profile attributes: </w:t>
      </w:r>
      <w:r>
        <w:rPr>
          <w:rFonts w:ascii="Arial" w:hAnsi="Arial"/>
          <w:b w:val="0"/>
          <w:i w:val="0"/>
          <w:sz w:val="22"/>
        </w:rPr>
        <w:t>Profile schema defined generically; profile values are per-deployment data.</w:t>
      </w:r>
    </w:p>
    <w:p>
      <w:pPr>
        <w:spacing w:after="80"/>
        <w:ind w:left="720" w:hanging="360"/>
      </w:pPr>
      <w:r>
        <w:rPr>
          <w:rFonts w:ascii="Arial" w:hAnsi="Arial"/>
          <w:b w:val="0"/>
          <w:i w:val="0"/>
          <w:sz w:val="22"/>
        </w:rPr>
        <w:t xml:space="preserve">• </w:t>
      </w:r>
      <w:r>
        <w:rPr>
          <w:rFonts w:ascii="Arial" w:hAnsi="Arial"/>
          <w:b/>
          <w:i w:val="0"/>
          <w:sz w:val="22"/>
        </w:rPr>
        <w:t xml:space="preserve">Hard-coded high-risk flag rules: </w:t>
      </w:r>
      <w:r>
        <w:rPr>
          <w:rFonts w:ascii="Arial" w:hAnsi="Arial"/>
          <w:b w:val="0"/>
          <w:i w:val="0"/>
          <w:sz w:val="22"/>
        </w:rPr>
        <w:t>Stored as configurable rules in the playbook, not in agent code. The MCM consequential-damages trap should be a playbook rule entry, not a code constant.</w:t>
      </w:r>
    </w:p>
    <w:p>
      <w:pPr>
        <w:spacing w:after="80"/>
        <w:ind w:left="720" w:hanging="360"/>
      </w:pPr>
      <w:r>
        <w:rPr>
          <w:rFonts w:ascii="Arial" w:hAnsi="Arial"/>
          <w:b w:val="0"/>
          <w:i w:val="0"/>
          <w:sz w:val="22"/>
        </w:rPr>
        <w:t xml:space="preserve">• </w:t>
      </w:r>
      <w:r>
        <w:rPr>
          <w:rFonts w:ascii="Arial" w:hAnsi="Arial"/>
          <w:b/>
          <w:i w:val="0"/>
          <w:sz w:val="22"/>
        </w:rPr>
        <w:t xml:space="preserve">Supplier domain patterns: </w:t>
      </w:r>
      <w:r>
        <w:rPr>
          <w:rFonts w:ascii="Arial" w:hAnsi="Arial"/>
          <w:b w:val="0"/>
          <w:i w:val="0"/>
          <w:sz w:val="22"/>
        </w:rPr>
        <w:t>Loaded from configuration; not hard-coded in Agent 1.</w:t>
      </w:r>
    </w:p>
    <w:p>
      <w:pPr>
        <w:spacing w:after="80"/>
        <w:ind w:left="720" w:hanging="360"/>
      </w:pPr>
      <w:r>
        <w:rPr>
          <w:rFonts w:ascii="Arial" w:hAnsi="Arial"/>
          <w:b w:val="0"/>
          <w:i w:val="0"/>
          <w:sz w:val="22"/>
        </w:rPr>
        <w:t xml:space="preserve">• </w:t>
      </w:r>
      <w:r>
        <w:rPr>
          <w:rFonts w:ascii="Arial" w:hAnsi="Arial"/>
          <w:b/>
          <w:i w:val="0"/>
          <w:sz w:val="22"/>
        </w:rPr>
        <w:t xml:space="preserve">Role definitions and permissions: </w:t>
      </w:r>
      <w:r>
        <w:rPr>
          <w:rFonts w:ascii="Arial" w:hAnsi="Arial"/>
          <w:b w:val="0"/>
          <w:i w:val="0"/>
          <w:sz w:val="22"/>
        </w:rPr>
        <w:t>Defined in a permissions configuration file; generic role types (System Owner, Legal Reviewer, Tenant Operator, Stakeholder) with deployment-specific assignment.</w:t>
      </w:r>
    </w:p>
    <w:p>
      <w:pPr>
        <w:spacing w:after="80"/>
        <w:ind w:left="720" w:hanging="360"/>
      </w:pPr>
      <w:r>
        <w:rPr>
          <w:rFonts w:ascii="Arial" w:hAnsi="Arial"/>
          <w:b w:val="0"/>
          <w:i w:val="0"/>
          <w:sz w:val="22"/>
        </w:rPr>
        <w:t xml:space="preserve">• </w:t>
      </w:r>
      <w:r>
        <w:rPr>
          <w:rFonts w:ascii="Arial" w:hAnsi="Arial"/>
          <w:b/>
          <w:i w:val="0"/>
          <w:sz w:val="22"/>
        </w:rPr>
        <w:t xml:space="preserve">Communication channels: </w:t>
      </w:r>
      <w:r>
        <w:rPr>
          <w:rFonts w:ascii="Arial" w:hAnsi="Arial"/>
          <w:b w:val="0"/>
          <w:i w:val="0"/>
          <w:sz w:val="22"/>
        </w:rPr>
        <w:t>Slack channel IDs, Gmail addresses, notification recipients all loaded from configuration.</w:t>
      </w:r>
    </w:p>
    <w:p>
      <w:pPr>
        <w:spacing w:after="80"/>
        <w:ind w:left="720" w:hanging="360"/>
      </w:pPr>
      <w:r>
        <w:rPr>
          <w:rFonts w:ascii="Arial" w:hAnsi="Arial"/>
          <w:b w:val="0"/>
          <w:i w:val="0"/>
          <w:sz w:val="22"/>
        </w:rPr>
        <w:t xml:space="preserve">• </w:t>
      </w:r>
      <w:r>
        <w:rPr>
          <w:rFonts w:ascii="Arial" w:hAnsi="Arial"/>
          <w:b/>
          <w:i w:val="0"/>
          <w:sz w:val="22"/>
        </w:rPr>
        <w:t xml:space="preserve">Integration adapters: </w:t>
      </w:r>
      <w:r>
        <w:rPr>
          <w:rFonts w:ascii="Arial" w:hAnsi="Arial"/>
          <w:b w:val="0"/>
          <w:i w:val="0"/>
          <w:sz w:val="22"/>
        </w:rPr>
        <w:t>AgentOS integration, scm_monitor.py hooks, NetSuite connectors isolated in adapter modules that can be swapped per deployment.</w:t>
      </w:r>
    </w:p>
    <w:p>
      <w:pPr>
        <w:spacing w:after="80"/>
        <w:ind w:left="720" w:hanging="360"/>
      </w:pPr>
      <w:r>
        <w:rPr>
          <w:rFonts w:ascii="Arial" w:hAnsi="Arial"/>
          <w:b w:val="0"/>
          <w:i w:val="0"/>
          <w:sz w:val="22"/>
        </w:rPr>
        <w:t xml:space="preserve">• </w:t>
      </w:r>
      <w:r>
        <w:rPr>
          <w:rFonts w:ascii="Arial" w:hAnsi="Arial"/>
          <w:b/>
          <w:i w:val="0"/>
          <w:sz w:val="22"/>
        </w:rPr>
        <w:t xml:space="preserve">SLA targets: </w:t>
      </w:r>
      <w:r>
        <w:rPr>
          <w:rFonts w:ascii="Arial" w:hAnsi="Arial"/>
          <w:b w:val="0"/>
          <w:i w:val="0"/>
          <w:sz w:val="22"/>
        </w:rPr>
        <w:t>Configurable per deployment, with sensible defaults documented.</w:t>
      </w:r>
    </w:p>
    <w:p>
      <w:pPr>
        <w:spacing w:after="80"/>
        <w:ind w:left="720" w:hanging="360"/>
      </w:pPr>
      <w:r>
        <w:rPr>
          <w:rFonts w:ascii="Arial" w:hAnsi="Arial"/>
          <w:b w:val="0"/>
          <w:i w:val="0"/>
          <w:sz w:val="22"/>
        </w:rPr>
        <w:t xml:space="preserve">• </w:t>
      </w:r>
      <w:r>
        <w:rPr>
          <w:rFonts w:ascii="Arial" w:hAnsi="Arial"/>
          <w:b/>
          <w:i w:val="0"/>
          <w:sz w:val="22"/>
        </w:rPr>
        <w:t xml:space="preserve">Audit log destination: </w:t>
      </w:r>
      <w:r>
        <w:rPr>
          <w:rFonts w:ascii="Arial" w:hAnsi="Arial"/>
          <w:b w:val="0"/>
          <w:i w:val="0"/>
          <w:sz w:val="22"/>
        </w:rPr>
        <w:t>Generic append-only writer; backend (Drive folder, S3 bucket, database) is configurable.</w:t>
      </w:r>
    </w:p>
    <w:p>
      <w:pPr>
        <w:spacing w:after="80"/>
        <w:ind w:left="720" w:hanging="360"/>
      </w:pPr>
      <w:r>
        <w:rPr>
          <w:rFonts w:ascii="Arial" w:hAnsi="Arial"/>
          <w:b w:val="0"/>
          <w:i w:val="0"/>
          <w:sz w:val="22"/>
        </w:rPr>
        <w:t xml:space="preserve">• </w:t>
      </w:r>
      <w:r>
        <w:rPr>
          <w:rFonts w:ascii="Arial" w:hAnsi="Arial"/>
          <w:b/>
          <w:i w:val="0"/>
          <w:sz w:val="22"/>
        </w:rPr>
        <w:t xml:space="preserve">LLM provider and model selection: </w:t>
      </w:r>
      <w:r>
        <w:rPr>
          <w:rFonts w:ascii="Arial" w:hAnsi="Arial"/>
          <w:b w:val="0"/>
          <w:i w:val="0"/>
          <w:sz w:val="22"/>
        </w:rPr>
        <w:t>Configurable per agent; defaults to Anthropic Claude family for Antora, but the abstraction supports other providers.</w:t>
      </w:r>
    </w:p>
    <w:p>
      <w:pPr>
        <w:spacing w:after="120"/>
      </w:pPr>
      <w:r>
        <w:rPr>
          <w:rFonts w:ascii="Arial" w:hAnsi="Arial"/>
          <w:b w:val="0"/>
          <w:i w:val="0"/>
          <w:sz w:val="22"/>
        </w:rPr>
      </w:r>
    </w:p>
    <w:p>
      <w:pPr>
        <w:spacing w:after="120"/>
      </w:pPr>
      <w:r>
        <w:rPr>
          <w:rFonts w:ascii="Arial" w:hAnsi="Arial"/>
          <w:b w:val="0"/>
          <w:i/>
          <w:sz w:val="22"/>
        </w:rPr>
        <w:t>Implementation discipline: any agent or component that hard-codes a value from this list represents a parameterization seam violation and should be refactored to load from configuration. This discipline preserves the Layer B / Layer C boundary and keeps the platform extensible.</w:t>
      </w:r>
    </w:p>
    <w:p>
      <w:pPr>
        <w:spacing w:before="280" w:after="160"/>
        <w:outlineLvl w:val="1"/>
      </w:pPr>
      <w:r>
        <w:rPr>
          <w:rFonts w:ascii="Arial" w:hAnsi="Arial"/>
          <w:b/>
          <w:i w:val="0"/>
          <w:color w:val="2E75B6"/>
          <w:sz w:val="26"/>
        </w:rPr>
        <w:t>13.5 Recommendations</w:t>
      </w:r>
    </w:p>
    <w:p>
      <w:pPr>
        <w:spacing w:after="80"/>
        <w:ind w:left="720" w:hanging="360"/>
      </w:pPr>
      <w:r>
        <w:rPr>
          <w:rFonts w:ascii="Arial" w:hAnsi="Arial"/>
          <w:b w:val="0"/>
          <w:i w:val="0"/>
          <w:sz w:val="22"/>
        </w:rPr>
        <w:t>• Maintain the Layer A / B / C separation as a non-negotiable engineering principle throughout Phases 1–5. Any agent that bakes Antora content into Layer B code creates technical debt for future extensibility.</w:t>
      </w:r>
    </w:p>
    <w:p>
      <w:pPr>
        <w:spacing w:after="80"/>
        <w:ind w:left="720" w:hanging="360"/>
      </w:pPr>
      <w:r>
        <w:rPr>
          <w:rFonts w:ascii="Arial" w:hAnsi="Arial"/>
          <w:b w:val="0"/>
          <w:i w:val="0"/>
          <w:sz w:val="22"/>
        </w:rPr>
        <w:t>• Defer all internal Antora extension scenarios (Section 13.2) until Phase 5 is stable. Premature scope expansion is a top risk for the platform.</w:t>
      </w:r>
    </w:p>
    <w:p>
      <w:pPr>
        <w:spacing w:after="80"/>
        <w:ind w:left="720" w:hanging="360"/>
      </w:pPr>
      <w:r>
        <w:rPr>
          <w:rFonts w:ascii="Arial" w:hAnsi="Arial"/>
          <w:b w:val="0"/>
          <w:i w:val="0"/>
          <w:sz w:val="22"/>
        </w:rPr>
        <w:t>• Do not pursue external deployment scenarios (Section 13.3) as an Antora initiative without explicit executive sponsorship. The platform was built to solve Antora's procurement problem; commercial productization is a separate strategic decision.</w:t>
      </w:r>
    </w:p>
    <w:p>
      <w:pPr>
        <w:spacing w:after="80"/>
        <w:ind w:left="720" w:hanging="360"/>
      </w:pPr>
      <w:r>
        <w:rPr>
          <w:rFonts w:ascii="Arial" w:hAnsi="Arial"/>
          <w:b w:val="0"/>
          <w:i w:val="0"/>
          <w:sz w:val="22"/>
        </w:rPr>
        <w:t>• If external reference architecture publication (Section 13.3.3) is considered, route through Antora Legal first. The architectural pattern is publishable; Antora's specific implementation details and KB content are not.</w:t>
      </w:r>
    </w:p>
    <w:p>
      <w:pPr>
        <w:spacing w:after="80"/>
        <w:ind w:left="720" w:hanging="360"/>
      </w:pPr>
      <w:r>
        <w:rPr>
          <w:rFonts w:ascii="Arial" w:hAnsi="Arial"/>
          <w:b w:val="0"/>
          <w:i w:val="0"/>
          <w:sz w:val="22"/>
        </w:rPr>
        <w:t>• Revisit this section at the Phase 5 retrospective. As ACP matures, the portability characteristics will become more concrete and Section 13 should be updated.</w:t>
      </w:r>
    </w:p>
    <w:p>
      <w:pPr>
        <w:spacing w:before="280" w:after="160"/>
        <w:outlineLvl w:val="1"/>
      </w:pPr>
      <w:r>
        <w:rPr>
          <w:rFonts w:ascii="Arial" w:hAnsi="Arial"/>
          <w:b/>
          <w:i w:val="0"/>
          <w:color w:val="2E75B6"/>
          <w:sz w:val="26"/>
        </w:rPr>
        <w:t>13.6 IP and Confidentiality Boundaries</w:t>
      </w:r>
    </w:p>
    <w:p>
      <w:pPr>
        <w:spacing w:after="120"/>
      </w:pPr>
      <w:r>
        <w:rPr>
          <w:rFonts w:ascii="Arial" w:hAnsi="Arial"/>
          <w:b w:val="0"/>
          <w:i w:val="0"/>
          <w:sz w:val="22"/>
        </w:rPr>
        <w:t>This section clarifies the boundary between Antora intellectual property and generic engineering knowledge, for the benefit of Vincent, the Steering Group, and any future personnel involved in ACP.</w:t>
      </w:r>
    </w:p>
    <w:p>
      <w:pPr>
        <w:spacing w:after="80"/>
        <w:ind w:left="720" w:hanging="360"/>
      </w:pPr>
      <w:r>
        <w:rPr>
          <w:rFonts w:ascii="Arial" w:hAnsi="Arial"/>
          <w:b w:val="0"/>
          <w:i w:val="0"/>
          <w:sz w:val="22"/>
        </w:rPr>
        <w:t>• Layer A (architectural pattern) is generic engineering knowledge. It can be discussed in professional contexts (interviews, conferences, blog posts) without specific Antora authorization, subject to general confidentiality obligations.</w:t>
      </w:r>
    </w:p>
    <w:p>
      <w:pPr>
        <w:spacing w:after="80"/>
        <w:ind w:left="720" w:hanging="360"/>
      </w:pPr>
      <w:r>
        <w:rPr>
          <w:rFonts w:ascii="Arial" w:hAnsi="Arial"/>
          <w:b w:val="0"/>
          <w:i w:val="0"/>
          <w:sz w:val="22"/>
        </w:rPr>
        <w:t>• Layer B (generic implementation work) is Antora work product. Code, schemas, and runtime infrastructure belong to Antora. Engineering patterns and techniques used in Layer B are not exclusively Antora IP, but the specific implementation is.</w:t>
      </w:r>
    </w:p>
    <w:p>
      <w:pPr>
        <w:spacing w:after="80"/>
        <w:ind w:left="720" w:hanging="360"/>
      </w:pPr>
      <w:r>
        <w:rPr>
          <w:rFonts w:ascii="Arial" w:hAnsi="Arial"/>
          <w:b w:val="0"/>
          <w:i w:val="0"/>
          <w:sz w:val="22"/>
        </w:rPr>
        <w:t>• Layer C (Antora domain content) is fully Antora IP and Antora confidential information. The negotiation playbook, Knowledge Base entries, supplier profiles, internal stakeholder names, and specific clause positions are not portable, not shareable, and not reusable outside Antora.</w:t>
      </w:r>
    </w:p>
    <w:p>
      <w:pPr>
        <w:spacing w:after="80"/>
        <w:ind w:left="720" w:hanging="360"/>
      </w:pPr>
      <w:r>
        <w:rPr>
          <w:rFonts w:ascii="Arial" w:hAnsi="Arial"/>
          <w:b w:val="0"/>
          <w:i w:val="0"/>
          <w:sz w:val="22"/>
        </w:rPr>
        <w:t>• This boundary applies regardless of intent or destination. Even legitimate professional knowledge transfer (e.g., describing systems-design experience to a future employer) should respect Layer C confidentiality.</w:t>
      </w:r>
    </w:p>
    <w:p>
      <w:pPr>
        <w:spacing w:after="80"/>
        <w:ind w:left="720" w:hanging="360"/>
      </w:pPr>
      <w:r>
        <w:rPr>
          <w:rFonts w:ascii="Arial" w:hAnsi="Arial"/>
          <w:b w:val="0"/>
          <w:i w:val="0"/>
          <w:sz w:val="22"/>
        </w:rPr>
        <w:t>• Steering Group is the authoritative interpreter of this boundary for ACP. Questions about what can be shared, published, or referenced should route to Vincent and Sandelin.</w:t>
      </w:r>
    </w:p>
    <w:p>
      <w:r>
        <w:br w:type="page"/>
      </w:r>
    </w:p>
    <w:p>
      <w:pPr>
        <w:spacing w:before="280" w:after="160"/>
        <w:outlineLvl w:val="1"/>
      </w:pPr>
      <w:r>
        <w:rPr>
          <w:rFonts w:ascii="Arial" w:hAnsi="Arial"/>
          <w:b/>
          <w:i w:val="0"/>
          <w:color w:val="2E75B6"/>
          <w:sz w:val="26"/>
        </w:rPr>
        <w:t>13.7 Implementation Discipline (Antora Engineering Standard)</w:t>
      </w:r>
    </w:p>
    <w:p>
      <w:pPr>
        <w:spacing w:after="120"/>
      </w:pPr>
      <w:r>
        <w:rPr>
          <w:rFonts w:ascii="Arial" w:hAnsi="Arial"/>
          <w:b w:val="0"/>
          <w:i w:val="0"/>
          <w:sz w:val="22"/>
        </w:rPr>
        <w:t>Section 13.4 identified parameterization seams as a design concept. This subsection codifies that concept as an enforceable Antora engineering standard for the ACP implementation. All ACP code merged to the AgentOS repository must comply with the patterns below. Pull requests that violate these patterns are rejected at review.</w:t>
      </w:r>
    </w:p>
    <w:p>
      <w:pPr>
        <w:spacing w:before="220" w:after="120"/>
        <w:outlineLvl w:val="2"/>
      </w:pPr>
      <w:r>
        <w:rPr>
          <w:rFonts w:ascii="Arial" w:hAnsi="Arial"/>
          <w:b/>
          <w:i w:val="0"/>
          <w:color w:val="1F3864"/>
          <w:sz w:val="22"/>
        </w:rPr>
        <w:t>13.7.1 Repository Structure</w:t>
      </w:r>
    </w:p>
    <w:p>
      <w:pPr>
        <w:spacing w:after="120"/>
      </w:pPr>
      <w:r>
        <w:rPr>
          <w:rFonts w:ascii="Arial" w:hAnsi="Arial"/>
          <w:b w:val="0"/>
          <w:i w:val="0"/>
          <w:sz w:val="22"/>
        </w:rPr>
        <w:t>ACP source code is organized in a strict three-tier directory structure that mirrors the Layer A / B / C separation defined in Section 13.1. Layer A is documentation (this specification). Layer B and Layer C are code and configuration, organized as follows:</w:t>
      </w:r>
    </w:p>
    <w:p>
      <w:pPr>
        <w:spacing w:after="80"/>
        <w:ind w:left="360"/>
      </w:pPr>
      <w:r>
        <w:rPr>
          <w:rFonts w:ascii="Courier New" w:hAnsi="Courier New"/>
          <w:sz w:val="18"/>
        </w:rPr>
        <w:t>acp/</w:t>
        <w:br/>
        <w:t>├── layer_b/                       (GENERIC — portable engineering work)</w:t>
        <w:br/>
        <w:t>│   ├── agents/                    (Agent runtime code, generic)</w:t>
        <w:br/>
        <w:t>│   ├── core/                      (Generic infrastructure: tenancy, event bus, audit, adapters)</w:t>
        <w:br/>
        <w:t>│   ├── schemas/                   (Generic data structures)</w:t>
        <w:br/>
        <w:t>│   └── tests/                     (Tests use synthetic fixtures only)</w:t>
        <w:br/>
        <w:t>│</w:t>
        <w:br/>
        <w:t>├── layer_c_antora/                (ANTORA-SPECIFIC — Antora work product and IP)</w:t>
        <w:br/>
        <w:t>│   ├── config/                    (tenants, integrations, SLAs, high-risk rules)</w:t>
        <w:br/>
        <w:t>│   ├── content/                   (MEPA template, MPA template, LRS template, playbook)</w:t>
        <w:br/>
        <w:t>│   ├── knowledge_base/            (Antora precedent corpus)</w:t>
        <w:br/>
        <w:t>│   └── adapters/                  (Concrete Gmail, Drive, Sheets, Slack implementations)</w:t>
        <w:br/>
        <w:t>│</w:t>
        <w:br/>
        <w:t>└── deploy/</w:t>
        <w:br/>
        <w:t xml:space="preserve">    └── acp_antora.yaml            (Wires layer_b agents to layer_c_antora adapters)</w:t>
      </w:r>
    </w:p>
    <w:p>
      <w:pPr>
        <w:spacing w:after="120"/>
      </w:pPr>
      <w:r>
        <w:rPr>
          <w:rFonts w:ascii="Arial" w:hAnsi="Arial"/>
          <w:b w:val="0"/>
          <w:i w:val="0"/>
          <w:sz w:val="22"/>
        </w:rPr>
        <w:t>Code in layer_b imports only from layer_b and from public Python or system libraries. Code in layer_b must never reference layer_c_antora directly. The connection between the two is made exclusively through the deployment configuration that wires abstract adapter interfaces (in layer_b/core/) to concrete adapter implementations (in layer_c_antora/adapters/).</w:t>
      </w:r>
    </w:p>
    <w:p>
      <w:pPr>
        <w:spacing w:before="220" w:after="120"/>
        <w:outlineLvl w:val="2"/>
      </w:pPr>
      <w:r>
        <w:rPr>
          <w:rFonts w:ascii="Arial" w:hAnsi="Arial"/>
          <w:b/>
          <w:i w:val="0"/>
          <w:color w:val="1F3864"/>
          <w:sz w:val="22"/>
        </w:rPr>
        <w:t>13.7.2 The Cardinal Rule</w:t>
      </w:r>
    </w:p>
    <w:p>
      <w:pPr>
        <w:spacing w:after="120"/>
      </w:pPr>
      <w:r>
        <w:rPr>
          <w:rFonts w:ascii="Arial" w:hAnsi="Arial"/>
          <w:b/>
          <w:i w:val="0"/>
          <w:sz w:val="22"/>
        </w:rPr>
        <w:t>No Antora-specific value ever appears in code inside layer_b. Every Antora-specific value lives in a configuration file, a content file, an adapter implementation, or the knowledge base — all within layer_c_antora.</w:t>
      </w:r>
    </w:p>
    <w:p>
      <w:pPr>
        <w:spacing w:after="120"/>
      </w:pPr>
      <w:r>
        <w:rPr>
          <w:rFonts w:ascii="Arial" w:hAnsi="Arial"/>
          <w:b w:val="0"/>
          <w:i w:val="0"/>
          <w:sz w:val="22"/>
        </w:rPr>
        <w:t>This rule applies without exception. The temptation during implementation is always to hard-code a value because it is faster than parameterizing it. Resist the temptation every time. The discipline cost is small per occurrence; the architectural cost of letting it slip compounds across the codebase and is expensive to repair later.</w:t>
      </w:r>
    </w:p>
    <w:p>
      <w:pPr>
        <w:spacing w:before="220" w:after="120"/>
        <w:outlineLvl w:val="2"/>
      </w:pPr>
      <w:r>
        <w:rPr>
          <w:rFonts w:ascii="Arial" w:hAnsi="Arial"/>
          <w:b/>
          <w:i w:val="0"/>
          <w:color w:val="1F3864"/>
          <w:sz w:val="22"/>
        </w:rPr>
        <w:t>13.7.3 Forbidden Patterns in layer_b</w:t>
      </w:r>
    </w:p>
    <w:p>
      <w:pPr>
        <w:spacing w:after="120"/>
      </w:pPr>
      <w:r>
        <w:rPr>
          <w:rFonts w:ascii="Arial" w:hAnsi="Arial"/>
          <w:b w:val="0"/>
          <w:i w:val="0"/>
          <w:sz w:val="22"/>
        </w:rPr>
        <w:t>The following patterns in layer_b code constitute discipline violations and will be rejected at code review:</w:t>
      </w:r>
    </w:p>
    <w:p>
      <w:pPr>
        <w:spacing w:after="80"/>
        <w:ind w:left="720" w:hanging="360"/>
      </w:pPr>
      <w:r>
        <w:rPr>
          <w:rFonts w:ascii="Arial" w:hAnsi="Arial"/>
          <w:b w:val="0"/>
          <w:i w:val="0"/>
          <w:sz w:val="22"/>
        </w:rPr>
        <w:t>• Hard-coded supplier names, email addresses, or domains (e.g., "mcm.com", "vincent.calianno@antora.energy").</w:t>
      </w:r>
    </w:p>
    <w:p>
      <w:pPr>
        <w:spacing w:after="80"/>
        <w:ind w:left="720" w:hanging="360"/>
      </w:pPr>
      <w:r>
        <w:rPr>
          <w:rFonts w:ascii="Arial" w:hAnsi="Arial"/>
          <w:b w:val="0"/>
          <w:i w:val="0"/>
          <w:sz w:val="22"/>
        </w:rPr>
        <w:t>• Hard-coded channel IDs, file paths, or integration endpoints (e.g., Slack channel "C0ASTTRRF47", Drive folder IDs).</w:t>
      </w:r>
    </w:p>
    <w:p>
      <w:pPr>
        <w:spacing w:after="80"/>
        <w:ind w:left="720" w:hanging="360"/>
      </w:pPr>
      <w:r>
        <w:rPr>
          <w:rFonts w:ascii="Arial" w:hAnsi="Arial"/>
          <w:b w:val="0"/>
          <w:i w:val="0"/>
          <w:sz w:val="22"/>
        </w:rPr>
        <w:t>• Hard-coded clause positions, playbook rules, or legal language (e.g., "Antora wants Net 45 payment terms").</w:t>
      </w:r>
    </w:p>
    <w:p>
      <w:pPr>
        <w:spacing w:after="80"/>
        <w:ind w:left="720" w:hanging="360"/>
      </w:pPr>
      <w:r>
        <w:rPr>
          <w:rFonts w:ascii="Arial" w:hAnsi="Arial"/>
          <w:b w:val="0"/>
          <w:i w:val="0"/>
          <w:sz w:val="22"/>
        </w:rPr>
        <w:t>• Hard-coded references to specific people (e.g., "send to Sandelin", "copy Ranjeet").</w:t>
      </w:r>
    </w:p>
    <w:p>
      <w:pPr>
        <w:spacing w:after="80"/>
        <w:ind w:left="720" w:hanging="360"/>
      </w:pPr>
      <w:r>
        <w:rPr>
          <w:rFonts w:ascii="Arial" w:hAnsi="Arial"/>
          <w:b w:val="0"/>
          <w:i w:val="0"/>
          <w:sz w:val="22"/>
        </w:rPr>
        <w:t>• Hard-coded high-risk rules tied to specific suppliers (e.g., the MCM consequential-damages trap rule).</w:t>
      </w:r>
    </w:p>
    <w:p>
      <w:pPr>
        <w:spacing w:after="80"/>
        <w:ind w:left="720" w:hanging="360"/>
      </w:pPr>
      <w:r>
        <w:rPr>
          <w:rFonts w:ascii="Arial" w:hAnsi="Arial"/>
          <w:b w:val="0"/>
          <w:i w:val="0"/>
          <w:sz w:val="22"/>
        </w:rPr>
        <w:t>• Hard-coded SLA values, retry counts, or thresholds (load from configuration).</w:t>
      </w:r>
    </w:p>
    <w:p>
      <w:pPr>
        <w:spacing w:after="80"/>
        <w:ind w:left="720" w:hanging="360"/>
      </w:pPr>
      <w:r>
        <w:rPr>
          <w:rFonts w:ascii="Arial" w:hAnsi="Arial"/>
          <w:b w:val="0"/>
          <w:i w:val="0"/>
          <w:sz w:val="22"/>
        </w:rPr>
        <w:t>• Hard-coded LLM provider, model name, or API endpoint (load from configuration; use abstraction).</w:t>
      </w:r>
    </w:p>
    <w:p>
      <w:pPr>
        <w:spacing w:after="80"/>
        <w:ind w:left="720" w:hanging="360"/>
      </w:pPr>
      <w:r>
        <w:rPr>
          <w:rFonts w:ascii="Arial" w:hAnsi="Arial"/>
          <w:b w:val="0"/>
          <w:i w:val="0"/>
          <w:sz w:val="22"/>
        </w:rPr>
        <w:t>• Test fixtures containing real supplier names, real clause text from executed agreements, or any other Antora content.</w:t>
      </w:r>
    </w:p>
    <w:p>
      <w:pPr>
        <w:spacing w:after="80"/>
        <w:ind w:left="720" w:hanging="360"/>
      </w:pPr>
      <w:r>
        <w:rPr>
          <w:rFonts w:ascii="Arial" w:hAnsi="Arial"/>
          <w:b w:val="0"/>
          <w:i w:val="0"/>
          <w:sz w:val="22"/>
        </w:rPr>
        <w:t>• Comments that reference specific Antora context as the rationale for a code decision (e.g., "// added because Nanez insisted on this").</w:t>
      </w:r>
    </w:p>
    <w:p>
      <w:pPr>
        <w:spacing w:after="80"/>
        <w:ind w:left="720" w:hanging="360"/>
      </w:pPr>
      <w:r>
        <w:rPr>
          <w:rFonts w:ascii="Arial" w:hAnsi="Arial"/>
          <w:b w:val="0"/>
          <w:i w:val="0"/>
          <w:sz w:val="22"/>
        </w:rPr>
        <w:t>• Imports from layer_c_antora or any module path containing 'antora'.</w:t>
      </w:r>
    </w:p>
    <w:p>
      <w:pPr>
        <w:spacing w:before="220" w:after="120"/>
        <w:outlineLvl w:val="2"/>
      </w:pPr>
      <w:r>
        <w:rPr>
          <w:rFonts w:ascii="Arial" w:hAnsi="Arial"/>
          <w:b/>
          <w:i w:val="0"/>
          <w:color w:val="1F3864"/>
          <w:sz w:val="22"/>
        </w:rPr>
        <w:t>13.7.4 Required Patterns in layer_b</w:t>
      </w:r>
    </w:p>
    <w:p>
      <w:pPr>
        <w:spacing w:after="80"/>
        <w:ind w:left="720" w:hanging="360"/>
      </w:pPr>
      <w:r>
        <w:rPr>
          <w:rFonts w:ascii="Arial" w:hAnsi="Arial"/>
          <w:b w:val="0"/>
          <w:i w:val="0"/>
          <w:sz w:val="22"/>
        </w:rPr>
        <w:t>• Adapter interfaces in core/ for: InboxAdapter, StorageAdapter, LedgerAdapter, NotificationAdapter, LLMAdapter, AuditLogAdapter. Agents call these interfaces, never specific implementations.</w:t>
      </w:r>
    </w:p>
    <w:p>
      <w:pPr>
        <w:spacing w:after="80"/>
        <w:ind w:left="720" w:hanging="360"/>
      </w:pPr>
      <w:r>
        <w:rPr>
          <w:rFonts w:ascii="Arial" w:hAnsi="Arial"/>
          <w:b w:val="0"/>
          <w:i w:val="0"/>
          <w:sz w:val="22"/>
        </w:rPr>
        <w:t>• Configuration loading via a single entry point that reads from layer_c_antora/config/ and produces typed configuration objects. Agents receive configuration through constructor injection.</w:t>
      </w:r>
    </w:p>
    <w:p>
      <w:pPr>
        <w:spacing w:after="80"/>
        <w:ind w:left="720" w:hanging="360"/>
      </w:pPr>
      <w:r>
        <w:rPr>
          <w:rFonts w:ascii="Arial" w:hAnsi="Arial"/>
          <w:b w:val="0"/>
          <w:i w:val="0"/>
          <w:sz w:val="22"/>
        </w:rPr>
        <w:t>• Playbook rules loaded from JSON or YAML at runtime, referenced by ID. Agent prompts include the loaded rules; agents do not contain inlined Antora positions.</w:t>
      </w:r>
    </w:p>
    <w:p>
      <w:pPr>
        <w:spacing w:after="80"/>
        <w:ind w:left="720" w:hanging="360"/>
      </w:pPr>
      <w:r>
        <w:rPr>
          <w:rFonts w:ascii="Arial" w:hAnsi="Arial"/>
          <w:b w:val="0"/>
          <w:i w:val="0"/>
          <w:sz w:val="22"/>
        </w:rPr>
        <w:t>• Knowledge Base accessed through a generic accessor in core/. The accessor returns records by clause type and counterparty profile. Agents never reference specific KB entries by Antora-specific identifiers.</w:t>
      </w:r>
    </w:p>
    <w:p>
      <w:pPr>
        <w:spacing w:after="80"/>
        <w:ind w:left="720" w:hanging="360"/>
      </w:pPr>
      <w:r>
        <w:rPr>
          <w:rFonts w:ascii="Arial" w:hAnsi="Arial"/>
          <w:b w:val="0"/>
          <w:i w:val="0"/>
          <w:sz w:val="22"/>
        </w:rPr>
        <w:t>• Document templates loaded as files from layer_c_antora/content/. layer_b code knows there is "a contract template" but not what it contains.</w:t>
      </w:r>
    </w:p>
    <w:p>
      <w:pPr>
        <w:spacing w:after="80"/>
        <w:ind w:left="720" w:hanging="360"/>
      </w:pPr>
      <w:r>
        <w:rPr>
          <w:rFonts w:ascii="Arial" w:hAnsi="Arial"/>
          <w:b w:val="0"/>
          <w:i w:val="0"/>
          <w:sz w:val="22"/>
        </w:rPr>
        <w:t>• Tenant scoping passed explicitly to every agent operation. No agent has implicit knowledge of which tenant it is operating on.</w:t>
      </w:r>
    </w:p>
    <w:p>
      <w:pPr>
        <w:spacing w:after="80"/>
        <w:ind w:left="720" w:hanging="360"/>
      </w:pPr>
      <w:r>
        <w:rPr>
          <w:rFonts w:ascii="Arial" w:hAnsi="Arial"/>
          <w:b w:val="0"/>
          <w:i w:val="0"/>
          <w:sz w:val="22"/>
        </w:rPr>
        <w:t>• Generic, domain-agnostic docstrings and code comments. Document what the code does, not which Antora situation prompted it.</w:t>
      </w:r>
    </w:p>
    <w:p>
      <w:pPr>
        <w:spacing w:after="80"/>
        <w:ind w:left="720" w:hanging="360"/>
      </w:pPr>
      <w:r>
        <w:rPr>
          <w:rFonts w:ascii="Arial" w:hAnsi="Arial"/>
          <w:b w:val="0"/>
          <w:i w:val="0"/>
          <w:sz w:val="22"/>
        </w:rPr>
        <w:t>• Synthetic fixture data for all tests. Test fixtures include made-up supplier names, made-up clause text, made-up email content.</w:t>
      </w:r>
    </w:p>
    <w:p>
      <w:pPr>
        <w:spacing w:before="220" w:after="120"/>
        <w:outlineLvl w:val="2"/>
      </w:pPr>
      <w:r>
        <w:rPr>
          <w:rFonts w:ascii="Arial" w:hAnsi="Arial"/>
          <w:b/>
          <w:i w:val="0"/>
          <w:color w:val="1F3864"/>
          <w:sz w:val="22"/>
        </w:rPr>
        <w:t>13.7.5 Required Patterns in layer_c_antora</w:t>
      </w:r>
    </w:p>
    <w:p>
      <w:pPr>
        <w:spacing w:after="80"/>
        <w:ind w:left="720" w:hanging="360"/>
      </w:pPr>
      <w:r>
        <w:rPr>
          <w:rFonts w:ascii="Arial" w:hAnsi="Arial"/>
          <w:b w:val="0"/>
          <w:i w:val="0"/>
          <w:sz w:val="22"/>
        </w:rPr>
        <w:t>• All Antora-specific values live here: templates, playbook, knowledge base, integration credentials, supplier domains, stakeholder identities, SLA targets, high-risk rules, channel mappings.</w:t>
      </w:r>
    </w:p>
    <w:p>
      <w:pPr>
        <w:spacing w:after="80"/>
        <w:ind w:left="720" w:hanging="360"/>
      </w:pPr>
      <w:r>
        <w:rPr>
          <w:rFonts w:ascii="Arial" w:hAnsi="Arial"/>
          <w:b w:val="0"/>
          <w:i w:val="0"/>
          <w:sz w:val="22"/>
        </w:rPr>
        <w:t>• Adapter implementations here are concrete; they import from layer_b/core/ to satisfy abstract interfaces.</w:t>
      </w:r>
    </w:p>
    <w:p>
      <w:pPr>
        <w:spacing w:after="80"/>
        <w:ind w:left="720" w:hanging="360"/>
      </w:pPr>
      <w:r>
        <w:rPr>
          <w:rFonts w:ascii="Arial" w:hAnsi="Arial"/>
          <w:b w:val="0"/>
          <w:i w:val="0"/>
          <w:sz w:val="22"/>
        </w:rPr>
        <w:t>• Configuration files use clear, human-readable formats (YAML preferred, JSON acceptable for machine-generated content).</w:t>
      </w:r>
    </w:p>
    <w:p>
      <w:pPr>
        <w:spacing w:after="80"/>
        <w:ind w:left="720" w:hanging="360"/>
      </w:pPr>
      <w:r>
        <w:rPr>
          <w:rFonts w:ascii="Arial" w:hAnsi="Arial"/>
          <w:b w:val="0"/>
          <w:i w:val="0"/>
          <w:sz w:val="22"/>
        </w:rPr>
        <w:t>• Knowledge Base entries always include attribution to contributing SCM and supplier.</w:t>
      </w:r>
    </w:p>
    <w:p>
      <w:pPr>
        <w:spacing w:after="80"/>
        <w:ind w:left="720" w:hanging="360"/>
      </w:pPr>
      <w:r>
        <w:rPr>
          <w:rFonts w:ascii="Arial" w:hAnsi="Arial"/>
          <w:b w:val="0"/>
          <w:i w:val="0"/>
          <w:sz w:val="22"/>
        </w:rPr>
        <w:t>• Comments in layer_c_antora may reference specific Antora context (e.g., "this rule originated from the MCM negotiation in Q2 2026"). Antora context is welcome here; it is forbidden in layer_b.</w:t>
      </w:r>
    </w:p>
    <w:p>
      <w:pPr>
        <w:spacing w:before="220" w:after="120"/>
        <w:outlineLvl w:val="2"/>
      </w:pPr>
      <w:r>
        <w:rPr>
          <w:rFonts w:ascii="Arial" w:hAnsi="Arial"/>
          <w:b/>
          <w:i w:val="0"/>
          <w:color w:val="1F3864"/>
          <w:sz w:val="22"/>
        </w:rPr>
        <w:t>13.7.6 Pull Request Checklist</w:t>
      </w:r>
    </w:p>
    <w:p>
      <w:pPr>
        <w:spacing w:after="120"/>
      </w:pPr>
      <w:r>
        <w:rPr>
          <w:rFonts w:ascii="Arial" w:hAnsi="Arial"/>
          <w:b w:val="0"/>
          <w:i w:val="0"/>
          <w:sz w:val="22"/>
        </w:rPr>
        <w:t>Every pull request affecting ACP source code must pass this checklist before merge:</w:t>
      </w:r>
    </w:p>
    <w:p>
      <w:pPr>
        <w:spacing w:after="80"/>
        <w:ind w:left="720" w:hanging="360"/>
      </w:pPr>
      <w:r>
        <w:rPr>
          <w:rFonts w:ascii="Arial" w:hAnsi="Arial"/>
          <w:b w:val="0"/>
          <w:i w:val="0"/>
          <w:sz w:val="22"/>
        </w:rPr>
        <w:t>• No new strings in layer_b match patterns for Antora-specific values (automated grep check in CI).</w:t>
      </w:r>
    </w:p>
    <w:p>
      <w:pPr>
        <w:spacing w:after="80"/>
        <w:ind w:left="720" w:hanging="360"/>
      </w:pPr>
      <w:r>
        <w:rPr>
          <w:rFonts w:ascii="Arial" w:hAnsi="Arial"/>
          <w:b w:val="0"/>
          <w:i w:val="0"/>
          <w:sz w:val="22"/>
        </w:rPr>
        <w:t>• No new imports in layer_b reference layer_c or any module path containing 'antora'.</w:t>
      </w:r>
    </w:p>
    <w:p>
      <w:pPr>
        <w:spacing w:after="80"/>
        <w:ind w:left="720" w:hanging="360"/>
      </w:pPr>
      <w:r>
        <w:rPr>
          <w:rFonts w:ascii="Arial" w:hAnsi="Arial"/>
          <w:b w:val="0"/>
          <w:i w:val="0"/>
          <w:sz w:val="22"/>
        </w:rPr>
        <w:t>• Any new external integration is mediated through an adapter interface in layer_b/core/.</w:t>
      </w:r>
    </w:p>
    <w:p>
      <w:pPr>
        <w:spacing w:after="80"/>
        <w:ind w:left="720" w:hanging="360"/>
      </w:pPr>
      <w:r>
        <w:rPr>
          <w:rFonts w:ascii="Arial" w:hAnsi="Arial"/>
          <w:b w:val="0"/>
          <w:i w:val="0"/>
          <w:sz w:val="22"/>
        </w:rPr>
        <w:t>• Any new configuration value has a default in layer_b (if generic) or only exists in layer_c_antora (if Antora-specific).</w:t>
      </w:r>
    </w:p>
    <w:p>
      <w:pPr>
        <w:spacing w:after="80"/>
        <w:ind w:left="720" w:hanging="360"/>
      </w:pPr>
      <w:r>
        <w:rPr>
          <w:rFonts w:ascii="Arial" w:hAnsi="Arial"/>
          <w:b w:val="0"/>
          <w:i w:val="0"/>
          <w:sz w:val="22"/>
        </w:rPr>
        <w:t>• Any new test fixture uses synthetic data; real Antora data is not committed.</w:t>
      </w:r>
    </w:p>
    <w:p>
      <w:pPr>
        <w:spacing w:after="80"/>
        <w:ind w:left="720" w:hanging="360"/>
      </w:pPr>
      <w:r>
        <w:rPr>
          <w:rFonts w:ascii="Arial" w:hAnsi="Arial"/>
          <w:b w:val="0"/>
          <w:i w:val="0"/>
          <w:sz w:val="22"/>
        </w:rPr>
        <w:t>• Any new agent prompt references playbook rules by ID, not by inlined content.</w:t>
      </w:r>
    </w:p>
    <w:p>
      <w:pPr>
        <w:spacing w:after="80"/>
        <w:ind w:left="720" w:hanging="360"/>
      </w:pPr>
      <w:r>
        <w:rPr>
          <w:rFonts w:ascii="Arial" w:hAnsi="Arial"/>
          <w:b w:val="0"/>
          <w:i w:val="0"/>
          <w:sz w:val="22"/>
        </w:rPr>
        <w:t>• Documentation strings in layer_b are domain-agnostic.</w:t>
      </w:r>
    </w:p>
    <w:p>
      <w:pPr>
        <w:spacing w:before="220" w:after="120"/>
        <w:outlineLvl w:val="2"/>
      </w:pPr>
      <w:r>
        <w:rPr>
          <w:rFonts w:ascii="Arial" w:hAnsi="Arial"/>
          <w:b/>
          <w:i w:val="0"/>
          <w:color w:val="1F3864"/>
          <w:sz w:val="22"/>
        </w:rPr>
        <w:t>13.7.7 Continuous Integration Checks</w:t>
      </w:r>
    </w:p>
    <w:p>
      <w:pPr>
        <w:spacing w:after="120"/>
      </w:pPr>
      <w:r>
        <w:rPr>
          <w:rFonts w:ascii="Arial" w:hAnsi="Arial"/>
          <w:b w:val="0"/>
          <w:i w:val="0"/>
          <w:sz w:val="22"/>
        </w:rPr>
        <w:t>The following automated checks are recommended for the AgentOS CI pipeline:</w:t>
      </w:r>
    </w:p>
    <w:p>
      <w:pPr>
        <w:spacing w:after="80"/>
        <w:ind w:left="720" w:hanging="360"/>
      </w:pPr>
      <w:r>
        <w:rPr>
          <w:rFonts w:ascii="Arial" w:hAnsi="Arial"/>
          <w:b w:val="0"/>
          <w:i w:val="0"/>
          <w:sz w:val="22"/>
        </w:rPr>
        <w:t>• Static analysis: scan layer_b for forbidden strings (Antora-specific terms, supplier domains, named individuals).</w:t>
      </w:r>
    </w:p>
    <w:p>
      <w:pPr>
        <w:spacing w:after="80"/>
        <w:ind w:left="720" w:hanging="360"/>
      </w:pPr>
      <w:r>
        <w:rPr>
          <w:rFonts w:ascii="Arial" w:hAnsi="Arial"/>
          <w:b w:val="0"/>
          <w:i w:val="0"/>
          <w:sz w:val="22"/>
        </w:rPr>
        <w:t>• Import boundary check: scan layer_b imports for any reference to layer_c or paths containing 'antora'.</w:t>
      </w:r>
    </w:p>
    <w:p>
      <w:pPr>
        <w:spacing w:after="80"/>
        <w:ind w:left="720" w:hanging="360"/>
      </w:pPr>
      <w:r>
        <w:rPr>
          <w:rFonts w:ascii="Arial" w:hAnsi="Arial"/>
          <w:b w:val="0"/>
          <w:i w:val="0"/>
          <w:sz w:val="22"/>
        </w:rPr>
        <w:t>• Adapter interface verification: every external integration in layer_b is mediated by an abstract adapter.</w:t>
      </w:r>
    </w:p>
    <w:p>
      <w:pPr>
        <w:spacing w:after="80"/>
        <w:ind w:left="720" w:hanging="360"/>
      </w:pPr>
      <w:r>
        <w:rPr>
          <w:rFonts w:ascii="Arial" w:hAnsi="Arial"/>
          <w:b w:val="0"/>
          <w:i w:val="0"/>
          <w:sz w:val="22"/>
        </w:rPr>
        <w:t>• Configuration completeness check: layer_c_antora supplies a value for every required configuration parameter declared in layer_b.</w:t>
      </w:r>
    </w:p>
    <w:p>
      <w:pPr>
        <w:spacing w:after="80"/>
        <w:ind w:left="720" w:hanging="360"/>
      </w:pPr>
      <w:r>
        <w:rPr>
          <w:rFonts w:ascii="Arial" w:hAnsi="Arial"/>
          <w:b w:val="0"/>
          <w:i w:val="0"/>
          <w:sz w:val="22"/>
        </w:rPr>
        <w:t>• Test fixture audit: scan test fixtures for known supplier names or Antora-specific terms.</w:t>
      </w:r>
    </w:p>
    <w:p>
      <w:pPr>
        <w:spacing w:before="220" w:after="120"/>
        <w:outlineLvl w:val="2"/>
      </w:pPr>
      <w:r>
        <w:rPr>
          <w:rFonts w:ascii="Arial" w:hAnsi="Arial"/>
          <w:b/>
          <w:i w:val="0"/>
          <w:color w:val="1F3864"/>
          <w:sz w:val="22"/>
        </w:rPr>
        <w:t>13.7.8 Rationale</w:t>
      </w:r>
    </w:p>
    <w:p>
      <w:pPr>
        <w:spacing w:after="120"/>
      </w:pPr>
      <w:r>
        <w:rPr>
          <w:rFonts w:ascii="Arial" w:hAnsi="Arial"/>
          <w:b w:val="0"/>
          <w:i w:val="0"/>
          <w:sz w:val="22"/>
        </w:rPr>
        <w:t>This discipline serves three purposes simultaneously. First, it produces a cleaner, more maintainable codebase for Antora. Configuration-driven systems are easier to evolve than hard-coded ones. Second, it makes future internal extension (Phase 6 expansion to Finance contracts, HR agreements, etc.) substantially cheaper, because the generic agent infrastructure is reusable across domains. Third, it preserves the option of legitimately authorized portability of the generic layer in the future, by maintaining the technical separation that makes such authorization possible. The Steering Group has the authority to grant or withhold such authorization; this discipline does not preempt that decision but does keep the option open.</w:t>
      </w:r>
    </w:p>
    <w:p>
      <w:pPr>
        <w:spacing w:after="120"/>
      </w:pPr>
      <w:r>
        <w:rPr>
          <w:rFonts w:ascii="Arial" w:hAnsi="Arial"/>
          <w:b w:val="0"/>
          <w:i/>
          <w:sz w:val="22"/>
        </w:rPr>
        <w:t>Adopting this discipline costs an estimated 10–15% additional engineering effort across the ACP rollout relative to a quick-and-dirty Antora-only build. The Steering Group has reviewed this trade-off and considers it acceptable given the strategic benefits.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Antora Energy, Inc. — Confidential   |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jc w:val="right"/>
    </w:pPr>
    <w:r>
      <w:rPr>
        <w:i/>
        <w:iCs/>
        <w:color w:val="595959"/>
        <w:sz w:val="18"/>
        <w:szCs w:val="18"/>
      </w:rPr>
      <w:t>Agent Contract Platform (ACP) — Architecture Specification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Contract Platform (ACP) — Multi-Tenant Architecture Specification v2.0</dc:title>
  <dc:creator>Vincent Calianno</dc:creator>
  <cp:lastModifiedBy>Un-named</cp:lastModifiedBy>
  <cp:revision>1</cp:revision>
  <dcterms:created xsi:type="dcterms:W3CDTF">2026-05-24T20:00:04.456Z</dcterms:created>
  <dcterms:modified xsi:type="dcterms:W3CDTF">2026-05-24T20:00:04.465Z</dcterms:modified>
</cp:coreProperties>
</file>

<file path=docProps/custom.xml><?xml version="1.0" encoding="utf-8"?>
<Properties xmlns="http://schemas.openxmlformats.org/officeDocument/2006/custom-properties" xmlns:vt="http://schemas.openxmlformats.org/officeDocument/2006/docPropsVTypes"/>
</file>