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3864"/>
          <w:sz w:val="44"/>
          <w:szCs w:val="44"/>
        </w:rPr>
        <w:t xml:space="preserve">ACP IMPLEMENTATION GUIDE</w:t>
      </w:r>
    </w:p>
    <w:p>
      <w:pPr>
        <w:spacing w:after="480"/>
        <w:jc w:val="center"/>
      </w:pPr>
      <w:r>
        <w:rPr>
          <w:b/>
          <w:bCs/>
          <w:color w:val="2E75B6"/>
          <w:sz w:val="28"/>
          <w:szCs w:val="28"/>
        </w:rPr>
        <w:t xml:space="preserve">Engineering Reference for AgentOS Contributors</w:t>
      </w:r>
    </w:p>
    <w:p>
      <w:pPr>
        <w:pBdr>
          <w:bottom w:val="single" w:color="2E75B6" w:sz="12" w:space="4"/>
        </w:pBdr>
        <w:spacing w:after="240"/>
        <w:jc w:val="center"/>
      </w:pPr>
      <w:r>
        <w:t xml:space="preserve"/>
      </w:r>
    </w:p>
    <w:p>
      <w:pPr>
        <w:spacing w:after="120"/>
        <w:jc w:val="center"/>
      </w:pPr>
      <w:r>
        <w:rPr>
          <w:b/>
          <w:bCs/>
          <w:sz w:val="26"/>
          <w:szCs w:val="26"/>
        </w:rPr>
        <w:t xml:space="preserve">Antora Energy, Inc.</w:t>
      </w:r>
    </w:p>
    <w:p>
      <w:pPr>
        <w:spacing w:before="1400"/>
      </w:pPr>
      <w:r>
        <w:t xml:space="preserve"/>
      </w:r>
    </w:p>
    <w:p>
      <w:pPr>
        <w:spacing w:after="80"/>
        <w:jc w:val="center"/>
      </w:pPr>
      <w:r>
        <w:rPr>
          <w:i/>
          <w:sz w:val="22"/>
        </w:rPr>
        <w:t>Companion to ACP Architecture Spec v2.3</w:t>
      </w:r>
    </w:p>
    <w:p>
      <w:pPr>
        <w:spacing w:after="80"/>
        <w:jc w:val="center"/>
      </w:pPr>
      <w:r>
        <w:rPr>
          <w:sz w:val="22"/>
          <w:szCs w:val="22"/>
        </w:rPr>
        <w:t xml:space="preserve">Author: Vincent Calianno</w:t>
      </w:r>
    </w:p>
    <w:p>
      <w:pPr>
        <w:spacing w:after="80" w:before="200"/>
        <w:jc w:val="center"/>
      </w:pPr>
      <w:r>
        <w:rPr>
          <w:sz w:val="22"/>
        </w:rPr>
        <w:t>Version 1.1  |  May 24, 2026</w:t>
      </w:r>
    </w:p>
    <w:p>
      <w:pPr>
        <w:spacing w:after="80"/>
        <w:jc w:val="center"/>
      </w:pPr>
      <w:r>
        <w:rPr>
          <w:b/>
          <w:bCs/>
          <w:color w:val="2E7D32"/>
          <w:sz w:val="22"/>
          <w:szCs w:val="22"/>
        </w:rPr>
        <w:t xml:space="preserve">Status: Active — Implementation Reference</w:t>
      </w:r>
    </w:p>
    <w:p>
      <w:r>
        <w:br w:type="page"/>
      </w:r>
    </w:p>
    <w:p>
      <w:pPr>
        <w:pStyle w:val="Heading1"/>
        <w:spacing w:after="200" w:before="360"/>
      </w:pPr>
      <w:r>
        <w:t xml:space="preserve">1. Purpose and Scope</w:t>
      </w:r>
    </w:p>
    <w:p>
      <w:pPr>
        <w:spacing w:after="120" w:before="0"/>
      </w:pPr>
      <w:r>
        <w:t xml:space="preserve">This guide is the practical engineering companion to the ACP Architecture Specification. The architecture spec defines what the system is; this guide defines how to build it. Read this document before writing any code for ACP.</w:t>
      </w:r>
    </w:p>
    <w:p>
      <w:pPr>
        <w:spacing w:after="120" w:before="0"/>
      </w:pPr>
      <w:r>
        <w:t xml:space="preserve">This guide is normative for the ACP implementation. Pull requests that conflict with the patterns documented here are rejected at code review. The Steering Group is the authoritative interpreter of exceptions.</w:t>
      </w:r>
    </w:p>
    <w:p>
      <w:pPr>
        <w:pStyle w:val="Heading2"/>
        <w:spacing w:after="160" w:before="280"/>
      </w:pPr>
      <w:r>
        <w:t xml:space="preserve">1.1 Who This Document Is For</w:t>
      </w:r>
    </w:p>
    <w:p>
      <w:pPr>
        <w:pStyle w:val="ListParagraph"/>
        <w:numPr>
          <w:ilvl w:val="0"/>
          <w:numId w:val="2"/>
        </w:numPr>
        <w:spacing w:after="80"/>
      </w:pPr>
      <w:r>
        <w:t xml:space="preserve">Engineers writing or reviewing ACP source code.</w:t>
      </w:r>
    </w:p>
    <w:p>
      <w:pPr>
        <w:pStyle w:val="ListParagraph"/>
        <w:numPr>
          <w:ilvl w:val="0"/>
          <w:numId w:val="2"/>
        </w:numPr>
        <w:spacing w:after="80"/>
      </w:pPr>
      <w:r>
        <w:t xml:space="preserve">Vincent (as System Owner) maintaining the codebase across phases.</w:t>
      </w:r>
    </w:p>
    <w:p>
      <w:pPr>
        <w:pStyle w:val="ListParagraph"/>
        <w:numPr>
          <w:ilvl w:val="0"/>
          <w:numId w:val="2"/>
        </w:numPr>
        <w:spacing w:after="80"/>
      </w:pPr>
      <w:r>
        <w:t xml:space="preserve">Future engineers onboarding to the ACP codebase.</w:t>
      </w:r>
    </w:p>
    <w:p>
      <w:pPr>
        <w:pStyle w:val="ListParagraph"/>
        <w:numPr>
          <w:ilvl w:val="0"/>
          <w:numId w:val="2"/>
        </w:numPr>
        <w:spacing w:after="80"/>
      </w:pPr>
      <w:r>
        <w:t xml:space="preserve">Anyone modifying the Layer C content (templates, playbook, knowledge base) who needs to understand the boundary with Layer B.</w:t>
      </w:r>
    </w:p>
    <w:p>
      <w:pPr>
        <w:pStyle w:val="Heading2"/>
        <w:spacing w:after="160" w:before="280"/>
      </w:pPr>
      <w:r>
        <w:t xml:space="preserve">1.2 Required Reading Before Writing Code</w:t>
      </w:r>
    </w:p>
    <w:p>
      <w:pPr>
        <w:pStyle w:val="ListParagraph"/>
        <w:numPr>
          <w:ilvl w:val="0"/>
          <w:numId w:val="2"/>
        </w:numPr>
        <w:spacing w:after="80"/>
      </w:pPr>
      <w:r>
        <w:rPr/>
        <w:t>ACP Architecture Spec v2.3 — full document, especially Section 13 (Portability and Extensibility) and Section 2.10 (Contract Type Extensibility).</w:t>
      </w:r>
    </w:p>
    <w:p>
      <w:pPr>
        <w:pStyle w:val="ListParagraph"/>
        <w:numPr>
          <w:ilvl w:val="0"/>
          <w:numId w:val="2"/>
        </w:numPr>
        <w:spacing w:after="80"/>
      </w:pPr>
      <w:r>
        <w:t xml:space="preserve">This guide — full document.</w:t>
      </w:r>
    </w:p>
    <w:p>
      <w:pPr>
        <w:pStyle w:val="ListParagraph"/>
        <w:numPr>
          <w:ilvl w:val="0"/>
          <w:numId w:val="2"/>
        </w:numPr>
        <w:spacing w:after="80"/>
      </w:pPr>
      <w:r>
        <w:t xml:space="preserve">AgentOS contributor guidelines (existing AgentOS repository documentation).</w:t>
      </w:r>
    </w:p>
    <w:p>
      <w:r>
        <w:br w:type="page"/>
      </w:r>
    </w:p>
    <w:p>
      <w:pPr>
        <w:pStyle w:val="Heading1"/>
        <w:spacing w:after="200" w:before="360"/>
      </w:pPr>
      <w:r>
        <w:t xml:space="preserve">2. Repository Layout</w:t>
      </w:r>
    </w:p>
    <w:p>
      <w:pPr>
        <w:spacing w:after="120" w:before="0"/>
      </w:pPr>
      <w:r>
        <w:t xml:space="preserve">ACP lives in the AgentOS monorepo under a top-level acp/ directory. The structure mirrors the Layer A / B / C separation.</w:t>
      </w:r>
    </w:p>
    <w:p>
      <w:pPr>
        <w:pStyle w:val="Heading2"/>
        <w:spacing w:after="160" w:before="280"/>
      </w:pPr>
      <w:r>
        <w:t xml:space="preserve">2.1 Directory Structure</w:t>
      </w:r>
    </w:p>
    <w:p>
      <w:pPr>
        <w:shd w:fill="F5F5F5" w:val="clear"/>
        <w:spacing w:after="120" w:before="80"/>
        <w:ind w:left="360" w:right="360"/>
      </w:pPr>
      <w:r>
        <w:rPr>
          <w:rFonts w:ascii="Courier New" w:hAnsi="Courier New"/>
          <w:sz w:val="18"/>
        </w:rPr>
        <w:t>agentos/</w:t>
        <w:br/>
        <w:t xml:space="preserve">  acp/</w:t>
        <w:br/>
        <w:t xml:space="preserve">    layer_b/                    # Generic engineering work</w:t>
        <w:br/>
        <w:t xml:space="preserve">      agents/</w:t>
        <w:br/>
        <w:t xml:space="preserve">        email_watcher.py</w:t>
        <w:br/>
        <w:t xml:space="preserve">        document_extraction.py</w:t>
        <w:br/>
        <w:t xml:space="preserve">        state_manager.py</w:t>
        <w:br/>
        <w:t xml:space="preserve">        structural_diff.py</w:t>
        <w:br/>
        <w:t xml:space="preserve">        redline_analysis.py</w:t>
        <w:br/>
        <w:t xml:space="preserve">        counter_proposal.py</w:t>
        <w:br/>
        <w:t xml:space="preserve">        review_package.py</w:t>
        <w:br/>
        <w:t xml:space="preserve">        orchestrator.py</w:t>
        <w:br/>
        <w:t xml:space="preserve">        portfolio_aggregator.py</w:t>
        <w:br/>
        <w:t xml:space="preserve">      core/</w:t>
        <w:br/>
        <w:t xml:space="preserve">        adapters/</w:t>
        <w:br/>
        <w:t xml:space="preserve">          inbox_adapter.py      # Abstract interface</w:t>
        <w:br/>
        <w:t xml:space="preserve">          storage_adapter.py    # Abstract interface</w:t>
        <w:br/>
        <w:t xml:space="preserve">          ledger_adapter.py     # Abstract interface</w:t>
        <w:br/>
        <w:t xml:space="preserve">          notification_adapter.py</w:t>
        <w:br/>
        <w:t xml:space="preserve">          llm_adapter.py</w:t>
        <w:br/>
        <w:t xml:space="preserve">          audit_adapter.py</w:t>
        <w:br/>
        <w:t xml:space="preserve">        tenancy.py</w:t>
        <w:br/>
        <w:t xml:space="preserve">        event_bus.py</w:t>
        <w:br/>
        <w:t xml:space="preserve">        config_loader.py</w:t>
        <w:br/>
        <w:t xml:space="preserve">      schemas/</w:t>
        <w:br/>
        <w:t xml:space="preserve">        state_ledger.json       # Includes contract_type field</w:t>
        <w:br/>
        <w:t xml:space="preserve">        knowledge_base.json     # Indexed by contract_type → clause_type</w:t>
        <w:br/>
        <w:t xml:space="preserve">        playbook.json           # Partitioned by contract_type</w:t>
        <w:br/>
        <w:t xml:space="preserve">        audit_event.json</w:t>
        <w:br/>
        <w:t xml:space="preserve">      tests/</w:t>
        <w:br/>
        <w:t xml:space="preserve">        fixtures/                # Synthetic data only</w:t>
        <w:br/>
        <w:t xml:space="preserve">        unit/</w:t>
        <w:br/>
        <w:t xml:space="preserve">        integration/</w:t>
        <w:br/>
        <w:t xml:space="preserve">      README.md</w:t>
        <w:br/>
        <w:t xml:space="preserve">    layer_c_antora/             # Antora-specific</w:t>
        <w:br/>
        <w:t xml:space="preserve">      config/</w:t>
        <w:br/>
        <w:t xml:space="preserve">        tenants.yaml</w:t>
        <w:br/>
        <w:t xml:space="preserve">        integrations.yaml</w:t>
        <w:br/>
        <w:t xml:space="preserve">        slas.yaml</w:t>
        <w:br/>
        <w:t xml:space="preserve">        high_risk_rules.yaml</w:t>
        <w:br/>
        <w:t xml:space="preserve">        contract_types.yaml     # Phase 1: MEPA, MPA. Phase 6+: extend.</w:t>
        <w:br/>
        <w:t xml:space="preserve">      content/</w:t>
        <w:br/>
        <w:t xml:space="preserve">        mepa/                   # Phase 1</w:t>
        <w:br/>
        <w:t xml:space="preserve">          template.docx</w:t>
        <w:br/>
        <w:t xml:space="preserve">          playbook.json         # MEPA-specific positions</w:t>
        <w:br/>
        <w:t xml:space="preserve">        mpa/                    # Phase 1</w:t>
        <w:br/>
        <w:t xml:space="preserve">          template.docx</w:t>
        <w:br/>
        <w:t xml:space="preserve">          playbook.json         # MPA-specific positions</w:t>
        <w:br/>
        <w:t xml:space="preserve">        nda/                    # Phase 6+ (future)</w:t>
        <w:br/>
        <w:t xml:space="preserve">        msa/                    # Phase 6+ (future)</w:t>
        <w:br/>
        <w:t xml:space="preserve">        lrs_template.docx       # Shared across contract types</w:t>
        <w:br/>
        <w:t xml:space="preserve">      knowledge_base/</w:t>
        <w:br/>
        <w:t xml:space="preserve">        seed/                   # Initial seed corpus</w:t>
        <w:br/>
        <w:t xml:space="preserve">        ongoing/                # Accumulating entries</w:t>
        <w:br/>
        <w:t xml:space="preserve">                                # Both indexed by contract_type</w:t>
        <w:br/>
        <w:t xml:space="preserve">      adapters/</w:t>
        <w:br/>
        <w:t xml:space="preserve">        gmail_adapter.py        # Concrete impl of InboxAdapter</w:t>
        <w:br/>
        <w:t xml:space="preserve">        drive_adapter.py        # Concrete impl of StorageAdapter</w:t>
        <w:br/>
        <w:t xml:space="preserve">        sheets_adapter.py       # Concrete impl of LedgerAdapter</w:t>
        <w:br/>
        <w:t xml:space="preserve">        slack_adapter.py</w:t>
        <w:br/>
        <w:t xml:space="preserve">        claude_adapter.py</w:t>
        <w:br/>
        <w:t xml:space="preserve">        agentos_integration.py</w:t>
        <w:br/>
        <w:t xml:space="preserve">      README.md</w:t>
        <w:br/>
        <w:t xml:space="preserve">    deploy/</w:t>
        <w:br/>
        <w:t xml:space="preserve">      acp_antora.yaml           # Wires layer_b to layer_c_antora</w:t>
      </w:r>
    </w:p>
    <w:p>
      <w:pPr>
        <w:pStyle w:val="Heading2"/>
        <w:spacing w:after="160" w:before="280"/>
      </w:pPr>
      <w:r>
        <w:t xml:space="preserve">2.2 Directory Rules (Non-Negotiable)</w:t>
      </w:r>
    </w:p>
    <w:p>
      <w:pPr>
        <w:pStyle w:val="ListParagraph"/>
        <w:numPr>
          <w:ilvl w:val="0"/>
          <w:numId w:val="2"/>
        </w:numPr>
        <w:spacing w:after="80"/>
      </w:pPr>
      <w:r>
        <w:t xml:space="preserve">layer_b imports only from layer_b/, stdlib, or public third-party packages.</w:t>
      </w:r>
    </w:p>
    <w:p>
      <w:pPr>
        <w:pStyle w:val="ListParagraph"/>
        <w:numPr>
          <w:ilvl w:val="0"/>
          <w:numId w:val="2"/>
        </w:numPr>
        <w:spacing w:after="80"/>
      </w:pPr>
      <w:r>
        <w:t xml:space="preserve">layer_b never imports from layer_c_antora directly.</w:t>
      </w:r>
    </w:p>
    <w:p>
      <w:pPr>
        <w:pStyle w:val="ListParagraph"/>
        <w:numPr>
          <w:ilvl w:val="0"/>
          <w:numId w:val="2"/>
        </w:numPr>
        <w:spacing w:after="80"/>
      </w:pPr>
      <w:r>
        <w:t xml:space="preserve">layer_c_antora imports from layer_b/ are permitted (to implement abstract interfaces).</w:t>
      </w:r>
    </w:p>
    <w:p>
      <w:pPr>
        <w:pStyle w:val="ListParagraph"/>
        <w:numPr>
          <w:ilvl w:val="0"/>
          <w:numId w:val="2"/>
        </w:numPr>
        <w:spacing w:after="80"/>
      </w:pPr>
      <w:r>
        <w:t xml:space="preserve">deploy/ is the only place where concrete adapters from layer_c_antora are wired to abstract interfaces in layer_b.</w:t>
      </w:r>
    </w:p>
    <w:p>
      <w:pPr>
        <w:pStyle w:val="ListParagraph"/>
        <w:numPr>
          <w:ilvl w:val="0"/>
          <w:numId w:val="2"/>
        </w:numPr>
        <w:spacing w:after="80"/>
      </w:pPr>
      <w:r>
        <w:t xml:space="preserve">Test code follows the same rules: layer_b/tests/ uses only synthetic fixtures.</w:t>
      </w:r>
    </w:p>
    <w:p>
      <w:r>
        <w:br w:type="page"/>
      </w:r>
    </w:p>
    <w:p>
      <w:pPr>
        <w:pStyle w:val="Heading1"/>
        <w:spacing w:after="200" w:before="360"/>
      </w:pPr>
      <w:r>
        <w:t xml:space="preserve">3. The Adapter Pattern</w:t>
      </w:r>
    </w:p>
    <w:p>
      <w:pPr>
        <w:spacing w:after="120" w:before="0"/>
      </w:pPr>
      <w:r>
        <w:t xml:space="preserve">The adapter pattern is the technical mechanism that enforces Layer B / Layer C separation. Every external dependency in layer_b is mediated by an abstract adapter interface. Concrete implementations live in layer_c_antora.</w:t>
      </w:r>
    </w:p>
    <w:p>
      <w:pPr>
        <w:pStyle w:val="Heading2"/>
        <w:spacing w:after="160" w:before="280"/>
      </w:pPr>
      <w:r>
        <w:t xml:space="preserve">3.1 Abstract Interface Example: InboxAdapter</w:t>
      </w:r>
    </w:p>
    <w:p>
      <w:pPr>
        <w:spacing w:after="120" w:before="0"/>
      </w:pPr>
      <w:r>
        <w:t xml:space="preserve">In layer_b/core/adapters/inbox_adapter.py:</w:t>
      </w:r>
    </w:p>
    <w:p>
      <w:pPr>
        <w:shd w:fill="F5F5F5" w:val="clear"/>
        <w:spacing w:after="120" w:before="80"/>
        <w:ind w:left="360" w:right="360"/>
      </w:pPr>
      <w:r>
        <w:rPr>
          <w:rFonts w:ascii="Courier New" w:cs="Courier New" w:eastAsia="Courier New" w:hAnsi="Courier New"/>
          <w:sz w:val="18"/>
          <w:szCs w:val="18"/>
        </w:rPr>
        <w:t xml:space="preserve">from abc import ABC, abstractmethod
from dataclasses import dataclass
from datetime import datetime
@dataclass
class InboxMessage:
    message_id: str
    thread_id: str
    sender: str
    subject: str
    received_at: datetime
    has_attachment: bool
    body_snippet: str
class InboxAdapter(ABC):
    @abstractmethod
    def fetch_messages(
        self, since: datetime, label_filter: str = None
    ) -&gt; list[InboxMessage]:
        '''Return messages received since the given timestamp.'''
        ...
    @abstractmethod
    def get_attachment(
        self, message_id: str, attachment_id: str
    ) -&gt; bytes:
        '''Return raw attachment bytes.'''
        ...
    @abstractmethod
    def mark_processed(self, message_id: str) -&gt; None:
        '''Mark message as processed (for idempotency).'''
        ...</w:t>
      </w:r>
    </w:p>
    <w:p>
      <w:pPr>
        <w:pStyle w:val="Heading2"/>
        <w:spacing w:after="160" w:before="280"/>
      </w:pPr>
      <w:r>
        <w:t xml:space="preserve">3.2 Concrete Implementation: GmailAdapter</w:t>
      </w:r>
    </w:p>
    <w:p>
      <w:pPr>
        <w:spacing w:after="120" w:before="0"/>
      </w:pPr>
      <w:r>
        <w:t xml:space="preserve">In layer_c_antora/adapters/gmail_adapter.py:</w:t>
      </w:r>
    </w:p>
    <w:p>
      <w:pPr>
        <w:shd w:fill="F5F5F5" w:val="clear"/>
        <w:spacing w:after="120" w:before="80"/>
        <w:ind w:left="360" w:right="360"/>
      </w:pPr>
      <w:r>
        <w:rPr>
          <w:rFonts w:ascii="Courier New" w:cs="Courier New" w:eastAsia="Courier New" w:hAnsi="Courier New"/>
          <w:sz w:val="18"/>
          <w:szCs w:val="18"/>
        </w:rPr>
        <w:t xml:space="preserve">from acp.layer_b.core.adapters.inbox_adapter import (
    InboxAdapter, InboxMessage
)
from googleapiclient.discovery import build
class GmailAdapter(InboxAdapter):
    def __init__(self, oauth_credentials, account_email: str):
        self.service = build('gmail', 'v1', credentials=oauth_credentials)
        self.account = account_email
    def fetch_messages(self, since, label_filter=None):
        # Gmail-specific API calls here
        # ...
        return [InboxMessage(...) for m in raw_messages]
    def get_attachment(self, message_id, attachment_id):
        # Gmail-specific attachment fetch
        ...
    def mark_processed(self, message_id):
        # Apply Gmail label
        ...</w:t>
      </w:r>
    </w:p>
    <w:p>
      <w:pPr>
        <w:pStyle w:val="Heading2"/>
        <w:spacing w:after="160" w:before="280"/>
      </w:pPr>
      <w:r>
        <w:t xml:space="preserve">3.3 Agent Code Uses Only the Abstract Interface</w:t>
      </w:r>
    </w:p>
    <w:p>
      <w:pPr>
        <w:spacing w:after="120" w:before="0"/>
      </w:pPr>
      <w:r>
        <w:t xml:space="preserve">In layer_b/agents/email_watcher.py:</w:t>
      </w:r>
    </w:p>
    <w:p>
      <w:pPr>
        <w:shd w:fill="F5F5F5" w:val="clear"/>
        <w:spacing w:after="120" w:before="80"/>
        <w:ind w:left="360" w:right="360"/>
      </w:pPr>
      <w:r>
        <w:rPr>
          <w:rFonts w:ascii="Courier New" w:cs="Courier New" w:eastAsia="Courier New" w:hAnsi="Courier New"/>
          <w:sz w:val="18"/>
          <w:szCs w:val="18"/>
        </w:rPr>
        <w:t xml:space="preserve">from acp.layer_b.core.adapters.inbox_adapter import InboxAdapter
from acp.layer_b.core.adapters.notification_adapter import NotificationAdapter
from acp.layer_b.core.event_bus import EventBus
class EmailWatcher:
    def __init__(
        self,
        inbox: InboxAdapter,
        notifications: NotificationAdapter,
        event_bus: EventBus,
        config: dict,
    ):
        self.inbox = inbox
        self.notifications = notifications
        self.event_bus = event_bus
        self.config = config
    def run(self, tenant_scope: str):
        since = self._get_last_poll_time(tenant_scope)
        messages = self.inbox.fetch_messages(since=since)
        for message in messages:
            event = self._classify(message, tenant_scope)
            self.event_bus.publish(event)
            self.inbox.mark_processed(message.message_id)</w:t>
      </w:r>
    </w:p>
    <w:p>
      <w:pPr>
        <w:spacing w:after="120" w:before="0"/>
      </w:pPr>
      <w:r>
        <w:rPr>
          <w:b/>
          <w:bCs/>
        </w:rPr>
        <w:t xml:space="preserve">Notice what is and is not in this code:</w:t>
      </w:r>
    </w:p>
    <w:p>
      <w:pPr>
        <w:pStyle w:val="ListParagraph"/>
        <w:numPr>
          <w:ilvl w:val="0"/>
          <w:numId w:val="2"/>
        </w:numPr>
        <w:spacing w:after="80"/>
      </w:pPr>
      <w:r>
        <w:t xml:space="preserve">No Gmail-specific code. The agent does not know it is operating on Gmail.</w:t>
      </w:r>
    </w:p>
    <w:p>
      <w:pPr>
        <w:pStyle w:val="ListParagraph"/>
        <w:numPr>
          <w:ilvl w:val="0"/>
          <w:numId w:val="2"/>
        </w:numPr>
        <w:spacing w:after="80"/>
      </w:pPr>
      <w:r>
        <w:t xml:space="preserve">No Antora-specific values. No supplier domains, no email addresses, no channel IDs.</w:t>
      </w:r>
    </w:p>
    <w:p>
      <w:pPr>
        <w:pStyle w:val="ListParagraph"/>
        <w:numPr>
          <w:ilvl w:val="0"/>
          <w:numId w:val="2"/>
        </w:numPr>
        <w:spacing w:after="80"/>
      </w:pPr>
      <w:r>
        <w:t xml:space="preserve">No hardcoded configuration. All tunable values come through the config parameter.</w:t>
      </w:r>
    </w:p>
    <w:p>
      <w:pPr>
        <w:pStyle w:val="ListParagraph"/>
        <w:numPr>
          <w:ilvl w:val="0"/>
          <w:numId w:val="2"/>
        </w:numPr>
        <w:spacing w:after="80"/>
      </w:pPr>
      <w:r>
        <w:t xml:space="preserve">Tenant scope is passed explicitly. The agent has no implicit knowledge of which tenant it operates on.</w:t>
      </w:r>
    </w:p>
    <w:p>
      <w:pPr>
        <w:pStyle w:val="Heading2"/>
        <w:spacing w:after="160" w:before="280"/>
      </w:pPr>
      <w:r>
        <w:t xml:space="preserve">3.4 Wiring in Deployment Configuration</w:t>
      </w:r>
    </w:p>
    <w:p>
      <w:pPr>
        <w:spacing w:after="120" w:before="0"/>
      </w:pPr>
      <w:r>
        <w:t xml:space="preserve">In deploy/acp_antora.yaml:</w:t>
      </w:r>
    </w:p>
    <w:p>
      <w:pPr>
        <w:shd w:fill="F5F5F5" w:val="clear"/>
        <w:spacing w:after="120" w:before="80"/>
        <w:ind w:left="360" w:right="360"/>
      </w:pPr>
      <w:r>
        <w:rPr>
          <w:rFonts w:ascii="Courier New" w:cs="Courier New" w:eastAsia="Courier New" w:hAnsi="Courier New"/>
          <w:sz w:val="18"/>
          <w:szCs w:val="18"/>
        </w:rPr>
        <w:t xml:space="preserve">tenants:
  - id: vincent
    inbox:
      adapter: GmailAdapter
      credentials_ref: secrets/vincent_gmail_oauth
      account: vincent.calianno@antora.energy
    storage:
      adapter: DriveAdapter
      root_folder_id: 1Ekb76OLfHKxj3SuBN3jANgDS_Nn5scyR
    notifications:
      adapter: SlackAdapter
      channel_id: C0ASTTRRF47
  - id: tom
    # ... similar configuration</w:t>
      </w:r>
    </w:p>
    <w:p>
      <w:pPr>
        <w:spacing w:after="120" w:before="0"/>
      </w:pPr>
      <w:r>
        <w:t xml:space="preserve">The deployment configuration is the only place where layer_b and layer_c_antora meet. Adapter implementations are named here by class; the deployment framework instantiates them and injects them into agents.</w:t>
      </w:r>
    </w:p>
    <w:p>
      <w:r>
        <w:br w:type="page"/>
      </w:r>
    </w:p>
    <w:p>
      <w:pPr>
        <w:pStyle w:val="Heading1"/>
        <w:spacing w:after="200" w:before="360"/>
      </w:pPr>
      <w:r>
        <w:t xml:space="preserve">4. Configuration Management</w:t>
      </w:r>
    </w:p>
    <w:p>
      <w:pPr>
        <w:pStyle w:val="Heading2"/>
        <w:spacing w:after="160" w:before="280"/>
      </w:pPr>
      <w:r>
        <w:t xml:space="preserve">4.1 What Goes in Configuration</w:t>
      </w:r>
    </w:p>
    <w:p>
      <w:pPr>
        <w:pStyle w:val="ListParagraph"/>
        <w:numPr>
          <w:ilvl w:val="0"/>
          <w:numId w:val="2"/>
        </w:numPr>
        <w:spacing w:after="80"/>
      </w:pPr>
      <w:r>
        <w:t xml:space="preserve">Tenant identities and tenant-specific endpoints (inbox accounts, storage folders, notification channels).</w:t>
      </w:r>
    </w:p>
    <w:p>
      <w:pPr>
        <w:pStyle w:val="ListParagraph"/>
        <w:numPr>
          <w:ilvl w:val="0"/>
          <w:numId w:val="2"/>
        </w:numPr>
        <w:spacing w:after="80"/>
      </w:pPr>
      <w:r>
        <w:t xml:space="preserve">Integration credentials and authentication tokens (typically by reference to a secrets manager).</w:t>
      </w:r>
    </w:p>
    <w:p>
      <w:pPr>
        <w:pStyle w:val="ListParagraph"/>
        <w:numPr>
          <w:ilvl w:val="0"/>
          <w:numId w:val="2"/>
        </w:numPr>
        <w:spacing w:after="80"/>
      </w:pPr>
      <w:r>
        <w:t xml:space="preserve">SLA targets, retry policies, timeout values.</w:t>
      </w:r>
    </w:p>
    <w:p>
      <w:pPr>
        <w:pStyle w:val="ListParagraph"/>
        <w:numPr>
          <w:ilvl w:val="0"/>
          <w:numId w:val="2"/>
        </w:numPr>
        <w:spacing w:after="80"/>
      </w:pPr>
      <w:r>
        <w:t xml:space="preserve">LLM model selection per agent.</w:t>
      </w:r>
    </w:p>
    <w:p>
      <w:pPr>
        <w:pStyle w:val="ListParagraph"/>
        <w:numPr>
          <w:ilvl w:val="0"/>
          <w:numId w:val="2"/>
        </w:numPr>
        <w:spacing w:after="80"/>
      </w:pPr>
      <w:r>
        <w:t xml:space="preserve">Polling schedules.</w:t>
      </w:r>
    </w:p>
    <w:p>
      <w:pPr>
        <w:pStyle w:val="ListParagraph"/>
        <w:numPr>
          <w:ilvl w:val="0"/>
          <w:numId w:val="2"/>
        </w:numPr>
        <w:spacing w:after="80"/>
      </w:pPr>
      <w:r>
        <w:t xml:space="preserve">Anything that varies between deployments or between tenants within a deployment.</w:t>
      </w:r>
    </w:p>
    <w:p>
      <w:pPr>
        <w:pStyle w:val="Heading2"/>
        <w:spacing w:after="160" w:before="280"/>
      </w:pPr>
      <w:r>
        <w:t xml:space="preserve">4.2 What Goes in Content Files</w:t>
      </w:r>
    </w:p>
    <w:p>
      <w:pPr>
        <w:pStyle w:val="ListParagraph"/>
        <w:numPr>
          <w:ilvl w:val="0"/>
          <w:numId w:val="2"/>
        </w:numPr>
        <w:spacing w:after="80"/>
      </w:pPr>
      <w:r>
        <w:rPr/>
        <w:t>Document templates partitioned by contract_type. Phase 1: MEPA template, MPA template, LRS template. Phase 6+: add a subdirectory per new contract type with its template.</w:t>
      </w:r>
    </w:p>
    <w:p>
      <w:pPr>
        <w:pStyle w:val="ListParagraph"/>
        <w:numPr>
          <w:ilvl w:val="0"/>
          <w:numId w:val="2"/>
        </w:numPr>
        <w:spacing w:after="80"/>
      </w:pPr>
      <w:r>
        <w:rPr/>
        <w:t>Negotiation playbook — partitioned by contract_type. Each contract type has its own playbook.json with clause-type rules as structured JSON or YAML.</w:t>
      </w:r>
    </w:p>
    <w:p>
      <w:pPr>
        <w:pStyle w:val="ListParagraph"/>
        <w:numPr>
          <w:ilvl w:val="0"/>
          <w:numId w:val="2"/>
        </w:numPr>
        <w:spacing w:after="80"/>
      </w:pPr>
      <w:r>
        <w:t xml:space="preserve">High-risk flag rules — combinations to detect, e.g., the MCM consequential/direct damages combination.</w:t>
      </w:r>
    </w:p>
    <w:p>
      <w:pPr>
        <w:pStyle w:val="ListParagraph"/>
        <w:numPr>
          <w:ilvl w:val="0"/>
          <w:numId w:val="2"/>
        </w:numPr>
        <w:spacing w:after="80"/>
      </w:pPr>
      <w:r>
        <w:t xml:space="preserve">Supplier profile catalog — known counterparties with their profile attributes.</w:t>
      </w:r>
    </w:p>
    <w:p>
      <w:pPr>
        <w:pStyle w:val="Heading2"/>
        <w:spacing w:after="160" w:before="280"/>
      </w:pPr>
      <w:r>
        <w:t xml:space="preserve">4.3 What Goes in the Knowledge Base</w:t>
      </w:r>
    </w:p>
    <w:p>
      <w:pPr>
        <w:pStyle w:val="ListParagraph"/>
        <w:numPr>
          <w:ilvl w:val="0"/>
          <w:numId w:val="2"/>
        </w:numPr>
        <w:spacing w:after="80"/>
      </w:pPr>
      <w:r>
        <w:t xml:space="preserve">Every analyzed redline with: clause type, original Antora language, supplier language, final accepted language, reviewer notes, outcome, date, contributing SCM, supplier identifier.</w:t>
      </w:r>
    </w:p>
    <w:p>
      <w:pPr>
        <w:pStyle w:val="ListParagraph"/>
        <w:numPr>
          <w:ilvl w:val="0"/>
          <w:numId w:val="2"/>
        </w:numPr>
        <w:spacing w:after="80"/>
      </w:pPr>
      <w:r>
        <w:rPr/>
        <w:t>Indexed primarily by contract_type, secondarily by clause type, tertiarily by counterparty profile.</w:t>
      </w:r>
    </w:p>
    <w:p>
      <w:pPr>
        <w:pStyle w:val="ListParagraph"/>
        <w:numPr>
          <w:ilvl w:val="0"/>
          <w:numId w:val="2"/>
        </w:numPr>
        <w:spacing w:after="80"/>
      </w:pPr>
      <w:r>
        <w:t xml:space="preserve">Stored as JSON files in layer_c_antora/knowledge_base/ with a defined directory taxonomy.</w:t>
      </w:r>
    </w:p>
    <w:p>
      <w:pPr>
        <w:pStyle w:val="ListParagraph"/>
        <w:numPr>
          <w:ilvl w:val="0"/>
          <w:numId w:val="2"/>
        </w:numPr>
        <w:spacing w:after="80"/>
      </w:pPr>
      <w:r>
        <w:t xml:space="preserve">Mirrored to Notion for human readability.</w:t>
      </w:r>
    </w:p>
    <w:p>
      <w:pPr>
        <w:pStyle w:val="Heading2"/>
        <w:spacing w:after="160" w:before="280"/>
      </w:pPr>
      <w:r>
        <w:t xml:space="preserve">4.4 Configuration Loading</w:t>
      </w:r>
    </w:p>
    <w:p>
      <w:pPr>
        <w:spacing w:after="120" w:before="0"/>
      </w:pPr>
      <w:r>
        <w:t xml:space="preserve">All configuration loads through a single entry point in layer_b/core/config_loader.py. Agents receive their configuration through constructor injection, not by reading files directly.</w:t>
      </w:r>
    </w:p>
    <w:p>
      <w:pPr>
        <w:shd w:fill="F5F5F5" w:val="clear"/>
        <w:spacing w:after="120" w:before="80"/>
        <w:ind w:left="360" w:right="360"/>
      </w:pPr>
      <w:r>
        <w:rPr>
          <w:rFonts w:ascii="Courier New" w:cs="Courier New" w:eastAsia="Courier New" w:hAnsi="Courier New"/>
          <w:sz w:val="18"/>
          <w:szCs w:val="18"/>
        </w:rPr>
        <w:t xml:space="preserve">class ConfigLoader:
    def __init__(self, deployment_config_path: str):
        self.deployment = self._load_yaml(deployment_config_path)
    def for_agent(self, agent_name: str, tenant_id: str) -&gt; dict:
        '''Return merged configuration for the given agent and tenant.'''
        defaults = self._agent_defaults(agent_name)
        tenant_overrides = self._tenant_config(tenant_id, agent_name)
        return {**defaults, **tenant_overrides}</w:t>
      </w:r>
    </w:p>
    <w:p>
      <w:r>
        <w:br w:type="page"/>
      </w:r>
    </w:p>
    <w:p>
      <w:pPr>
        <w:pStyle w:val="Heading1"/>
        <w:spacing w:after="200" w:before="360"/>
      </w:pPr>
      <w:r>
        <w:t xml:space="preserve">5. Playbook as Data, Not Code</w:t>
      </w:r>
    </w:p>
    <w:p>
      <w:pPr>
        <w:spacing w:after="120" w:before="0"/>
      </w:pPr>
      <w:r>
        <w:t xml:space="preserve">The playbook is the single most important artifact for portability. It encodes Antora's negotiation positions and must never be inlined into agent code.</w:t>
      </w:r>
    </w:p>
    <w:p>
      <w:pPr>
        <w:pStyle w:val="Heading2"/>
        <w:spacing w:after="160" w:before="280"/>
      </w:pPr>
      <w:r>
        <w:t xml:space="preserve">5.1 Playbook Schema</w:t>
      </w:r>
    </w:p>
    <w:p>
      <w:pPr>
        <w:spacing w:after="120" w:before="0"/>
      </w:pPr>
      <w:r>
        <w:rPr/>
        <w:t>Playbook is JSON, partitioned by contract_type and within each contract type indexed by clause type. Each contract type has its own playbook file (e.g., layer_c_antora/content/mepa/playbook.json). Each rule has structure:</w:t>
      </w:r>
    </w:p>
    <w:p>
      <w:pPr>
        <w:shd w:fill="F5F5F5" w:val="clear"/>
        <w:spacing w:after="120" w:before="80"/>
        <w:ind w:left="360" w:right="360"/>
      </w:pPr>
      <w:r>
        <w:rPr>
          <w:rFonts w:ascii="Courier New" w:hAnsi="Courier New"/>
          <w:sz w:val="18"/>
        </w:rPr>
        <w:t>{</w:t>
        <w:br/>
        <w:t xml:space="preserve">  "contract_type": "MEPA",</w:t>
        <w:br/>
        <w:t xml:space="preserve">  "clause_type": "limitation_of_liability",</w:t>
        <w:br/>
        <w:t xml:space="preserve">  "rule_id": "MEPA-LOL-001",</w:t>
        <w:br/>
        <w:t xml:space="preserve">  "default_position": "Antora caps liability at contract value...",</w:t>
        <w:br/>
        <w:t xml:space="preserve">  "acceptable_variations": [</w:t>
        <w:br/>
        <w:t xml:space="preserve">    "Cap at 2x contract value with mutual carve-outs",</w:t>
        <w:br/>
        <w:t xml:space="preserve">    "Cap at fees paid in trailing 12 months"</w:t>
        <w:br/>
        <w:t xml:space="preserve">  ],</w:t>
        <w:br/>
        <w:t xml:space="preserve">  "reject_patterns": [</w:t>
        <w:br/>
        <w:t xml:space="preserve">    "Unlimited liability for supplier",</w:t>
        <w:br/>
        <w:t xml:space="preserve">    "Removal of mutual cap"</w:t>
        <w:br/>
        <w:t xml:space="preserve">  ],</w:t>
        <w:br/>
        <w:t xml:space="preserve">  "high_risk_combinations": [</w:t>
        <w:br/>
        <w:t xml:space="preserve">    {</w:t>
        <w:br/>
        <w:t xml:space="preserve">      "with_clause": "consequential_damages",</w:t>
        <w:br/>
        <w:t xml:space="preserve">      "with_pattern": "mutual exclusion",</w:t>
        <w:br/>
        <w:t xml:space="preserve">      "reason": "Combination removes both upside and downside protection",</w:t>
        <w:br/>
        <w:t xml:space="preserve">      "requires_sandelin": true</w:t>
        <w:br/>
        <w:t xml:space="preserve">    }</w:t>
        <w:br/>
        <w:t xml:space="preserve">  ],</w:t>
        <w:br/>
        <w:t xml:space="preserve">  "counter_proposal_templates": [</w:t>
        <w:br/>
        <w:t xml:space="preserve">    {</w:t>
        <w:br/>
        <w:t xml:space="preserve">      "id": "MEPA-LOL-COUNTER-001",</w:t>
        <w:br/>
        <w:t xml:space="preserve">      "text": "Notwithstanding the foregoing, the parties agree..."</w:t>
        <w:br/>
        <w:t xml:space="preserve">    }</w:t>
        <w:br/>
        <w:t xml:space="preserve">  ]</w:t>
        <w:br/>
        <w:t>}</w:t>
      </w:r>
    </w:p>
    <w:p>
      <w:pPr>
        <w:pStyle w:val="Heading2"/>
        <w:spacing w:after="160" w:before="280"/>
      </w:pPr>
      <w:r>
        <w:t xml:space="preserve">5.2 How Agent 5 (Redline Analysis) Uses the Playbook</w:t>
      </w:r>
    </w:p>
    <w:p>
      <w:pPr>
        <w:spacing w:after="120" w:before="0"/>
      </w:pPr>
      <w:r>
        <w:rPr/>
        <w:t>Agent 5 loads the appropriate contract-type-scoped playbook at the start of each negotiation round (the negotiation's contract_type is on the state ledger row). For each redline:</w:t>
      </w:r>
    </w:p>
    <w:p>
      <w:pPr>
        <w:pStyle w:val="ListParagraph"/>
        <w:numPr>
          <w:ilvl w:val="0"/>
          <w:numId w:val="2"/>
        </w:numPr>
        <w:spacing w:after="80"/>
      </w:pPr>
      <w:r>
        <w:t xml:space="preserve">Identify clause type via classification (separate small task).</w:t>
      </w:r>
    </w:p>
    <w:p>
      <w:pPr>
        <w:pStyle w:val="ListParagraph"/>
        <w:numPr>
          <w:ilvl w:val="0"/>
          <w:numId w:val="2"/>
        </w:numPr>
        <w:spacing w:after="80"/>
      </w:pPr>
      <w:r>
        <w:rPr/>
        <w:t>Load matching playbook rule by contract_type + clause_type composite key.</w:t>
      </w:r>
    </w:p>
    <w:p>
      <w:pPr>
        <w:pStyle w:val="ListParagraph"/>
        <w:numPr>
          <w:ilvl w:val="0"/>
          <w:numId w:val="2"/>
        </w:numPr>
        <w:spacing w:after="80"/>
      </w:pPr>
      <w:r>
        <w:t xml:space="preserve">Check for high-risk combinations against other redlines in the same round.</w:t>
      </w:r>
    </w:p>
    <w:p>
      <w:pPr>
        <w:pStyle w:val="ListParagraph"/>
        <w:numPr>
          <w:ilvl w:val="0"/>
          <w:numId w:val="2"/>
        </w:numPr>
        <w:spacing w:after="80"/>
      </w:pPr>
      <w:r>
        <w:t xml:space="preserve">Construct the Opus reasoning prompt by templating in the playbook content.</w:t>
      </w:r>
    </w:p>
    <w:p>
      <w:pPr>
        <w:pStyle w:val="ListParagraph"/>
        <w:numPr>
          <w:ilvl w:val="0"/>
          <w:numId w:val="2"/>
        </w:numPr>
        <w:spacing w:after="80"/>
      </w:pPr>
      <w:r>
        <w:t xml:space="preserve">Apply the LLM's reasoning to produce accept / reject / negotiate recommendation.</w:t>
      </w:r>
    </w:p>
    <w:p>
      <w:pPr>
        <w:pStyle w:val="ListParagraph"/>
        <w:numPr>
          <w:ilvl w:val="0"/>
          <w:numId w:val="2"/>
        </w:numPr>
        <w:spacing w:after="80"/>
      </w:pPr>
      <w:r>
        <w:t xml:space="preserve">Output references the playbook rule_id used. This makes recommendations traceable to specific rules.</w:t>
      </w:r>
    </w:p>
    <w:p>
      <w:pPr>
        <w:pStyle w:val="Heading2"/>
        <w:spacing w:after="160" w:before="280"/>
      </w:pPr>
      <w:r>
        <w:t xml:space="preserve">5.3 Why This Matters for Portability</w:t>
      </w:r>
    </w:p>
    <w:p>
      <w:pPr>
        <w:spacing w:after="120" w:before="0"/>
      </w:pPr>
      <w:r>
        <w:t xml:space="preserve">If the playbook is data, then at a new company the playbook is the single largest piece of Layer C work, and it is a content task, not an engineering task. Legal leadership at the new company defines the playbook; engineering ingests it as data. The agent code is identical between deployments.</w:t>
      </w:r>
    </w:p>
    <w:p>
      <w:pPr>
        <w:spacing w:after="120" w:before="0"/>
      </w:pPr>
      <w:r>
        <w:t xml:space="preserve">If the playbook were inlined into agent prompts, the entire layer_b/agents/redline_analysis.py would need to be rewritten for each deployment. The playbook-as-data discipline prevents this and makes the system genuinely portable.</w:t>
      </w:r>
    </w:p>
    <w:p>
      <w:pPr>
        <w:spacing w:before="280" w:after="160"/>
        <w:outlineLvl w:val="1"/>
      </w:pPr>
      <w:r>
        <w:rPr>
          <w:rFonts w:ascii="Arial" w:hAnsi="Arial"/>
          <w:b/>
          <w:i w:val="0"/>
          <w:color w:val="2E75B6"/>
          <w:sz w:val="26"/>
        </w:rPr>
        <w:t>5.4 Adding a New Contract Type (Phase 6+)</w:t>
      </w:r>
    </w:p>
    <w:p>
      <w:pPr>
        <w:spacing w:after="120"/>
      </w:pPr>
      <w:r>
        <w:rPr>
          <w:rFonts w:ascii="Arial" w:hAnsi="Arial"/>
          <w:b w:val="0"/>
          <w:i w:val="0"/>
          <w:sz w:val="22"/>
        </w:rPr>
        <w:t>When a new contract type is added (Phase 6+ activity), the work is content, not code. Concretely:</w:t>
      </w:r>
    </w:p>
    <w:p>
      <w:pPr>
        <w:spacing w:after="80"/>
        <w:ind w:left="720" w:hanging="360"/>
      </w:pPr>
      <w:r>
        <w:rPr>
          <w:rFonts w:ascii="Arial" w:hAnsi="Arial"/>
          <w:b w:val="0"/>
          <w:i w:val="0"/>
          <w:sz w:val="22"/>
        </w:rPr>
        <w:t>• Create a new subdirectory under layer_c_antora/content/ for the contract type (e.g., nda/, msa/).</w:t>
      </w:r>
    </w:p>
    <w:p>
      <w:pPr>
        <w:spacing w:after="80"/>
        <w:ind w:left="720" w:hanging="360"/>
      </w:pPr>
      <w:r>
        <w:rPr>
          <w:rFonts w:ascii="Arial" w:hAnsi="Arial"/>
          <w:b w:val="0"/>
          <w:i w:val="0"/>
          <w:sz w:val="22"/>
        </w:rPr>
        <w:t>• Add the contract template (template.docx) and playbook (playbook.json) inside that subdirectory.</w:t>
      </w:r>
    </w:p>
    <w:p>
      <w:pPr>
        <w:spacing w:after="80"/>
        <w:ind w:left="720" w:hanging="360"/>
      </w:pPr>
      <w:r>
        <w:rPr>
          <w:rFonts w:ascii="Arial" w:hAnsi="Arial"/>
          <w:b w:val="0"/>
          <w:i w:val="0"/>
          <w:sz w:val="22"/>
        </w:rPr>
        <w:t>• Extend contract_types.yaml to register the new contract type and any contract-type-specific configuration (e.g., assigned Legal Reviewer if different from default).</w:t>
      </w:r>
    </w:p>
    <w:p>
      <w:pPr>
        <w:spacing w:after="80"/>
        <w:ind w:left="720" w:hanging="360"/>
      </w:pPr>
      <w:r>
        <w:rPr>
          <w:rFonts w:ascii="Arial" w:hAnsi="Arial"/>
          <w:b w:val="0"/>
          <w:i w:val="0"/>
          <w:sz w:val="22"/>
        </w:rPr>
        <w:t>• Seed the knowledge base for the new contract type under layer_c_antora/knowledge_base/seed/{contract_type}/.</w:t>
      </w:r>
    </w:p>
    <w:p>
      <w:pPr>
        <w:spacing w:after="80"/>
        <w:ind w:left="720" w:hanging="360"/>
      </w:pPr>
      <w:r>
        <w:rPr>
          <w:rFonts w:ascii="Arial" w:hAnsi="Arial"/>
          <w:b w:val="0"/>
          <w:i w:val="0"/>
          <w:sz w:val="22"/>
        </w:rPr>
        <w:t>• No agent code changes are required. The agents read the contract_type from each negotiation's state ledger row and load the appropriate playbook.</w:t>
      </w:r>
    </w:p>
    <w:p>
      <w:pPr>
        <w:spacing w:after="120"/>
      </w:pPr>
      <w:r>
        <w:rPr>
          <w:rFonts w:ascii="Arial" w:hAnsi="Arial"/>
          <w:b w:val="0"/>
          <w:i w:val="0"/>
          <w:sz w:val="22"/>
        </w:rPr>
        <w:t>If the new contract type requires a different Legal Reviewer (e.g., customer commercial agreements may route to General Counsel rather than Sandelin), the routing configuration in layer_c_antora/config/ is extended; the routing logic in layer_b/agents/review_package.py reads the configured reviewer per contract_type and routes accordingly. The agent code remains contract-type-agnostic.</w:t>
      </w:r>
    </w:p>
    <w:p>
      <w:pPr>
        <w:spacing w:after="120"/>
      </w:pPr>
      <w:r>
        <w:rPr>
          <w:rFonts w:ascii="Arial" w:hAnsi="Arial"/>
          <w:b w:val="0"/>
          <w:i/>
          <w:sz w:val="22"/>
        </w:rPr>
        <w:t>This is the practical realization of the architectural extensibility described in Architecture Spec Section 2.10.</w:t>
      </w:r>
    </w:p>
    <w:p>
      <w:r>
        <w:br w:type="page"/>
      </w:r>
    </w:p>
    <w:p>
      <w:pPr>
        <w:pStyle w:val="Heading1"/>
        <w:spacing w:after="200" w:before="360"/>
      </w:pPr>
      <w:r>
        <w:t xml:space="preserve">6. Tenancy Enforcement</w:t>
      </w:r>
    </w:p>
    <w:p>
      <w:pPr>
        <w:spacing w:after="120" w:before="0"/>
      </w:pPr>
      <w:r>
        <w:t xml:space="preserve">Tenancy is enforced at the layer_b/core/tenancy.py module. Every state-modifying operation goes through tenancy checks. Cross-tenant writes are rejected at the API level, not by convention.</w:t>
      </w:r>
    </w:p>
    <w:p>
      <w:pPr>
        <w:pStyle w:val="Heading2"/>
        <w:spacing w:after="160" w:before="280"/>
      </w:pPr>
      <w:r>
        <w:t xml:space="preserve">6.1 Tenancy Module Responsibilities</w:t>
      </w:r>
    </w:p>
    <w:p>
      <w:pPr>
        <w:pStyle w:val="ListParagraph"/>
        <w:numPr>
          <w:ilvl w:val="0"/>
          <w:numId w:val="2"/>
        </w:numPr>
        <w:spacing w:after="80"/>
      </w:pPr>
      <w:r>
        <w:t xml:space="preserve">Define the tenant identifier scheme.</w:t>
      </w:r>
    </w:p>
    <w:p>
      <w:pPr>
        <w:pStyle w:val="ListParagraph"/>
        <w:numPr>
          <w:ilvl w:val="0"/>
          <w:numId w:val="2"/>
        </w:numPr>
        <w:spacing w:after="80"/>
      </w:pPr>
      <w:r>
        <w:t xml:space="preserve">Provide a TenantContext object passed to every agent operation.</w:t>
      </w:r>
    </w:p>
    <w:p>
      <w:pPr>
        <w:pStyle w:val="ListParagraph"/>
        <w:numPr>
          <w:ilvl w:val="0"/>
          <w:numId w:val="2"/>
        </w:numPr>
        <w:spacing w:after="80"/>
      </w:pPr>
      <w:r>
        <w:t xml:space="preserve">Validate that resource access respects tenant scope before any read or write.</w:t>
      </w:r>
    </w:p>
    <w:p>
      <w:pPr>
        <w:pStyle w:val="ListParagraph"/>
        <w:numPr>
          <w:ilvl w:val="0"/>
          <w:numId w:val="2"/>
        </w:numPr>
        <w:spacing w:after="80"/>
      </w:pPr>
      <w:r>
        <w:t xml:space="preserve">Emit audit events for every tenancy boundary crossing (even authorized ones).</w:t>
      </w:r>
    </w:p>
    <w:p>
      <w:pPr>
        <w:pStyle w:val="Heading2"/>
        <w:spacing w:after="160" w:before="280"/>
      </w:pPr>
      <w:r>
        <w:t xml:space="preserve">6.2 Example: State Manager Tenancy Check</w:t>
      </w:r>
    </w:p>
    <w:p>
      <w:pPr>
        <w:shd w:fill="F5F5F5" w:val="clear"/>
        <w:spacing w:after="120" w:before="80"/>
        <w:ind w:left="360" w:right="360"/>
      </w:pPr>
      <w:r>
        <w:rPr>
          <w:rFonts w:ascii="Courier New" w:cs="Courier New" w:eastAsia="Courier New" w:hAnsi="Courier New"/>
          <w:sz w:val="18"/>
          <w:szCs w:val="18"/>
        </w:rPr>
        <w:t xml:space="preserve">class StateManager:
    def __init__(self, ledger: LedgerAdapter, tenancy: TenancyEnforcer):
        self.ledger = ledger
        self.tenancy = tenancy
    def update_row(
        self,
        tenant_context: TenantContext,
        negotiation_id: str,
        updates: dict,
    ):
        # Verify the tenant owns this negotiation
        owning_tenant = self.ledger.get_owner(negotiation_id)
        self.tenancy.assert_can_write(tenant_context, owning_tenant)
        # Now safe to write
        self.ledger.write(negotiation_id, updates)</w:t>
      </w:r>
    </w:p>
    <w:p>
      <w:pPr>
        <w:pStyle w:val="Heading2"/>
        <w:spacing w:after="160" w:before="280"/>
      </w:pPr>
      <w:r>
        <w:t xml:space="preserve">6.3 Cross-Tenant Reads</w:t>
      </w:r>
    </w:p>
    <w:p>
      <w:pPr>
        <w:spacing w:after="120" w:before="0"/>
      </w:pPr>
      <w:r>
        <w:t xml:space="preserve">Agent 9 (Portfolio Aggregator) is the only agent that legitimately reads across tenants. It does so through an explicit cross-tenant read API that produces only derived views, never modifies tenant state.</w:t>
      </w:r>
    </w:p>
    <w:p>
      <w:pPr>
        <w:shd w:fill="F5F5F5" w:val="clear"/>
        <w:spacing w:after="120" w:before="80"/>
        <w:ind w:left="360" w:right="360"/>
      </w:pPr>
      <w:r>
        <w:rPr>
          <w:rFonts w:ascii="Courier New" w:cs="Courier New" w:eastAsia="Courier New" w:hAnsi="Courier New"/>
          <w:sz w:val="18"/>
          <w:szCs w:val="18"/>
        </w:rPr>
        <w:t xml:space="preserve">class TenancyEnforcer:
    def assert_can_write(self, context: TenantContext, target_tenant: str):
        if context.tenant_id != target_tenant:
            self.audit.record_violation(context, target_tenant)
            raise TenancyViolation(
                f'Tenant {context.tenant_id} cannot write to {target_tenant}'
            )
    def assert_can_read_cross_tenant(self, context: TenantContext):
        if not context.has_role('portfolio_aggregator'):
            raise TenancyViolation(
                'Only Portfolio Aggregator may read across tenants'
            )</w:t>
      </w:r>
    </w:p>
    <w:p>
      <w:r>
        <w:br w:type="page"/>
      </w:r>
    </w:p>
    <w:p>
      <w:pPr>
        <w:pStyle w:val="Heading1"/>
        <w:spacing w:after="200" w:before="360"/>
      </w:pPr>
      <w:r>
        <w:t xml:space="preserve">7. Testing Discipline</w:t>
      </w:r>
    </w:p>
    <w:p>
      <w:pPr>
        <w:spacing w:after="120" w:before="0"/>
      </w:pPr>
      <w:r>
        <w:t xml:space="preserve">Tests in layer_b/tests/ may use only synthetic fixture data. Real Antora data is not committed to layer_b tests under any circumstance.</w:t>
      </w:r>
    </w:p>
    <w:p>
      <w:pPr>
        <w:pStyle w:val="Heading2"/>
        <w:spacing w:after="160" w:before="280"/>
      </w:pPr>
      <w:r>
        <w:t xml:space="preserve">7.1 Synthetic Fixtures</w:t>
      </w:r>
    </w:p>
    <w:p>
      <w:pPr>
        <w:spacing w:after="120" w:before="0"/>
      </w:pPr>
      <w:r>
        <w:t xml:space="preserve">Test fixtures use made-up supplier names, made-up clause text, made-up email content. A canonical fixture set includes:</w:t>
      </w:r>
    </w:p>
    <w:p>
      <w:pPr>
        <w:pStyle w:val="ListParagraph"/>
        <w:numPr>
          <w:ilvl w:val="0"/>
          <w:numId w:val="2"/>
        </w:numPr>
        <w:spacing w:after="80"/>
      </w:pPr>
      <w:r>
        <w:t xml:space="preserve">Synthetic supplier names: "Acme Industrial", "Beta Manufacturing", "Gamma Components".</w:t>
      </w:r>
    </w:p>
    <w:p>
      <w:pPr>
        <w:pStyle w:val="ListParagraph"/>
        <w:numPr>
          <w:ilvl w:val="0"/>
          <w:numId w:val="2"/>
        </w:numPr>
        <w:spacing w:after="80"/>
      </w:pPr>
      <w:r>
        <w:t xml:space="preserve">Synthetic clause text: generic legal-style language with no resemblance to actual Antora MEPA content.</w:t>
      </w:r>
    </w:p>
    <w:p>
      <w:pPr>
        <w:pStyle w:val="ListParagraph"/>
        <w:numPr>
          <w:ilvl w:val="0"/>
          <w:numId w:val="2"/>
        </w:numPr>
        <w:spacing w:after="80"/>
      </w:pPr>
      <w:r>
        <w:t xml:space="preserve">Synthetic counter-proposal language: generic redlines that exercise the diff and analysis logic without revealing real positions.</w:t>
      </w:r>
    </w:p>
    <w:p>
      <w:pPr>
        <w:pStyle w:val="ListParagraph"/>
        <w:numPr>
          <w:ilvl w:val="0"/>
          <w:numId w:val="2"/>
        </w:numPr>
        <w:spacing w:after="80"/>
      </w:pPr>
      <w:r>
        <w:t xml:space="preserve">Synthetic email content: generic procurement correspondence patterns.</w:t>
      </w:r>
    </w:p>
    <w:p>
      <w:pPr>
        <w:pStyle w:val="Heading2"/>
        <w:spacing w:after="160" w:before="280"/>
      </w:pPr>
      <w:r>
        <w:t xml:space="preserve">7.2 Layer C Integration Tests</w:t>
      </w:r>
    </w:p>
    <w:p>
      <w:pPr>
        <w:spacing w:after="120" w:before="0"/>
      </w:pPr>
      <w:r>
        <w:t xml:space="preserve">Integration tests in layer_c_antora/tests/ may use real Antora content. These tests verify that the Antora-specific adapters and configuration produce correct behavior end-to-end.</w:t>
      </w:r>
    </w:p>
    <w:p>
      <w:pPr>
        <w:pStyle w:val="ListParagraph"/>
        <w:numPr>
          <w:ilvl w:val="0"/>
          <w:numId w:val="2"/>
        </w:numPr>
        <w:spacing w:after="80"/>
      </w:pPr>
      <w:r>
        <w:t xml:space="preserve">Layer C tests are not run in public CI environments.</w:t>
      </w:r>
    </w:p>
    <w:p>
      <w:pPr>
        <w:pStyle w:val="ListParagraph"/>
        <w:numPr>
          <w:ilvl w:val="0"/>
          <w:numId w:val="2"/>
        </w:numPr>
        <w:spacing w:after="80"/>
      </w:pPr>
      <w:r>
        <w:t xml:space="preserve">Layer C tests use redacted or anonymized real data; live confidential content is never committed.</w:t>
      </w:r>
    </w:p>
    <w:p>
      <w:pPr>
        <w:pStyle w:val="ListParagraph"/>
        <w:numPr>
          <w:ilvl w:val="0"/>
          <w:numId w:val="2"/>
        </w:numPr>
        <w:spacing w:after="80"/>
      </w:pPr>
      <w:r>
        <w:t xml:space="preserve">Layer C test data is reviewed by the Steering Group before commit.</w:t>
      </w:r>
    </w:p>
    <w:p>
      <w:pPr>
        <w:pStyle w:val="Heading2"/>
        <w:spacing w:after="160" w:before="280"/>
      </w:pPr>
      <w:r>
        <w:t xml:space="preserve">7.3 What CI Checks</w:t>
      </w:r>
    </w:p>
    <w:p>
      <w:pPr>
        <w:pStyle w:val="ListParagraph"/>
        <w:numPr>
          <w:ilvl w:val="0"/>
          <w:numId w:val="2"/>
        </w:numPr>
        <w:spacing w:after="80"/>
      </w:pPr>
      <w:r>
        <w:t xml:space="preserve">Static scan of layer_b/ for forbidden strings (supplier names from a maintained denylist, named individuals, internal channel IDs).</w:t>
      </w:r>
    </w:p>
    <w:p>
      <w:pPr>
        <w:pStyle w:val="ListParagraph"/>
        <w:numPr>
          <w:ilvl w:val="0"/>
          <w:numId w:val="2"/>
        </w:numPr>
        <w:spacing w:after="80"/>
      </w:pPr>
      <w:r>
        <w:t xml:space="preserve">Import boundary check: layer_b imports never reference layer_c.</w:t>
      </w:r>
    </w:p>
    <w:p>
      <w:pPr>
        <w:pStyle w:val="ListParagraph"/>
        <w:numPr>
          <w:ilvl w:val="0"/>
          <w:numId w:val="2"/>
        </w:numPr>
        <w:spacing w:after="80"/>
      </w:pPr>
      <w:r>
        <w:t xml:space="preserve">Adapter interface coverage: every external integration in layer_b is mediated by an abstract adapter.</w:t>
      </w:r>
    </w:p>
    <w:p>
      <w:pPr>
        <w:pStyle w:val="ListParagraph"/>
        <w:numPr>
          <w:ilvl w:val="0"/>
          <w:numId w:val="2"/>
        </w:numPr>
        <w:spacing w:after="80"/>
      </w:pPr>
      <w:r>
        <w:t xml:space="preserve">Test fixture audit: synthetic fixtures contain no terms from the denylist.</w:t>
      </w:r>
    </w:p>
    <w:p>
      <w:r>
        <w:br w:type="page"/>
      </w:r>
    </w:p>
    <w:p>
      <w:pPr>
        <w:pStyle w:val="Heading1"/>
        <w:spacing w:after="200" w:before="360"/>
      </w:pPr>
      <w:r>
        <w:t xml:space="preserve">8. Common Pitfalls and How to Avoid Them</w:t>
      </w:r>
    </w:p>
    <w:p>
      <w:pPr>
        <w:pStyle w:val="Heading2"/>
        <w:spacing w:after="160" w:before="280"/>
      </w:pPr>
      <w:r>
        <w:t xml:space="preserve">8.1 "It's just a small hardcode for now"</w:t>
      </w:r>
    </w:p>
    <w:p>
      <w:pPr>
        <w:spacing w:after="120" w:before="0"/>
      </w:pPr>
      <w:r>
        <w:t xml:space="preserve">Resist. Every hardcode is small, and each one is faster than parameterizing. The accumulation is what destroys the architecture. If you find yourself wanting to hard-code something for expediency, take 10 minutes and parameterize it properly. The discipline pays back many times.</w:t>
      </w:r>
    </w:p>
    <w:p>
      <w:pPr>
        <w:pStyle w:val="Heading2"/>
        <w:spacing w:after="160" w:before="280"/>
      </w:pPr>
      <w:r>
        <w:t xml:space="preserve">8.2 Inlining Playbook Positions in Prompts</w:t>
      </w:r>
    </w:p>
    <w:p>
      <w:pPr>
        <w:spacing w:after="120" w:before="0"/>
      </w:pPr>
      <w:r>
        <w:t xml:space="preserve">The temptation: it is faster to write "Antora's position on payment terms is Net 45..." inside the Agent 5 prompt template than to load it from playbook.json. Resist. Every position belongs in the playbook. The prompt template loads positions by ID at runtime.</w:t>
      </w:r>
    </w:p>
    <w:p>
      <w:pPr>
        <w:pStyle w:val="Heading2"/>
        <w:spacing w:after="160" w:before="280"/>
      </w:pPr>
      <w:r>
        <w:t xml:space="preserve">8.3 Embedding Stakeholder Names in Agent Logic</w:t>
      </w:r>
    </w:p>
    <w:p>
      <w:pPr>
        <w:spacing w:after="120" w:before="0"/>
      </w:pPr>
      <w:r>
        <w:t xml:space="preserve">Wrong: "if redline is critical, email sandelin.sikes@antora.energy". Right: "if redline is critical, email config.legal_reviewer_email". The configuration carries the identity.</w:t>
      </w:r>
    </w:p>
    <w:p>
      <w:pPr>
        <w:pStyle w:val="Heading2"/>
        <w:spacing w:after="160" w:before="280"/>
      </w:pPr>
      <w:r>
        <w:t xml:space="preserve">8.4 Test Fixtures Drifting Toward Real Data</w:t>
      </w:r>
    </w:p>
    <w:p>
      <w:pPr>
        <w:spacing w:after="120" w:before="0"/>
      </w:pPr>
      <w:r>
        <w:t xml:space="preserve">Engineers under pressure sometimes copy real Antora content into a test fixture because "it's faster than making one up". This is one of the most common discipline failures and one of the most damaging. Always invent synthetic data. The hour spent inventing fixtures pays back across the project lifetime.</w:t>
      </w:r>
    </w:p>
    <w:p>
      <w:pPr>
        <w:pStyle w:val="Heading2"/>
        <w:spacing w:after="160" w:before="280"/>
      </w:pPr>
      <w:r>
        <w:t xml:space="preserve">8.5 Adapter Bypass for One-Off Calls</w:t>
      </w:r>
    </w:p>
    <w:p>
      <w:pPr>
        <w:spacing w:after="120" w:before="0"/>
      </w:pPr>
      <w:r>
        <w:t xml:space="preserve">"This agent only needs one Gmail call and I do not want to add it to the adapter interface". Wrong. Add it to the adapter. The agent depends on the abstract interface, always.</w:t>
      </w:r>
    </w:p>
    <w:p>
      <w:pPr>
        <w:pStyle w:val="Heading2"/>
        <w:spacing w:after="160" w:before="280"/>
      </w:pPr>
      <w:r>
        <w:t xml:space="preserve">8.6 Configuration Bloat</w:t>
      </w:r>
    </w:p>
    <w:p>
      <w:pPr>
        <w:spacing w:after="120" w:before="0"/>
      </w:pPr>
      <w:r>
        <w:t xml:space="preserve">Avoid the opposite mistake: making everything configurable. Configuration is for values that vary between deployments or tenants. Generic constants that are universal (e.g., HTTP timeout default of 30 seconds) can live in layer_b as named constants.</w:t>
      </w:r>
    </w:p>
    <w:p>
      <w:r>
        <w:br w:type="page"/>
      </w:r>
    </w:p>
    <w:p>
      <w:pPr>
        <w:pStyle w:val="Heading1"/>
        <w:spacing w:after="200" w:before="360"/>
      </w:pPr>
      <w:r>
        <w:t xml:space="preserve">9. Maintenance and Evolution</w:t>
      </w:r>
    </w:p>
    <w:p>
      <w:pPr>
        <w:pStyle w:val="Heading2"/>
        <w:spacing w:after="160" w:before="280"/>
      </w:pPr>
      <w:r>
        <w:t xml:space="preserve">9.1 When the Playbook Changes</w:t>
      </w:r>
    </w:p>
    <w:p>
      <w:pPr>
        <w:spacing w:after="120" w:before="0"/>
      </w:pPr>
      <w:r>
        <w:rPr/>
        <w:t>Playbook changes are content updates, not code changes. Steering Group (Vincent + Sandelin) approves; the relevant playbook.json file is updated (a specific contract_type's playbook, e.g., layer_c_antora/content/mepa/playbook.json); the change is logged. No agent code changes; no deployment required if the system reloads playbooks periodically.</w:t>
      </w:r>
    </w:p>
    <w:p>
      <w:pPr>
        <w:pStyle w:val="Heading2"/>
        <w:spacing w:after="160" w:before="280"/>
      </w:pPr>
      <w:r>
        <w:t xml:space="preserve">9.2 When a New Tenant Onboards</w:t>
      </w:r>
    </w:p>
    <w:p>
      <w:pPr>
        <w:spacing w:after="120" w:before="0"/>
      </w:pPr>
      <w:r>
        <w:t xml:space="preserve">Tenant onboarding is a configuration update, not a code change. Add a tenant entry to deploy/acp_antora.yaml, provision their OAuth grants and Drive folder, restart the State Manager to pick up the new tenant. No new code.</w:t>
      </w:r>
    </w:p>
    <w:p>
      <w:pPr>
        <w:pStyle w:val="Heading2"/>
        <w:spacing w:after="160" w:before="280"/>
      </w:pPr>
      <w:r>
        <w:t xml:space="preserve">9.3 When a New Integration Is Added</w:t>
      </w:r>
    </w:p>
    <w:p>
      <w:pPr>
        <w:spacing w:after="120" w:before="0"/>
      </w:pPr>
      <w:r>
        <w:t xml:space="preserve">A new integration (e.g., adding Microsoft Teams notifications alongside Slack) requires: a new concrete adapter in layer_c_antora/adapters/, an entry in the deployment config. No agent code changes.</w:t>
      </w:r>
    </w:p>
    <w:p>
      <w:pPr>
        <w:pStyle w:val="Heading2"/>
        <w:spacing w:after="160" w:before="280"/>
      </w:pPr>
      <w:r>
        <w:t xml:space="preserve">9.4 When a New Agent Type Is Added</w:t>
      </w:r>
    </w:p>
    <w:p>
      <w:pPr>
        <w:spacing w:after="120" w:before="0"/>
      </w:pPr>
      <w:r>
        <w:t xml:space="preserve">A new agent type is a code change. It must follow all patterns: abstract interfaces only, configuration-driven, tenant-aware. Pull request reviewed against the patterns in this guide.</w:t>
      </w:r>
    </w:p>
    <w:p>
      <w:pPr>
        <w:pStyle w:val="Heading2"/>
        <w:spacing w:after="160" w:before="280"/>
      </w:pPr>
      <w:r>
        <w:t xml:space="preserve">9.5 When the Architecture Changes</w:t>
      </w:r>
    </w:p>
    <w:p>
      <w:pPr>
        <w:spacing w:after="120" w:before="0"/>
      </w:pPr>
      <w:r>
        <w:t xml:space="preserve">Architecture changes require Steering Group approval and a v2.x update to the Architecture Specification. This guide updates to match. Major changes (new layers, changed tenancy model) may require migration of existing data.</w:t>
      </w:r>
    </w:p>
    <w:p>
      <w:pPr>
        <w:spacing w:before="280" w:after="160"/>
        <w:outlineLvl w:val="1"/>
      </w:pPr>
      <w:r>
        <w:rPr>
          <w:rFonts w:ascii="Arial" w:hAnsi="Arial"/>
          <w:b/>
          <w:i w:val="0"/>
          <w:color w:val="2E75B6"/>
          <w:sz w:val="26"/>
        </w:rPr>
        <w:t>9.6 When a New Contract Type Is Added (Phase 6+)</w:t>
      </w:r>
    </w:p>
    <w:p>
      <w:pPr>
        <w:spacing w:after="120"/>
      </w:pPr>
      <w:r>
        <w:rPr>
          <w:rFonts w:ascii="Arial" w:hAnsi="Arial"/>
          <w:b w:val="0"/>
          <w:i w:val="0"/>
          <w:sz w:val="22"/>
        </w:rPr>
        <w:t>Adding a new contract type is a configuration and content change, not a code change. The process is described in Section 5.4 of this guide and Section 2.10 of the Architecture Spec. The Steering Group approves each contract type addition before the new content is committed. Engineering involvement is limited to verifying that no Layer B regressions are introduced and that the new contract_type value is correctly registered in contract_types.yaml.</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Antora Energy, Inc. — Confidential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jc w:val="right"/>
    </w:pPr>
    <w:r>
      <w:rPr>
        <w:i/>
        <w:iCs/>
        <w:color w:val="595959"/>
        <w:sz w:val="18"/>
        <w:szCs w:val="18"/>
      </w:rPr>
      <w:t>ACP Implementation Guide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 Implementation Guide v1.0</dc:title>
  <dc:creator>Vincent Calianno</dc:creator>
  <cp:lastModifiedBy>Un-named</cp:lastModifiedBy>
  <cp:revision>1</cp:revision>
  <dcterms:created xsi:type="dcterms:W3CDTF">2026-05-24T20:57:37.484Z</dcterms:created>
  <dcterms:modified xsi:type="dcterms:W3CDTF">2026-05-24T20:57:37.506Z</dcterms:modified>
</cp:coreProperties>
</file>

<file path=docProps/custom.xml><?xml version="1.0" encoding="utf-8"?>
<Properties xmlns="http://schemas.openxmlformats.org/officeDocument/2006/custom-properties" xmlns:vt="http://schemas.openxmlformats.org/officeDocument/2006/docPropsVTypes"/>
</file>