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60"/>
      </w:pPr>
      <w:r>
        <w:t xml:space="preserve"/>
      </w:r>
    </w:p>
    <w:p>
      <w:pPr>
        <w:spacing w:after="80"/>
        <w:jc w:val="center"/>
      </w:pPr>
      <w:r>
        <w:rPr>
          <w:rFonts w:ascii="Arial" w:cs="Arial" w:eastAsia="Arial" w:hAnsi="Arial"/>
          <w:b/>
          <w:bCs/>
          <w:color w:val="1F4E79"/>
          <w:sz w:val="52"/>
          <w:szCs w:val="52"/>
        </w:rPr>
        <w:t xml:space="preserve">Satellite-Derived Methane Emission Tracking</w:t>
      </w:r>
    </w:p>
    <w:p>
      <w:pPr>
        <w:spacing w:after="80"/>
        <w:jc w:val="center"/>
      </w:pPr>
      <w:r>
        <w:rPr>
          <w:rFonts w:ascii="Arial" w:cs="Arial" w:eastAsia="Arial" w:hAnsi="Arial"/>
          <w:b/>
          <w:bCs/>
          <w:color w:val="2E75B6"/>
          <w:sz w:val="36"/>
          <w:szCs w:val="36"/>
        </w:rPr>
        <w:t xml:space="preserve">Supplemental Experimental Results — Update 2</w:t>
      </w:r>
    </w:p>
    <w:p>
      <w:pPr>
        <w:pBdr>
          <w:bottom w:val="single" w:color="2E75B6" w:sz="8" w:space="4"/>
        </w:pBdr>
        <w:spacing w:after="200"/>
        <w:jc w:val="center"/>
      </w:pPr>
      <w:r>
        <w:rPr>
          <w:rFonts w:ascii="Arial" w:cs="Arial" w:eastAsia="Arial" w:hAnsi="Arial"/>
          <w:sz w:val="28"/>
          <w:szCs w:val="28"/>
        </w:rPr>
        <w:t xml:space="preserve"/>
      </w:r>
    </w:p>
    <w:p>
      <w:pPr>
        <w:spacing w:after="60"/>
      </w:pPr>
      <w:r>
        <w:t xml:space="preserve"/>
      </w:r>
    </w:p>
    <w:p>
      <w:pPr>
        <w:jc w:val="center"/>
      </w:pPr>
      <w:r>
        <w:rPr>
          <w:rFonts w:ascii="Arial" w:cs="Arial" w:eastAsia="Arial" w:hAnsi="Arial"/>
          <w:b/>
          <w:bCs/>
          <w:sz w:val="26"/>
          <w:szCs w:val="26"/>
        </w:rPr>
        <w:t xml:space="preserve">Columbia University MSOR  |  IEOR 4742  |  Prof. Ali Hirsa</w:t>
      </w:r>
    </w:p>
    <w:p>
      <w:pPr>
        <w:jc w:val="center"/>
      </w:pPr>
      <w:r>
        <w:rPr>
          <w:rFonts w:ascii="Arial" w:cs="Arial" w:eastAsia="Arial" w:hAnsi="Arial"/>
          <w:color w:val="555555"/>
          <w:sz w:val="24"/>
          <w:szCs w:val="24"/>
        </w:rPr>
        <w:t xml:space="preserve">Advisory: ECB / EIB Climate Stress Testing</w:t>
      </w:r>
    </w:p>
    <w:p>
      <w:pPr>
        <w:spacing w:before="80"/>
        <w:jc w:val="center"/>
      </w:pPr>
      <w:r>
        <w:rPr>
          <w:rFonts w:ascii="Arial" w:cs="Arial" w:eastAsia="Arial" w:hAnsi="Arial"/>
          <w:color w:val="555555"/>
          <w:sz w:val="24"/>
          <w:szCs w:val="24"/>
        </w:rPr>
        <w:t xml:space="preserve">April 2026</w:t>
      </w:r>
    </w:p>
    <w:p>
      <w:pPr>
        <w:spacing w:after="60"/>
      </w:pPr>
      <w:r>
        <w:t xml:space="preserve"/>
      </w:r>
    </w:p>
    <w:p>
      <w:pPr>
        <w:spacing w:after="60"/>
      </w:pPr>
      <w:r>
        <w:t xml:space="preserve"/>
      </w:r>
    </w:p>
    <w:p>
      <w:pPr>
        <w:spacing w:after="60"/>
      </w:pPr>
      <w:r>
        <w:t xml:space="preserve"/>
      </w:r>
    </w:p>
    <w:p>
      <w:pPr>
        <w:jc w:val="center"/>
      </w:pPr>
      <w:r>
        <w:rPr>
          <w:rFonts w:ascii="Arial" w:cs="Arial" w:eastAsia="Arial" w:hAnsi="Arial"/>
          <w:color w:val="444444"/>
          <w:sz w:val="22"/>
          <w:szCs w:val="22"/>
        </w:rPr>
        <w:t xml:space="preserve">This document covers all experiments conducted since the March 2026 report, including</w:t>
      </w:r>
    </w:p>
    <w:p>
      <w:pPr>
        <w:jc w:val="center"/>
      </w:pPr>
      <w:r>
        <w:rPr>
          <w:rFonts w:ascii="Arial" w:cs="Arial" w:eastAsia="Arial" w:hAnsi="Arial"/>
          <w:color w:val="444444"/>
          <w:sz w:val="22"/>
          <w:szCs w:val="22"/>
        </w:rPr>
        <w:t xml:space="preserve">exhaustive site validation, expanded JRC sweep, ring-profile gradient regression,</w:t>
      </w:r>
    </w:p>
    <w:p>
      <w:pPr>
        <w:jc w:val="center"/>
      </w:pPr>
      <w:r>
        <w:rPr>
          <w:rFonts w:ascii="Arial" w:cs="Arial" w:eastAsia="Arial" w:hAnsi="Arial"/>
          <w:color w:val="444444"/>
          <w:sz w:val="22"/>
          <w:szCs w:val="22"/>
        </w:rPr>
        <w:t xml:space="preserve">CEMF+IME quantification, and a comprehensive literature review of next steps.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1. Executive Summary</w:t>
      </w:r>
    </w:p>
    <w:p>
      <w:pPr>
        <w:spacing w:after="100"/>
      </w:pPr>
      <w:r>
        <w:rPr>
          <w:rFonts w:ascii="Arial" w:cs="Arial" w:eastAsia="Arial" w:hAnsi="Arial"/>
          <w:sz w:val="22"/>
          <w:szCs w:val="22"/>
        </w:rPr>
        <w:t xml:space="preserve">This update reports results from two major overnight experiments conducted on 2–3 April 2026, plus analysis runs computing ring-profile gradient regression and CEMF+IME emission quantification. All work uses the v2 model (CH4Net, div_factor=8, 214K parameters, retrained on 8,255 samples from HuggingFace av555/ch4net).</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Exhaustive validation (19 emitters + 8 controls, Jun–Aug 2024 imagery):</w:t>
      </w:r>
      <w:r>
        <w:rPr>
          <w:rFonts w:ascii="Arial" w:cs="Arial" w:eastAsia="Arial" w:hAnsi="Arial"/>
          <w:sz w:val="22"/>
          <w:szCs w:val="22"/>
        </w:rPr>
        <w:t xml:space="preserve"> Groningen gas field remains the only site with a strong, unambiguous spatial signal (S/C = 4.191). Maasvlakte coal plant shows elevated precision (83%) at very low event count. Three sites — Irsching, Cordemais, and Avedore — produce zero events at the plant, confirming complete suppression on gas/coal European terrain. Control site Swabian Alb returned an S/C of 1.381, equal to several emitter sites, indicating the S/C threshold must be raised above 1.5 for reliable discrimination.</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Expanded JRC lignite sweep + multidate validation:</w:t>
      </w:r>
      <w:r>
        <w:rPr>
          <w:rFonts w:ascii="Arial" w:cs="Arial" w:eastAsia="Arial" w:hAnsi="Arial"/>
          <w:sz w:val="22"/>
          <w:szCs w:val="22"/>
        </w:rPr>
        <w:t xml:space="preserve"> Weisweiler (S/C = 2.091) is confirmed as the only non-gas-field site with a reproducible signal: second independent acquisition on Aug 29 yields identical S/C and a clean near-field ring decay (Precision@10km = 10.7%). Boxberg drops from 1.855 to 1.517 across two dates and sits only 8.6% above the Lausitz rural control background (1.397), making it marginal. Rybnik is confirmed terrain (ring profile increases outward). Neurath and Jänschwalde remain at S/C = 1.000 — a confirmed pipeline coordinate bug.</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Ring-profile gradient regression:</w:t>
      </w:r>
      <w:r>
        <w:rPr>
          <w:rFonts w:ascii="Arial" w:cs="Arial" w:eastAsia="Arial" w:hAnsi="Arial"/>
          <w:sz w:val="22"/>
          <w:szCs w:val="22"/>
        </w:rPr>
        <w:t xml:space="preserve"> A novel distance-decay metric reveals that Pocerady (gradient = +12.8) and Brindisi (+12.5) show strong radial concentration near the plant, while Groningen shows the opposite pattern (gradient = -15.9), meaning probability increases with distance — consistent with a diffuse geological field rather than a point-source plume.</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CEMF+IME quantification (bug-corrected):</w:t>
      </w:r>
      <w:r>
        <w:rPr>
          <w:rFonts w:ascii="Arial" w:cs="Arial" w:eastAsia="Arial" w:hAnsi="Arial"/>
          <w:sz w:val="22"/>
          <w:szCs w:val="22"/>
        </w:rPr>
        <w:t xml:space="preserve"> After correcting the CEMF sensitivity coefficient from 1e-9 to 4×10⁻⁷ (per Varon et al. 2021, AMT), Groningen returns 28.8 kg/hr (range 17.3–40.3), and Maasvlakte returns 426.5 kg/hr (range 255.9–597.1). The Groningen estimate is consistent with a field operating well below its historic capacity in mid-2024 post-curtailment. Maasvlakte's higher rate suggests a genuine plume signal, though further validation is needed.</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No site scores 3/3 across all three metrics</w:t>
      </w:r>
      <w:r>
        <w:rPr>
          <w:rFonts w:ascii="Arial" w:cs="Arial" w:eastAsia="Arial" w:hAnsi="Arial"/>
          <w:sz w:val="22"/>
          <w:szCs w:val="22"/>
        </w:rPr>
        <w:t xml:space="preserve"> (S/C &gt; 1.5, gradient consistent, events co-located). The composite picture confirms the v2 model has directional sensitivity but not reliable quantitative precision over European terrain. A regression-based re-architecture and targeted European retraining are the priority next steps.</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2. Exhaustive Validation Run — April 2026</w:t>
      </w:r>
    </w:p>
    <w:p>
      <w:pPr>
        <w:pStyle w:val="Heading2"/>
        <w:spacing w:after="80" w:before="240"/>
      </w:pPr>
      <w:r>
        <w:rPr>
          <w:rFonts w:ascii="Arial" w:cs="Arial" w:eastAsia="Arial" w:hAnsi="Arial"/>
          <w:b/>
          <w:bCs/>
          <w:color w:val="2E75B6"/>
          <w:sz w:val="28"/>
          <w:szCs w:val="28"/>
        </w:rPr>
        <w:t xml:space="preserve">2.1 Overview</w:t>
      </w:r>
    </w:p>
    <w:p>
      <w:pPr>
        <w:spacing w:after="100"/>
      </w:pPr>
      <w:r>
        <w:rPr>
          <w:rFonts w:ascii="Arial" w:cs="Arial" w:eastAsia="Arial" w:hAnsi="Arial"/>
          <w:sz w:val="22"/>
          <w:szCs w:val="22"/>
        </w:rPr>
        <w:t xml:space="preserve">The exhaustive validation run processed 19 known-emitter sites and 8 blank control sites across 7 European countries using the v2 model on Sentinel-2 L1C imagery from June–August 2024. The run used a maximum of 1 product per site (lowest cloud cover), threshold 0.18, and a 20 km offset control crop for the Signal-to-Control (S/C) ratio.</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2.2 Signal-to-Control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200"/>
        <w:gridCol w:w="1000"/>
        <w:gridCol w:w="900"/>
        <w:gridCol w:w="900"/>
        <w:gridCol w:w="3180"/>
      </w:tblGrid>
      <w:tr>
        <w:trPr>
          <w:tblHeader/>
        </w:trP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Site</w:t>
            </w:r>
          </w:p>
        </w:tc>
        <w:tc>
          <w:tcPr>
            <w:tcW w:type="dxa" w:w="7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Cty</w:t>
            </w:r>
          </w:p>
        </w:tc>
        <w:tc>
          <w:tcPr>
            <w:tcW w:type="dxa" w:w="1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Fuel</w:t>
            </w:r>
          </w:p>
        </w:tc>
        <w:tc>
          <w:tcPr>
            <w:tcW w:type="dxa" w:w="1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S/C</w:t>
            </w:r>
          </w:p>
        </w:tc>
        <w:tc>
          <w:tcPr>
            <w:tcW w:type="dxa" w:w="9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Events</w:t>
            </w:r>
          </w:p>
        </w:tc>
        <w:tc>
          <w:tcPr>
            <w:tcW w:type="dxa" w:w="9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Prec.</w:t>
            </w:r>
          </w:p>
        </w:tc>
        <w:tc>
          <w:tcPr>
            <w:tcW w:type="dxa" w:w="31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Verdict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groningen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NL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gas field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4.191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33%</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STRONG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maasvlakte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NL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1.272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83%</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elevated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belchatow</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PL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0.959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99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neutral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dunkerque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FR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mixed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0.741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8%</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neutral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larobla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0.296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2140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neutral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brindisi</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IT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2029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events near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pocerady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CZ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785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events near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irsching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DE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gas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nothing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cordemais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FR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nothing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avedore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DK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gas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259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nothing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philippsburg (closed)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neutral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ctrl_de_swabian_alb</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DE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control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1.381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elevated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ctrl_dk_jutland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DK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control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0.833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123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neutral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ctrl_nl_flevoland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NL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control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0.405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50%</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neutral</w:t>
            </w:r>
          </w:p>
        </w:tc>
      </w:tr>
    </w:tbl>
    <w:p>
      <w:pPr>
        <w:spacing w:after="60"/>
      </w:pPr>
      <w:r>
        <w:t xml:space="preserve"/>
      </w:r>
    </w:p>
    <w:p>
      <w:pPr>
        <w:spacing w:after="100"/>
      </w:pPr>
      <w:r>
        <w:rPr>
          <w:rFonts w:ascii="Arial" w:cs="Arial" w:eastAsia="Arial" w:hAnsi="Arial"/>
          <w:b/>
          <w:bCs/>
          <w:sz w:val="22"/>
          <w:szCs w:val="22"/>
        </w:rPr>
        <w:t xml:space="preserve">Key findings:</w:t>
      </w:r>
      <w:r>
        <w:rPr>
          <w:rFonts w:ascii="Arial" w:cs="Arial" w:eastAsia="Arial" w:hAnsi="Arial"/>
          <w:sz w:val="22"/>
          <w:szCs w:val="22"/>
        </w:rPr>
        <w:t xml:space="preserve"> Only Groningen (S/C = 4.191) exceeds the strong-signal threshold of 1.5 with a meaningful number of events and non-trivial precision. The control site Swabian Alb returns S/C = 1.381, which is equal to or higher than several emitter sites (belchatow, dunkerque, larobla), indicating that the 1.5 threshold cannot reliably discriminate emitters from controls using S/C alone on European terrain.</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2.3 Threshold Sensitivity</w:t>
      </w:r>
    </w:p>
    <w:p>
      <w:pPr>
        <w:spacing w:after="100"/>
      </w:pPr>
      <w:r>
        <w:rPr>
          <w:rFonts w:ascii="Arial" w:cs="Arial" w:eastAsia="Arial" w:hAnsi="Arial"/>
          <w:sz w:val="22"/>
          <w:szCs w:val="22"/>
        </w:rPr>
        <w:t xml:space="preserve">Maasvlakte stands out as the only site with precision &gt;80% at any threshold: 5 of 6 detected events fall within 5 km of the plant. However, the total event count is so low (6 events) that this precision may be sample-noise artefact rather than genuine plume detection. Bełchatow and Larobla generate high event counts (99 and 2,140 respectively) but at low precision (5% and 3%), suggesting most events are background terrain activations.</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2.4 Emitter Misses</w:t>
      </w:r>
    </w:p>
    <w:p>
      <w:pPr>
        <w:spacing w:after="100"/>
      </w:pPr>
      <w:r>
        <w:rPr>
          <w:rFonts w:ascii="Arial" w:cs="Arial" w:eastAsia="Arial" w:hAnsi="Arial"/>
          <w:sz w:val="22"/>
          <w:szCs w:val="22"/>
        </w:rPr>
        <w:t xml:space="preserve">Three active gas/mixed-fuel sites return zero events within 10 km and zero spatial signal: Irsching (Bavaria gas, 1,040 MW), Cordemais (Loire coal, 1,200 MW), and Avedore (Copenhagen gas, 495 MW). These sites likely failed because their terrain type (river-valley, coastal, urban-fringe) produces lower overall background activation, and any real methane plume is below the detection threshold with only one cloud-free acquisition sampled.</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3. Expanded JRC Lignite Sweep — April 2026</w:t>
      </w:r>
    </w:p>
    <w:p>
      <w:pPr>
        <w:pStyle w:val="Heading2"/>
        <w:spacing w:after="80" w:before="240"/>
      </w:pPr>
      <w:r>
        <w:rPr>
          <w:rFonts w:ascii="Arial" w:cs="Arial" w:eastAsia="Arial" w:hAnsi="Arial"/>
          <w:b/>
          <w:bCs/>
          <w:color w:val="2E75B6"/>
          <w:sz w:val="28"/>
          <w:szCs w:val="28"/>
        </w:rPr>
        <w:t xml:space="preserve">3.1 Overview</w:t>
      </w:r>
    </w:p>
    <w:p>
      <w:pPr>
        <w:spacing w:after="100"/>
      </w:pPr>
      <w:r>
        <w:rPr>
          <w:rFonts w:ascii="Arial" w:cs="Arial" w:eastAsia="Arial" w:hAnsi="Arial"/>
          <w:sz w:val="22"/>
          <w:szCs w:val="22"/>
        </w:rPr>
        <w:t xml:space="preserve">The expanded run processed 19 major European power plants (primarily lignite/hard coal) plus 4 blank controls, targeting JRC-PPDB sites with capacity &gt;650 MW not covered in the exhaustive validation. Two passes were run: an initial sweep (Jun–Aug 2024, 1 product per site) followed by a second targeted pass on Weisweiler, Boxberg, and Rybnik (May–Sep 2024, up to 4 products per site) to test cross-date consistency. All runs use model v2 at threshold 0.18.</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3.2 Results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700"/>
        <w:gridCol w:w="1300"/>
        <w:gridCol w:w="1000"/>
        <w:gridCol w:w="900"/>
        <w:gridCol w:w="3180"/>
      </w:tblGrid>
      <w:tr>
        <w:trPr>
          <w:tblHeader/>
        </w:trPr>
        <w:tc>
          <w:tcPr>
            <w:tcW w:type="dxa" w:w="21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Site</w:t>
            </w:r>
          </w:p>
        </w:tc>
        <w:tc>
          <w:tcPr>
            <w:tcW w:type="dxa" w:w="9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MW</w:t>
            </w:r>
          </w:p>
        </w:tc>
        <w:tc>
          <w:tcPr>
            <w:tcW w:type="dxa" w:w="7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Cty</w:t>
            </w:r>
          </w:p>
        </w:tc>
        <w:tc>
          <w:tcPr>
            <w:tcW w:type="dxa" w:w="13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Fuel</w:t>
            </w:r>
          </w:p>
        </w:tc>
        <w:tc>
          <w:tcPr>
            <w:tcW w:type="dxa" w:w="1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S/C</w:t>
            </w:r>
          </w:p>
        </w:tc>
        <w:tc>
          <w:tcPr>
            <w:tcW w:type="dxa" w:w="9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Events</w:t>
            </w:r>
          </w:p>
        </w:tc>
        <w:tc>
          <w:tcPr>
            <w:tcW w:type="dxa" w:w="31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Verdict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weisweiler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1800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DE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lignite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2.091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56</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STRONG</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boxberg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2575</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DE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lignite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1.855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52</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STRONG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rybnik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1720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PL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hard coal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1.492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168</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elevated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datteln4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1100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DE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hard coal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1.293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elevated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neurath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4400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DE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lignite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9</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nothing</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janschwalde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3000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DE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lignite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52</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nothing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maritsa_east2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1450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BG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lignite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0.699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5577</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events near</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rovinari</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990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RO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lignite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0.395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4161</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events near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tusimice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800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CZ</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lignite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588</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events near</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lippendorf</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1800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DE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lignite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1542</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nothing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schwarze_pumpe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1600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DE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lignite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91</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nothing</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mannheim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1975</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DE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hard coal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291</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nothing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ctrl_lausitz_rural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DE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control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1.397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1542</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elevated</w:t>
            </w:r>
          </w:p>
        </w:tc>
      </w:tr>
    </w:tbl>
    <w:p>
      <w:pPr>
        <w:spacing w:after="60"/>
      </w:pPr>
      <w:r>
        <w:t xml:space="preserve"/>
      </w:r>
    </w:p>
    <w:p>
      <w:pPr>
        <w:pStyle w:val="Heading2"/>
        <w:spacing w:after="80" w:before="240"/>
      </w:pPr>
      <w:r>
        <w:rPr>
          <w:rFonts w:ascii="Arial" w:cs="Arial" w:eastAsia="Arial" w:hAnsi="Arial"/>
          <w:b/>
          <w:bCs/>
          <w:color w:val="2E75B6"/>
          <w:sz w:val="28"/>
          <w:szCs w:val="28"/>
        </w:rPr>
        <w:t xml:space="preserve">3.3 Key Findings</w:t>
      </w:r>
    </w:p>
    <w:p>
      <w:pPr>
        <w:spacing w:after="100"/>
      </w:pPr>
      <w:r>
        <w:rPr>
          <w:rFonts w:ascii="Arial" w:cs="Arial" w:eastAsia="Arial" w:hAnsi="Arial"/>
          <w:b/>
          <w:bCs/>
          <w:sz w:val="22"/>
          <w:szCs w:val="22"/>
        </w:rPr>
        <w:t xml:space="preserve">Weisweiler — confirmed strongest non-gas-field signal:</w:t>
      </w:r>
      <w:r>
        <w:rPr>
          <w:rFonts w:ascii="Arial" w:cs="Arial" w:eastAsia="Arial" w:hAnsi="Arial"/>
          <w:sz w:val="22"/>
          <w:szCs w:val="22"/>
        </w:rPr>
        <w:t xml:space="preserve"> S/C=2.091 reproduced on an independent August 29 acquisition (T32ULB). Ring profile shows clear near-field decay: 0–5 km mean=0.0075 dropping to 0.0058 at 5–10 km and 0.0051 at 10–15 km, with Precision@10km=10.7% (6 events within 10 km, 22 within 20 km, best confidence 0.976). This is the only lignite site with simultaneously elevated S/C, near-field ring decay, and non-trivial precision. Of all non-gas-field sites, Weisweiler most closely satisfies the three-metric quality criterion.</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Boxberg — marginal above regional background:</w:t>
      </w:r>
      <w:r>
        <w:rPr>
          <w:rFonts w:ascii="Arial" w:cs="Arial" w:eastAsia="Arial" w:hAnsi="Arial"/>
          <w:sz w:val="22"/>
          <w:szCs w:val="22"/>
        </w:rPr>
        <w:t xml:space="preserve"> S/C dropped from 1.855 (first run) to 1.517 (August 27, T33UVT). Ring profile is nearly flat from 10 km outward (0.00766 → 0.00628 → 0.00607 → 0.00600). Critically, the </w:t>
      </w:r>
      <w:r>
        <w:rPr>
          <w:rFonts w:ascii="Arial" w:cs="Arial" w:eastAsia="Arial" w:hAnsi="Arial"/>
          <w:b/>
          <w:bCs/>
          <w:sz w:val="22"/>
          <w:szCs w:val="22"/>
        </w:rPr>
        <w:t xml:space="preserve">ctrl_de_lausitz_rural</w:t>
      </w:r>
      <w:r>
        <w:rPr>
          <w:rFonts w:ascii="Arial" w:cs="Arial" w:eastAsia="Arial" w:hAnsi="Arial"/>
          <w:sz w:val="22"/>
          <w:szCs w:val="22"/>
        </w:rPr>
        <w:t xml:space="preserve"> control site returns S/C=1.397, representing the intrinsic model activation for rural Lausitz terrain. Boxberg's 1.517 is only 8.6% above this background, substantially weakening the attribution of its elevated S/C to actual methane emission.</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Rybnik — confirmed terrain artefact:</w:t>
      </w:r>
      <w:r>
        <w:rPr>
          <w:rFonts w:ascii="Arial" w:cs="Arial" w:eastAsia="Arial" w:hAnsi="Arial"/>
          <w:sz w:val="22"/>
          <w:szCs w:val="22"/>
        </w:rPr>
        <w:t xml:space="preserve"> S/C dropped from 1.492 to 1.220 across two independent acquisitions, and the ring profile definitively increases outward: 0–5 km=0.00867 → 5–10 km=0.00870 → 10–15 km=0.00885 → 15–20 km=0.00904. An increasing ring gradient (negative gradient score) is the diagnostic signature of uniform terrain activation, not a point source. The Upper Silesian Coal Basin generates 168 events per tile at density 13.9/1000 km², confirming the region is broadly activated. Despite Rybnik being co-located with TROPOMI-confirmed coal mine methane in the literature, CH4Net is not detecting the mine — it is responding to the industrial landscape generally.</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Neurath and Jänschwalde anomaly:</w:t>
      </w:r>
      <w:r>
        <w:rPr>
          <w:rFonts w:ascii="Arial" w:cs="Arial" w:eastAsia="Arial" w:hAnsi="Arial"/>
          <w:sz w:val="22"/>
          <w:szCs w:val="22"/>
        </w:rPr>
        <w:t xml:space="preserve"> Both return exactly S/C = 1.000 across multiple acquisitions. The ring profile for both is perfectly flat at 0.005419 for every ring from 0 to 15 km — the identical value as the control crop mean probability. This is arithmetically impossible for a random ratio and confirms a coordinate or tile-boundary bug where the plant and control crops land on the same pixels. These results are not interpretable until the pipeline coordinate bug is fixed and the sites are re-run.</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Eastern European high-event sites:</w:t>
      </w:r>
      <w:r>
        <w:rPr>
          <w:rFonts w:ascii="Arial" w:cs="Arial" w:eastAsia="Arial" w:hAnsi="Arial"/>
          <w:sz w:val="22"/>
          <w:szCs w:val="22"/>
        </w:rPr>
        <w:t xml:space="preserve"> Maritsa East 2 (Bulgaria), Rovinari (Romania), and Turceni (Romania) generate 4,000–6,000 events per tile but with suppressed S/C ratios (0.10–0.70). This pattern — high total events, low spatial specificity — is characteristic of terrain-driven false positives on arid Eastern European terrain requiring dedicated negative training samples.</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Lausitz regional background = 1.397:</w:t>
      </w:r>
      <w:r>
        <w:rPr>
          <w:rFonts w:ascii="Arial" w:cs="Arial" w:eastAsia="Arial" w:hAnsi="Arial"/>
          <w:sz w:val="22"/>
          <w:szCs w:val="22"/>
        </w:rPr>
        <w:t xml:space="preserve"> The ctrl_de_lausitz_rural control confirms that Lausitz-region rural terrain has an intrinsic S/C activation of ~1.4. This provides a site-specific, terrain-aware detection threshold: for Lausitz sites, the minimum credible S/C for a genuine signal is not 1.5 (the global threshold) but closer to 1.8–2.0. Weisweiler (2.091) clears this bar; Boxberg (1.517) does not.</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4. Ring-Profile Gradient Regression</w:t>
      </w:r>
    </w:p>
    <w:p>
      <w:pPr>
        <w:pStyle w:val="Heading2"/>
        <w:spacing w:after="80" w:before="240"/>
      </w:pPr>
      <w:r>
        <w:rPr>
          <w:rFonts w:ascii="Arial" w:cs="Arial" w:eastAsia="Arial" w:hAnsi="Arial"/>
          <w:b/>
          <w:bCs/>
          <w:color w:val="2E75B6"/>
          <w:sz w:val="28"/>
          <w:szCs w:val="28"/>
        </w:rPr>
        <w:t xml:space="preserve">4.1 Methodology</w:t>
      </w:r>
    </w:p>
    <w:p>
      <w:pPr>
        <w:spacing w:after="100"/>
      </w:pPr>
      <w:r>
        <w:rPr>
          <w:rFonts w:ascii="Arial" w:cs="Arial" w:eastAsia="Arial" w:hAnsi="Arial"/>
          <w:sz w:val="22"/>
          <w:szCs w:val="22"/>
        </w:rPr>
        <w:t xml:space="preserve">The ring-profile gradient regression is a novel spatial analysis metric developed for this project. For each site, mean CH4Net probability is computed in 10 concentric annular rings of width 5 km, extending from 0–5 km (innermost) to 45–50 km (outermost) from the plant centroid. A log-linear regression is then fit:</w:t>
      </w:r>
    </w:p>
    <w:p>
      <w:pPr>
        <w:spacing w:after="100"/>
      </w:pPr>
      <w:r>
        <w:rPr>
          <w:rFonts w:ascii="Arial" w:cs="Arial" w:eastAsia="Arial" w:hAnsi="Arial"/>
          <w:sz w:val="22"/>
          <w:szCs w:val="22"/>
        </w:rPr>
        <w:t xml:space="preserve"/>
      </w:r>
    </w:p>
    <w:p>
      <w:pPr>
        <w:jc w:val="center"/>
      </w:pPr>
      <w:r>
        <w:rPr>
          <w:rFonts w:ascii="Courier New" w:cs="Courier New" w:eastAsia="Courier New" w:hAnsi="Courier New"/>
          <w:color w:val="333333"/>
          <w:sz w:val="20"/>
          <w:szCs w:val="20"/>
        </w:rPr>
        <w:t xml:space="preserve">log(mean_prob) = a + b × distance_km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w:t>
      </w:r>
      <w:r>
        <w:rPr>
          <w:rFonts w:ascii="Arial" w:cs="Arial" w:eastAsia="Arial" w:hAnsi="Arial"/>
          <w:b/>
          <w:bCs/>
          <w:sz w:val="22"/>
          <w:szCs w:val="22"/>
        </w:rPr>
        <w:t xml:space="preserve">gradient score</w:t>
      </w:r>
      <w:r>
        <w:rPr>
          <w:rFonts w:ascii="Arial" w:cs="Arial" w:eastAsia="Arial" w:hAnsi="Arial"/>
          <w:sz w:val="22"/>
          <w:szCs w:val="22"/>
        </w:rPr>
        <w:t xml:space="preserve"> = -b × 1000. A positive gradient score indicates that probability decreases with distance (near-field concentration consistent with a point source or local terrain feature). A negative gradient score indicates probability increases with distance (outward pattern, inconsistent with point-source emission). The near-far ratio is the mean probability in ring 0–5 km divided by mean probability in ring 45–50 km.</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4.2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700"/>
        <w:gridCol w:w="900"/>
        <w:gridCol w:w="900"/>
        <w:gridCol w:w="3480"/>
      </w:tblGrid>
      <w:tr>
        <w:trPr>
          <w:tblHeader/>
        </w:trPr>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Site</w:t>
            </w:r>
          </w:p>
        </w:tc>
        <w:tc>
          <w:tcPr>
            <w:tcW w:type="dxa" w:w="1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Type</w:t>
            </w:r>
          </w:p>
        </w:tc>
        <w:tc>
          <w:tcPr>
            <w:tcW w:type="dxa" w:w="9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Gradient</w:t>
            </w:r>
          </w:p>
        </w:tc>
        <w:tc>
          <w:tcPr>
            <w:tcW w:type="dxa" w:w="7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R²</w:t>
            </w:r>
          </w:p>
        </w:tc>
        <w:tc>
          <w:tcPr>
            <w:tcW w:type="dxa" w:w="9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Near/Far</w:t>
            </w:r>
          </w:p>
        </w:tc>
        <w:tc>
          <w:tcPr>
            <w:tcW w:type="dxa" w:w="9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Events</w:t>
            </w:r>
          </w:p>
        </w:tc>
        <w:tc>
          <w:tcPr>
            <w:tcW w:type="dxa" w:w="34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Interpretation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pocerady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emitter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75623"/>
                <w:sz w:val="20"/>
                <w:szCs w:val="20"/>
              </w:rPr>
              <w:t xml:space="preserve">+12.82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0.535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2.22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785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Strong near-field concentration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brindisi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emitter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75623"/>
                <w:sz w:val="20"/>
                <w:szCs w:val="20"/>
              </w:rPr>
              <w:t xml:space="preserve">+12.49</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0.801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1.97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2029</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Strong near-field concentration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ctrl_nl_flevoland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control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843C0C"/>
                <w:sz w:val="20"/>
                <w:szCs w:val="20"/>
              </w:rPr>
              <w:t xml:space="preserve">+11.41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0.872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1.44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Spurious — only 4 events total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irsching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emitter (miss)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7F6000"/>
                <w:sz w:val="20"/>
                <w:szCs w:val="20"/>
              </w:rPr>
              <w:t xml:space="preserve">+10.19</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0.829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1.54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38</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Near-field only, few events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belchatow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emitter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7F6000"/>
                <w:sz w:val="20"/>
                <w:szCs w:val="20"/>
              </w:rPr>
              <w:t xml:space="preserve">+6.02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0.771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1.41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99</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Weak near-field concentration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ctrl_fr_berry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control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843C0C"/>
                <w:sz w:val="20"/>
                <w:szCs w:val="20"/>
              </w:rPr>
              <w:t xml:space="preserve">+6.01</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0.453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1.52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688</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Near-field artefact on control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maasvlakte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emitter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7F6000"/>
                <w:sz w:val="20"/>
                <w:szCs w:val="20"/>
              </w:rPr>
              <w:t xml:space="preserve">+5.62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1.35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Very few events — uncertain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dunkerque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emitter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7F6000"/>
                <w:sz w:val="20"/>
                <w:szCs w:val="20"/>
              </w:rPr>
              <w:t xml:space="preserve">+5.42</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0.589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1.37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13</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Low event 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larobla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emitter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7F6000"/>
                <w:sz w:val="20"/>
                <w:szCs w:val="20"/>
              </w:rPr>
              <w:t xml:space="preserve">+4.16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0.191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1.17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2140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Weak, low R² — noisy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ctrl_it_basilicata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control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7F6000"/>
                <w:sz w:val="20"/>
                <w:szCs w:val="20"/>
              </w:rPr>
              <w:t xml:space="preserve">+3.26</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0.310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1.10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273</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Marginal, terrain artefact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philippsburg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emitter (closed)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7F6000"/>
                <w:sz w:val="20"/>
                <w:szCs w:val="20"/>
              </w:rPr>
              <w:t xml:space="preserve">+1.16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0.245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Near-flat — expected (closed)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ctrl_de_swabian_alb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control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75623"/>
                <w:sz w:val="20"/>
                <w:szCs w:val="20"/>
              </w:rPr>
              <w:t xml:space="preserve">-0.87</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0.177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0.98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47</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Flat — good control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ctrl_dk_jutland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control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75623"/>
                <w:sz w:val="20"/>
                <w:szCs w:val="20"/>
              </w:rPr>
              <w:t xml:space="preserve">-1.06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0.116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0.88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123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Flat — good control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cordemais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emitter (miss)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843C0C"/>
                <w:sz w:val="20"/>
                <w:szCs w:val="20"/>
              </w:rPr>
              <w:t xml:space="preserve">-2.00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0.159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0.88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48</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Increasing with distance — noise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ctrl_pl_mazovia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control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843C0C"/>
                <w:sz w:val="20"/>
                <w:szCs w:val="20"/>
              </w:rPr>
              <w:t xml:space="preserve">-6.38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0.389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0.90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205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Probability rises with distance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ctrl_es_castilla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control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843C0C"/>
                <w:sz w:val="20"/>
                <w:szCs w:val="20"/>
              </w:rPr>
              <w:t xml:space="preserve">-6.55</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0.841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5656</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Strong outward gradient — terrain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avedore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emitter (miss)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843C0C"/>
                <w:sz w:val="20"/>
                <w:szCs w:val="20"/>
              </w:rPr>
              <w:t xml:space="preserve">-8.22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0.305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0.51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259</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Strong outward gradient — urban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ctrl_cz_bohemia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control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843C0C"/>
                <w:sz w:val="20"/>
                <w:szCs w:val="20"/>
              </w:rPr>
              <w:t xml:space="preserve">-13.78</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0.823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307</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Very strong outward gradient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groningen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emitter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7F6000"/>
                <w:sz w:val="20"/>
                <w:szCs w:val="20"/>
              </w:rPr>
              <w:t xml:space="preserve">-15.90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0.812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0.58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Diffuse field — not point source</w:t>
            </w:r>
          </w:p>
        </w:tc>
      </w:tr>
    </w:tbl>
    <w:p>
      <w:pPr>
        <w:spacing w:after="60"/>
      </w:pPr>
      <w:r>
        <w:t xml:space="preserve"/>
      </w:r>
    </w:p>
    <w:p>
      <w:pPr>
        <w:pStyle w:val="Heading2"/>
        <w:spacing w:after="80" w:before="240"/>
      </w:pPr>
      <w:r>
        <w:rPr>
          <w:rFonts w:ascii="Arial" w:cs="Arial" w:eastAsia="Arial" w:hAnsi="Arial"/>
          <w:b/>
          <w:bCs/>
          <w:color w:val="2E75B6"/>
          <w:sz w:val="28"/>
          <w:szCs w:val="28"/>
        </w:rPr>
        <w:t xml:space="preserve">4.3 Interpretation</w:t>
      </w:r>
    </w:p>
    <w:p>
      <w:pPr>
        <w:spacing w:after="100"/>
      </w:pPr>
      <w:r>
        <w:rPr>
          <w:rFonts w:ascii="Arial" w:cs="Arial" w:eastAsia="Arial" w:hAnsi="Arial"/>
          <w:b/>
          <w:bCs/>
          <w:sz w:val="22"/>
          <w:szCs w:val="22"/>
        </w:rPr>
        <w:t xml:space="preserve">Pocerady and Brindisi</w:t>
      </w:r>
      <w:r>
        <w:rPr>
          <w:rFonts w:ascii="Arial" w:cs="Arial" w:eastAsia="Arial" w:hAnsi="Arial"/>
          <w:sz w:val="22"/>
          <w:szCs w:val="22"/>
        </w:rPr>
        <w:t xml:space="preserve"> top the gradient table (+12.8 and +12.5) with high R² values (0.54 and 0.80), meaning the log-linear model fits well and the probability distribution is systematically more concentrated near the plant. Both are large lignite plants in densely industrialised regions (Czech Republic and southern Italy respectively). This could indicate genuine near-field CH4 emission, but could equally reflect terrain homogeneity near large industrial infrastructure.</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Groningen paradox:</w:t>
      </w:r>
      <w:r>
        <w:rPr>
          <w:rFonts w:ascii="Arial" w:cs="Arial" w:eastAsia="Arial" w:hAnsi="Arial"/>
          <w:sz w:val="22"/>
          <w:szCs w:val="22"/>
        </w:rPr>
        <w:t xml:space="preserve"> The only site with a strong S/C ratio (4.191) has the most negative gradient score (-15.9). This is internally consistent: Groningen is a geological gas field spread over hundreds of square kilometres, not a point source. Probability is diffuse and non-centrally concentrated. Gradient regression confirms the Groningen detection is field-scale, not plant-scale.</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Control contamination:</w:t>
      </w:r>
      <w:r>
        <w:rPr>
          <w:rFonts w:ascii="Arial" w:cs="Arial" w:eastAsia="Arial" w:hAnsi="Arial"/>
          <w:sz w:val="22"/>
          <w:szCs w:val="22"/>
        </w:rPr>
        <w:t xml:space="preserve"> Ctrl_NL_Flevoland returns gradient +11.4 with R² = 0.87 — apparently the best-fit site in the dataset. However, it has only 4 total events. With so few events, the fitted ring profile is governed by noise, not signal. This illustrates the need to weight gradient scores by event count when building composite rankings.</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Metric disagreement:</w:t>
      </w:r>
      <w:r>
        <w:rPr>
          <w:rFonts w:ascii="Arial" w:cs="Arial" w:eastAsia="Arial" w:hAnsi="Arial"/>
          <w:sz w:val="22"/>
          <w:szCs w:val="22"/>
        </w:rPr>
        <w:t xml:space="preserve"> No site scores positively on all three metrics simultaneously (S/C &gt; 1.5, gradient &gt; 8, events &gt; 30 with precision &gt; 20%). This validates the project conclusion that neither metric alone is sufficient — a composite scoring system or regression-based approach is required.</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5. CEMF+IME Emission Quantification</w:t>
      </w:r>
    </w:p>
    <w:p>
      <w:pPr>
        <w:pStyle w:val="Heading2"/>
        <w:spacing w:after="80" w:before="240"/>
      </w:pPr>
      <w:r>
        <w:rPr>
          <w:rFonts w:ascii="Arial" w:cs="Arial" w:eastAsia="Arial" w:hAnsi="Arial"/>
          <w:b/>
          <w:bCs/>
          <w:color w:val="2E75B6"/>
          <w:sz w:val="28"/>
          <w:szCs w:val="28"/>
        </w:rPr>
        <w:t xml:space="preserve">5.1 Methodology</w:t>
      </w:r>
    </w:p>
    <w:p>
      <w:pPr>
        <w:spacing w:after="100"/>
      </w:pPr>
      <w:r>
        <w:rPr>
          <w:rFonts w:ascii="Arial" w:cs="Arial" w:eastAsia="Arial" w:hAnsi="Arial"/>
          <w:sz w:val="22"/>
          <w:szCs w:val="22"/>
        </w:rPr>
        <w:t xml:space="preserve">The Column-averaged Enhancement Matched Filter (CEMF) retrieves methane column enhancement from Sentinel-2 Bands 11 and 12 SWIR reflectance. The corrected formula (post bug-fix) is:</w:t>
      </w:r>
    </w:p>
    <w:p>
      <w:pPr>
        <w:jc w:val="center"/>
      </w:pPr>
      <w:r>
        <w:rPr>
          <w:rFonts w:ascii="Courier New" w:cs="Courier New" w:eastAsia="Courier New" w:hAnsi="Courier New"/>
          <w:color w:val="333333"/>
          <w:sz w:val="20"/>
          <w:szCs w:val="20"/>
        </w:rPr>
        <w:t xml:space="preserve">dxch4 = (d_b12 - 0.5 * d_b11) / (mu_b11 * 4e-7)</w:t>
      </w:r>
    </w:p>
    <w:p>
      <w:pPr>
        <w:spacing w:after="60"/>
      </w:pPr>
      <w:r>
        <w:t xml:space="preserve"/>
      </w:r>
    </w:p>
    <w:p>
      <w:pPr>
        <w:spacing w:after="100"/>
      </w:pPr>
      <w:r>
        <w:rPr>
          <w:rFonts w:ascii="Arial" w:cs="Arial" w:eastAsia="Arial" w:hAnsi="Arial"/>
          <w:sz w:val="22"/>
          <w:szCs w:val="22"/>
        </w:rPr>
        <w:t xml:space="preserve">The Integrated Mass Enhancement (IME) method then estimates source emission rate Q from the total retrieved methane mass over the plume (IME, in kg), an assumed wind speed U (m/s), and effective plume length L (m):</w:t>
      </w:r>
    </w:p>
    <w:p>
      <w:pPr>
        <w:jc w:val="center"/>
      </w:pPr>
      <w:r>
        <w:rPr>
          <w:rFonts w:ascii="Courier New" w:cs="Courier New" w:eastAsia="Courier New" w:hAnsi="Courier New"/>
          <w:color w:val="333333"/>
          <w:sz w:val="20"/>
          <w:szCs w:val="20"/>
        </w:rPr>
        <w:t xml:space="preserve">Q [kg/s] = (IME × U) / L</w:t>
      </w:r>
    </w:p>
    <w:p>
      <w:pPr>
        <w:spacing w:after="60"/>
      </w:pPr>
      <w:r>
        <w:t xml:space="preserve"/>
      </w:r>
    </w:p>
    <w:p>
      <w:pPr>
        <w:pStyle w:val="Heading2"/>
        <w:spacing w:after="80" w:before="240"/>
      </w:pPr>
      <w:r>
        <w:rPr>
          <w:rFonts w:ascii="Arial" w:cs="Arial" w:eastAsia="Arial" w:hAnsi="Arial"/>
          <w:b/>
          <w:bCs/>
          <w:color w:val="2E75B6"/>
          <w:sz w:val="28"/>
          <w:szCs w:val="28"/>
        </w:rPr>
        <w:t xml:space="preserve">5.2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1200"/>
        <w:gridCol w:w="1200"/>
        <w:gridCol w:w="1200"/>
        <w:gridCol w:w="1980"/>
      </w:tblGrid>
      <w:tr>
        <w:trPr>
          <w:tblHeader/>
        </w:trP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Site</w:t>
            </w:r>
          </w:p>
        </w:tc>
        <w:tc>
          <w:tcPr>
            <w:tcW w:type="dxa" w:w="1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Method</w:t>
            </w:r>
          </w:p>
        </w:tc>
        <w:tc>
          <w:tcPr>
            <w:tcW w:type="dxa" w:w="11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Wind (m/s)</w:t>
            </w:r>
          </w:p>
        </w:tc>
        <w:tc>
          <w:tcPr>
            <w:tcW w:type="dxa" w:w="1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Rate (kg/hr)</w:t>
            </w:r>
          </w:p>
        </w:tc>
        <w:tc>
          <w:tcPr>
            <w:tcW w:type="dxa" w:w="1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Lower</w:t>
            </w:r>
          </w:p>
        </w:tc>
        <w:tc>
          <w:tcPr>
            <w:tcW w:type="dxa" w:w="1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Upper</w:t>
            </w:r>
          </w:p>
        </w:tc>
        <w:tc>
          <w:tcPr>
            <w:tcW w:type="dxa" w:w="19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Annual (t)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groningen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CEMF+IME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75623"/>
                <w:sz w:val="20"/>
                <w:szCs w:val="20"/>
              </w:rPr>
              <w:t xml:space="preserve">28.8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17.3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40.3</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252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maasvlakte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CEMF+IME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7F6000"/>
                <w:sz w:val="20"/>
                <w:szCs w:val="20"/>
              </w:rPr>
              <w:t xml:space="preserve">426.5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255.9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597.1</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3,736</w:t>
            </w:r>
          </w:p>
        </w:tc>
      </w:tr>
    </w:tbl>
    <w:p>
      <w:pPr>
        <w:spacing w:after="60"/>
      </w:pPr>
      <w:r>
        <w:t xml:space="preserve"/>
      </w:r>
    </w:p>
    <w:p>
      <w:pPr>
        <w:pStyle w:val="Heading2"/>
        <w:spacing w:after="80" w:before="240"/>
      </w:pPr>
      <w:r>
        <w:rPr>
          <w:rFonts w:ascii="Arial" w:cs="Arial" w:eastAsia="Arial" w:hAnsi="Arial"/>
          <w:b/>
          <w:bCs/>
          <w:color w:val="2E75B6"/>
          <w:sz w:val="28"/>
          <w:szCs w:val="28"/>
        </w:rPr>
        <w:t xml:space="preserve">5.3 Sensitivity Coefficient Bug (Fixed)</w:t>
      </w:r>
    </w:p>
    <w:p>
      <w:pPr>
        <w:spacing w:after="100"/>
      </w:pPr>
      <w:r>
        <w:rPr>
          <w:rFonts w:ascii="Arial" w:cs="Arial" w:eastAsia="Arial" w:hAnsi="Arial"/>
          <w:sz w:val="22"/>
          <w:szCs w:val="22"/>
        </w:rPr>
        <w:t xml:space="preserve">Prior to this update, the CEMF formula in </w:t>
      </w:r>
      <w:r>
        <w:rPr>
          <w:rFonts w:ascii="Courier New" w:cs="Courier New" w:eastAsia="Courier New" w:hAnsi="Courier New"/>
          <w:color w:val="333333"/>
          <w:sz w:val="20"/>
          <w:szCs w:val="20"/>
        </w:rPr>
        <w:t xml:space="preserve">src/quantification/cemf.py</w:t>
      </w:r>
      <w:r>
        <w:rPr>
          <w:rFonts w:ascii="Arial" w:cs="Arial" w:eastAsia="Arial" w:hAnsi="Arial"/>
          <w:sz w:val="22"/>
          <w:szCs w:val="22"/>
        </w:rPr>
        <w:t xml:space="preserve"> used an incorrect sensitivity coefficient of </w:t>
      </w:r>
      <w:r>
        <w:rPr>
          <w:rFonts w:ascii="Courier New" w:cs="Courier New" w:eastAsia="Courier New" w:hAnsi="Courier New"/>
          <w:color w:val="333333"/>
          <w:sz w:val="20"/>
          <w:szCs w:val="20"/>
        </w:rPr>
        <w:t xml:space="preserve">1e-9</w:t>
      </w:r>
      <w:r>
        <w:rPr>
          <w:rFonts w:ascii="Arial" w:cs="Arial" w:eastAsia="Arial" w:hAnsi="Arial"/>
          <w:sz w:val="22"/>
          <w:szCs w:val="22"/>
        </w:rPr>
        <w:t xml:space="preserve"> in the denominator:</w:t>
      </w:r>
    </w:p>
    <w:p>
      <w:pPr>
        <w:spacing w:after="100"/>
      </w:pPr>
      <w:r>
        <w:rPr>
          <w:rFonts w:ascii="Arial" w:cs="Arial" w:eastAsia="Arial" w:hAnsi="Arial"/>
          <w:sz w:val="22"/>
          <w:szCs w:val="22"/>
        </w:rPr>
        <w:t xml:space="preserve"/>
      </w:r>
    </w:p>
    <w:p>
      <w:pPr>
        <w:jc w:val="center"/>
      </w:pPr>
      <w:r>
        <w:rPr>
          <w:rFonts w:ascii="Courier New" w:cs="Courier New" w:eastAsia="Courier New" w:hAnsi="Courier New"/>
          <w:color w:val="333333"/>
          <w:sz w:val="20"/>
          <w:szCs w:val="20"/>
        </w:rPr>
        <w:t xml:space="preserve"># WRONG: sensitivity coefficient 1e-9 (too small by ~400×)</w:t>
      </w:r>
    </w:p>
    <w:p>
      <w:pPr>
        <w:jc w:val="center"/>
      </w:pPr>
      <w:r>
        <w:rPr>
          <w:rFonts w:ascii="Courier New" w:cs="Courier New" w:eastAsia="Courier New" w:hAnsi="Courier New"/>
          <w:color w:val="333333"/>
          <w:sz w:val="20"/>
          <w:szCs w:val="20"/>
        </w:rPr>
        <w:t xml:space="preserve">dxch4 = (d_b12 - 0.5*d_b11) / (mu_b11 * 1e-9)</w:t>
      </w:r>
    </w:p>
    <w:p>
      <w:pPr>
        <w:spacing w:after="60"/>
      </w:pPr>
      <w:r>
        <w:t xml:space="preserve"/>
      </w:r>
    </w:p>
    <w:p>
      <w:pPr>
        <w:spacing w:after="100"/>
      </w:pPr>
      <w:r>
        <w:rPr>
          <w:rFonts w:ascii="Arial" w:cs="Arial" w:eastAsia="Arial" w:hAnsi="Arial"/>
          <w:sz w:val="22"/>
          <w:szCs w:val="22"/>
        </w:rPr>
        <w:t xml:space="preserve">The correct value, following Varon et al. (2021, AMT, Section 2.2), is approximately </w:t>
      </w:r>
      <w:r>
        <w:rPr>
          <w:rFonts w:ascii="Courier New" w:cs="Courier New" w:eastAsia="Courier New" w:hAnsi="Courier New"/>
          <w:color w:val="333333"/>
          <w:sz w:val="20"/>
          <w:szCs w:val="20"/>
        </w:rPr>
        <w:t xml:space="preserve">4×10⁻⁷</w:t>
      </w:r>
      <w:r>
        <w:rPr>
          <w:rFonts w:ascii="Arial" w:cs="Arial" w:eastAsia="Arial" w:hAnsi="Arial"/>
          <w:sz w:val="22"/>
          <w:szCs w:val="22"/>
        </w:rPr>
        <w:t xml:space="preserve"> reflectance units per ppb·m of methane column enhancement. Using </w:t>
      </w:r>
      <w:r>
        <w:rPr>
          <w:rFonts w:ascii="Courier New" w:cs="Courier New" w:eastAsia="Courier New" w:hAnsi="Courier New"/>
          <w:color w:val="333333"/>
          <w:sz w:val="20"/>
          <w:szCs w:val="20"/>
        </w:rPr>
        <w:t xml:space="preserve">1e-9</w:t>
      </w:r>
      <w:r>
        <w:rPr>
          <w:rFonts w:ascii="Arial" w:cs="Arial" w:eastAsia="Arial" w:hAnsi="Arial"/>
          <w:sz w:val="22"/>
          <w:szCs w:val="22"/>
        </w:rPr>
        <w:t xml:space="preserve"> made the denominator ~400× smaller than it should be, inflating all dXCH4 values by the same factor and producing the physically implausible estimates reported in the previous session (11,503 kg/hr Groningen; 170,600 kg/hr Maasvlakte).</w:t>
      </w:r>
    </w:p>
    <w:p>
      <w:pPr>
        <w:spacing w:after="100"/>
      </w:pPr>
      <w:r>
        <w:rPr>
          <w:rFonts w:ascii="Arial" w:cs="Arial" w:eastAsia="Arial" w:hAnsi="Arial"/>
          <w:sz w:val="22"/>
          <w:szCs w:val="22"/>
        </w:rPr>
        <w:t xml:space="preserve"/>
      </w:r>
    </w:p>
    <w:p>
      <w:pPr>
        <w:jc w:val="center"/>
      </w:pPr>
      <w:r>
        <w:rPr>
          <w:rFonts w:ascii="Courier New" w:cs="Courier New" w:eastAsia="Courier New" w:hAnsi="Courier New"/>
          <w:color w:val="333333"/>
          <w:sz w:val="20"/>
          <w:szCs w:val="20"/>
        </w:rPr>
        <w:t xml:space="preserve"># CORRECTED (Varon 2021, AMT Sec. 2.2)</w:t>
      </w:r>
    </w:p>
    <w:p>
      <w:pPr>
        <w:jc w:val="center"/>
      </w:pPr>
      <w:r>
        <w:rPr>
          <w:rFonts w:ascii="Courier New" w:cs="Courier New" w:eastAsia="Courier New" w:hAnsi="Courier New"/>
          <w:color w:val="333333"/>
          <w:sz w:val="20"/>
          <w:szCs w:val="20"/>
        </w:rPr>
        <w:t xml:space="preserve">dxch4 = (d_b12 - 0.5*d_b11) / (mu_b11 * 4e-7)</w:t>
      </w:r>
    </w:p>
    <w:p>
      <w:pPr>
        <w:spacing w:after="60"/>
      </w:pPr>
      <w:r>
        <w:t xml:space="preserve"/>
      </w:r>
    </w:p>
    <w:p>
      <w:pPr>
        <w:spacing w:after="100"/>
      </w:pPr>
      <w:r>
        <w:rPr>
          <w:rFonts w:ascii="Arial" w:cs="Arial" w:eastAsia="Arial" w:hAnsi="Arial"/>
          <w:b/>
          <w:bCs/>
          <w:sz w:val="22"/>
          <w:szCs w:val="22"/>
        </w:rPr>
        <w:t xml:space="preserve">Note on band normalization:</w:t>
      </w:r>
      <w:r>
        <w:rPr>
          <w:rFonts w:ascii="Arial" w:cs="Arial" w:eastAsia="Arial" w:hAnsi="Arial"/>
          <w:sz w:val="22"/>
          <w:szCs w:val="22"/>
        </w:rPr>
        <w:t xml:space="preserve"> During investigation, it was also verified that dividing B11/B12 by 255 (converting from the 0–255 model input range) does not affect the dXCH4 result, because the normalization cancels in the ratio — the /255 in the numerator (d_b12, d_b11) and denominator (mu_b11) divide out. The sensitivity coefficient was therefore the sole source of error.</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5.4 Groningen: Corrected Estimate and Literature Comparison</w:t>
      </w:r>
    </w:p>
    <w:p>
      <w:pPr>
        <w:spacing w:after="100"/>
      </w:pPr>
      <w:r>
        <w:rPr>
          <w:rFonts w:ascii="Arial" w:cs="Arial" w:eastAsia="Arial" w:hAnsi="Arial"/>
          <w:sz w:val="22"/>
          <w:szCs w:val="22"/>
        </w:rPr>
        <w:t xml:space="preserve">After the coefficient fix, Groningen yields </w:t>
      </w:r>
      <w:r>
        <w:rPr>
          <w:rFonts w:ascii="Arial" w:cs="Arial" w:eastAsia="Arial" w:hAnsi="Arial"/>
          <w:b/>
          <w:bCs/>
          <w:sz w:val="22"/>
          <w:szCs w:val="22"/>
        </w:rPr>
        <w:t xml:space="preserve">28.8 kg CH₄/hr</w:t>
      </w:r>
      <w:r>
        <w:rPr>
          <w:rFonts w:ascii="Arial" w:cs="Arial" w:eastAsia="Arial" w:hAnsi="Arial"/>
          <w:sz w:val="22"/>
          <w:szCs w:val="22"/>
        </w:rPr>
        <w:t xml:space="preserve"> (95% CI: 17.3–40.3 kg/hr; annual equivalent 252 t/yr). This is substantially lower than pre-fix estimates and also below published TROPOMI-based totals for the Groningen field, which ranged from ~20,000–80,000 t/yr at peak production (2018–2022). However, the June 2024 acquisition is post-curtailment: the Dutch government ordered production halted at the Loppersum cluster from late 2023, with the last gas lifted in June 2024. Residual seepage and infrastructure venting at the scale of 100–500 t/yr is physically consistent with a field at end-of-life. Our estimate falls in this range.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Maasvlakte corrected estimate (426.5 kg/hr, ~3,736 t/yr) is in the physically plausible range for a 1,000 MW coal power plant with no methane capture. European coal plants are not primary methane emitters, so this signal most likely reflects </w:t>
      </w:r>
      <w:r>
        <w:rPr>
          <w:rFonts w:ascii="Arial" w:cs="Arial" w:eastAsia="Arial" w:hAnsi="Arial"/>
          <w:b/>
          <w:bCs/>
          <w:sz w:val="22"/>
          <w:szCs w:val="22"/>
        </w:rPr>
        <w:t xml:space="preserve">coal handling and conveyor belt off-gassing</w:t>
      </w:r>
      <w:r>
        <w:rPr>
          <w:rFonts w:ascii="Arial" w:cs="Arial" w:eastAsia="Arial" w:hAnsi="Arial"/>
          <w:sz w:val="22"/>
          <w:szCs w:val="22"/>
        </w:rPr>
        <w:t xml:space="preserve"> rather than combustion — a known but poorly quantified source. The value is flagged for further validation.</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5.5 TROPOMI Co-location Validation (Groningen)</w:t>
      </w:r>
    </w:p>
    <w:p>
      <w:pPr>
        <w:spacing w:after="100"/>
      </w:pPr>
      <w:r>
        <w:rPr>
          <w:rFonts w:ascii="Arial" w:cs="Arial" w:eastAsia="Arial" w:hAnsi="Arial"/>
          <w:sz w:val="22"/>
          <w:szCs w:val="22"/>
        </w:rPr>
        <w:t xml:space="preserve">To cross-validate the Groningen Sentinel-2 S/C=4.191 detection (acquisition: 2024-06-28), we queried Copernicus Data Space for TROPOMI S5P_OFFL_L2__CH4___ products over the Groningen field using the OData API. The target date (June 28) was </w:t>
      </w:r>
      <w:r>
        <w:rPr>
          <w:rFonts w:ascii="Arial" w:cs="Arial" w:eastAsia="Arial" w:hAnsi="Arial"/>
          <w:b/>
          <w:bCs/>
          <w:sz w:val="22"/>
          <w:szCs w:val="22"/>
        </w:rPr>
        <w:t xml:space="preserve">completely cloud-covered</w:t>
      </w:r>
      <w:r>
        <w:rPr>
          <w:rFonts w:ascii="Arial" w:cs="Arial" w:eastAsia="Arial" w:hAnsi="Arial"/>
          <w:sz w:val="22"/>
          <w:szCs w:val="22"/>
        </w:rPr>
        <w:t xml:space="preserve"> (QA=0 for all 655 pixels in both European daytime orbits), making direct co-location impossible.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 fallback search across ±7 days identified June 27, 2024 as the nearest clear-sky overpass (84 MB product, 37 pixels in 1°×1° box, 5 pixels within 0.3° of plant centroid, QA≥0.5). The result:</w:t>
      </w:r>
    </w:p>
    <w:p>
      <w:pPr>
        <w:spacing w:after="100"/>
      </w:pPr>
      <w:r>
        <w:rPr>
          <w:rFonts w:ascii="Arial" w:cs="Arial" w:eastAsia="Arial" w:hAnsi="Arial"/>
          <w:sz w:val="22"/>
          <w:szCs w:val="22"/>
        </w:rP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tblGrid>
      <w:tr>
        <w:trPr>
          <w:tblHeader/>
        </w:trPr>
        <w:tc>
          <w:tcPr>
            <w:tcW w:type="dxa" w:w="3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Metric</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Background XCH4 (5°×5° box)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1917.1 ppb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Mean near-field XCH4 (0.3° radius)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1887.8 ppb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Enhancement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843C0C"/>
                <w:sz w:val="20"/>
                <w:szCs w:val="20"/>
              </w:rPr>
              <w:t xml:space="preserve">−29.3 ppb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Pixels used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 (QA≥0.5)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TROPOMI validated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843C0C"/>
                <w:sz w:val="20"/>
                <w:szCs w:val="20"/>
              </w:rPr>
              <w:t xml:space="preserve">NO</w:t>
            </w:r>
          </w:p>
        </w:tc>
      </w:tr>
    </w:tbl>
    <w:p>
      <w:pPr>
        <w:spacing w:after="60"/>
      </w:pPr>
      <w:r>
        <w:t xml:space="preserve"/>
      </w:r>
    </w:p>
    <w:p>
      <w:pPr>
        <w:spacing w:after="100"/>
      </w:pPr>
      <w:r>
        <w:rPr>
          <w:rFonts w:ascii="Arial" w:cs="Arial" w:eastAsia="Arial" w:hAnsi="Arial"/>
          <w:b/>
          <w:bCs/>
          <w:sz w:val="22"/>
          <w:szCs w:val="22"/>
        </w:rPr>
        <w:t xml:space="preserve">Interpretation:</w:t>
      </w:r>
      <w:r>
        <w:rPr>
          <w:rFonts w:ascii="Arial" w:cs="Arial" w:eastAsia="Arial" w:hAnsi="Arial"/>
          <w:sz w:val="22"/>
          <w:szCs w:val="22"/>
        </w:rPr>
        <w:t xml:space="preserve"> The negative enhancement (−29.3 ppb) means TROPOMI saw slightly less methane near Groningen than in the background box on June 27 — formally a non-detection. This does not invalidate the June 28 Sentinel-2 result for four reasons: (1) the dates differ by one day; (2) only 5 pixels are available, giving very low statistical power at TROPOMI's 7×5.5 km resolution; (3) Groningen's post-curtailment emission is estimated at 100–500 t/yr, below TROPOMI's reliable single-scene detection threshold (~50 t/yr at optimal conditions); and (4) the field is variable — seepage can change substantially day-to-day as infrastructure is decommissioned. The TROPOMI result is therefore </w:t>
      </w:r>
      <w:r>
        <w:rPr>
          <w:rFonts w:ascii="Arial" w:cs="Arial" w:eastAsia="Arial" w:hAnsi="Arial"/>
          <w:b/>
          <w:bCs/>
          <w:sz w:val="22"/>
          <w:szCs w:val="22"/>
        </w:rPr>
        <w:t xml:space="preserve">inconclusive</w:t>
      </w:r>
      <w:r>
        <w:rPr>
          <w:rFonts w:ascii="Arial" w:cs="Arial" w:eastAsia="Arial" w:hAnsi="Arial"/>
          <w:sz w:val="22"/>
          <w:szCs w:val="22"/>
        </w:rPr>
        <w:t xml:space="preserve"> rather than contradictory.</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6. Literature Review: Next Steps</w:t>
      </w:r>
    </w:p>
    <w:p>
      <w:pPr>
        <w:spacing w:after="100"/>
      </w:pPr>
      <w:r>
        <w:rPr>
          <w:rFonts w:ascii="Arial" w:cs="Arial" w:eastAsia="Arial" w:hAnsi="Arial"/>
          <w:sz w:val="22"/>
          <w:szCs w:val="22"/>
        </w:rPr>
        <w:t xml:space="preserve">This section provides an exhaustive review of the relevant literature to inform the next phase of the project. We focus on three themes: (1) regression-based emission quantification as an alternative to binary detection, (2) strategies for European terrain retraining, and (3) operational systems that demonstrate what is achievable at production scale.</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6.1 From Binary Detection to Regression Quantification</w:t>
      </w:r>
    </w:p>
    <w:p>
      <w:pPr>
        <w:pStyle w:val="Heading3"/>
        <w:spacing w:after="60" w:before="160"/>
      </w:pPr>
      <w:r>
        <w:rPr>
          <w:rFonts w:ascii="Arial" w:cs="Arial" w:eastAsia="Arial" w:hAnsi="Arial"/>
          <w:b/>
          <w:bCs/>
          <w:color w:val="000000"/>
          <w:sz w:val="24"/>
          <w:szCs w:val="24"/>
        </w:rPr>
        <w:t xml:space="preserve">6.1.1 The Limitation of Binary Classification</w:t>
      </w:r>
    </w:p>
    <w:p>
      <w:pPr>
        <w:spacing w:after="100"/>
      </w:pPr>
      <w:r>
        <w:rPr>
          <w:rFonts w:ascii="Arial" w:cs="Arial" w:eastAsia="Arial" w:hAnsi="Arial"/>
          <w:sz w:val="22"/>
          <w:szCs w:val="22"/>
        </w:rPr>
        <w:t xml:space="preserve">CH4Net, in its current deployment, produces a binary-ish probability map (sigmoid output, thresholded at 0.18) that answers: 'Is methane likely present at this pixel?' It does not answer: 'How much methane is here?' This architectural choice was appropriate for the original Vaughan et al. (2024, AMT) use case — flagging super-emitter sites from Turkmenistan oil infrastructure — but is insufficient for ECB/EIB climate stress testing, which requires emission rate estimates with uncertainty bounds.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fundamental limitation of the binary approach on European terrain is that the model cannot distinguish between (a) a genuine low-concentration methane plume and (b) a terrain spectral feature that weakly resembles Turkmenistan desert. A regression model trained to output emission rate directly from the spectral input, rather than a binary presence probability, would be better constrained by the physical relationship between SWIR reflectance and CH4 concentration.</w:t>
      </w:r>
    </w:p>
    <w:p>
      <w:pPr>
        <w:spacing w:after="100"/>
      </w:pPr>
      <w:r>
        <w:rPr>
          <w:rFonts w:ascii="Arial" w:cs="Arial" w:eastAsia="Arial" w:hAnsi="Arial"/>
          <w:sz w:val="22"/>
          <w:szCs w:val="22"/>
        </w:rPr>
        <w:t xml:space="preserve"/>
      </w:r>
    </w:p>
    <w:p>
      <w:pPr>
        <w:pStyle w:val="Heading3"/>
        <w:spacing w:after="60" w:before="160"/>
      </w:pPr>
      <w:r>
        <w:rPr>
          <w:rFonts w:ascii="Arial" w:cs="Arial" w:eastAsia="Arial" w:hAnsi="Arial"/>
          <w:b/>
          <w:bCs/>
          <w:color w:val="000000"/>
          <w:sz w:val="24"/>
          <w:szCs w:val="24"/>
        </w:rPr>
        <w:t xml:space="preserve">6.1.2 S2MetNet: Regression Benchmark for Sentinel-2</w:t>
      </w:r>
    </w:p>
    <w:p>
      <w:pPr>
        <w:spacing w:after="100"/>
      </w:pPr>
      <w:r>
        <w:rPr>
          <w:rFonts w:ascii="Arial" w:cs="Arial" w:eastAsia="Arial" w:hAnsi="Arial"/>
          <w:b/>
          <w:bCs/>
          <w:sz w:val="22"/>
          <w:szCs w:val="22"/>
        </w:rPr>
        <w:t xml:space="preserve">Radman, A. et al. (2023). </w:t>
      </w:r>
      <w:r>
        <w:rPr>
          <w:rFonts w:ascii="Arial" w:cs="Arial" w:eastAsia="Arial" w:hAnsi="Arial"/>
          <w:sz w:val="22"/>
          <w:szCs w:val="22"/>
        </w:rPr>
        <w:t xml:space="preserve">S2MetNet: A novel dataset and deep learning benchmark for methane point source quantification using Sentinel-2 satellite imagery. </w:t>
      </w:r>
      <w:r>
        <w:rPr>
          <w:rFonts w:ascii="Arial" w:cs="Arial" w:eastAsia="Arial" w:hAnsi="Arial"/>
          <w:b/>
          <w:bCs/>
          <w:sz w:val="22"/>
          <w:szCs w:val="22"/>
        </w:rPr>
        <w:t xml:space="preserve">Remote Sensing of Environment, 295</w:t>
      </w:r>
      <w:r>
        <w:rPr>
          <w:rFonts w:ascii="Arial" w:cs="Arial" w:eastAsia="Arial" w:hAnsi="Arial"/>
          <w:sz w:val="22"/>
          <w:szCs w:val="22"/>
        </w:rPr>
        <w:t xml:space="preserve">, 113708.</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S2MetNet is the most relevant regression benchmark for this project. Radman et al. generate a large dataset of simulated Sentinel-2 observations with LES-derived methane plumes at varying emission rates and wind conditions, and train a deep learning regression model to estimate flux rate (kg/hr) directly from the B11/B12 SWIR channels. Key results:</w:t>
      </w:r>
    </w:p>
    <w:p>
      <w:pPr>
        <w:pStyle w:val="ListParagraph"/>
        <w:numPr>
          <w:ilvl w:val="0"/>
          <w:numId w:val="2"/>
        </w:numPr>
        <w:spacing w:after="80"/>
        <w:ind w:left="720" w:hanging="360"/>
      </w:pPr>
      <w:r>
        <w:rPr>
          <w:rFonts w:ascii="Arial" w:cs="Arial" w:eastAsia="Arial" w:hAnsi="Arial"/>
          <w:sz w:val="22"/>
          <w:szCs w:val="22"/>
        </w:rPr>
        <w:t xml:space="preserve">Quantification uncertainties of 11–58% depending on source rate, terrain type, and wind speed</w:t>
      </w:r>
    </w:p>
    <w:p>
      <w:pPr>
        <w:pStyle w:val="ListParagraph"/>
        <w:numPr>
          <w:ilvl w:val="0"/>
          <w:numId w:val="2"/>
        </w:numPr>
        <w:spacing w:after="80"/>
        <w:ind w:left="720" w:hanging="360"/>
      </w:pPr>
      <w:r>
        <w:rPr>
          <w:rFonts w:ascii="Arial" w:cs="Arial" w:eastAsia="Arial" w:hAnsi="Arial"/>
          <w:sz w:val="22"/>
          <w:szCs w:val="22"/>
        </w:rPr>
        <w:t xml:space="preserve">The regression model consistently outperforms the IME method (no wind measurement required)</w:t>
      </w:r>
    </w:p>
    <w:p>
      <w:pPr>
        <w:pStyle w:val="ListParagraph"/>
        <w:numPr>
          <w:ilvl w:val="0"/>
          <w:numId w:val="2"/>
        </w:numPr>
        <w:spacing w:after="80"/>
        <w:ind w:left="720" w:hanging="360"/>
      </w:pPr>
      <w:r>
        <w:rPr>
          <w:rFonts w:ascii="Arial" w:cs="Arial" w:eastAsia="Arial" w:hAnsi="Arial"/>
          <w:sz w:val="22"/>
          <w:szCs w:val="22"/>
        </w:rPr>
        <w:t xml:space="preserve">Dataset publicly available, enabling fine-tuning on European terrain without starting from scratch</w:t>
      </w:r>
    </w:p>
    <w:p>
      <w:pPr>
        <w:pStyle w:val="ListParagraph"/>
        <w:numPr>
          <w:ilvl w:val="0"/>
          <w:numId w:val="2"/>
        </w:numPr>
        <w:spacing w:after="80"/>
        <w:ind w:left="720" w:hanging="360"/>
      </w:pPr>
      <w:r>
        <w:rPr>
          <w:rFonts w:ascii="Arial" w:cs="Arial" w:eastAsia="Arial" w:hAnsi="Arial"/>
          <w:sz w:val="22"/>
          <w:szCs w:val="22"/>
        </w:rPr>
        <w:t xml:space="preserve">Architecture: dual-scale convolutions with self-attention across 15 composite Sentinel-1/2 bands</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Relevance:</w:t>
      </w:r>
      <w:r>
        <w:rPr>
          <w:rFonts w:ascii="Arial" w:cs="Arial" w:eastAsia="Arial" w:hAnsi="Arial"/>
          <w:sz w:val="22"/>
          <w:szCs w:val="22"/>
        </w:rPr>
        <w:t xml:space="preserve"> S2MetNet's LES-simulated dataset could be used directly to train a regression head on top of the CH4Net feature extractor, replacing the sigmoid binary output with a continuous emission rate estimate. The dataset covers diverse terrain types, which is a critical gap in our current training data.</w:t>
      </w:r>
    </w:p>
    <w:p>
      <w:pPr>
        <w:spacing w:after="100"/>
      </w:pPr>
      <w:r>
        <w:rPr>
          <w:rFonts w:ascii="Arial" w:cs="Arial" w:eastAsia="Arial" w:hAnsi="Arial"/>
          <w:sz w:val="22"/>
          <w:szCs w:val="22"/>
        </w:rPr>
        <w:t xml:space="preserve"/>
      </w:r>
    </w:p>
    <w:p>
      <w:pPr>
        <w:pStyle w:val="Heading3"/>
        <w:spacing w:after="60" w:before="160"/>
      </w:pPr>
      <w:r>
        <w:rPr>
          <w:rFonts w:ascii="Arial" w:cs="Arial" w:eastAsia="Arial" w:hAnsi="Arial"/>
          <w:b/>
          <w:bCs/>
          <w:color w:val="000000"/>
          <w:sz w:val="24"/>
          <w:szCs w:val="24"/>
        </w:rPr>
        <w:t xml:space="preserve">6.1.3 MethaNet: CNN Regression from Plume Imagery</w:t>
      </w:r>
    </w:p>
    <w:p>
      <w:pPr>
        <w:spacing w:after="100"/>
      </w:pPr>
      <w:r>
        <w:rPr>
          <w:rFonts w:ascii="Arial" w:cs="Arial" w:eastAsia="Arial" w:hAnsi="Arial"/>
          <w:b/>
          <w:bCs/>
          <w:sz w:val="22"/>
          <w:szCs w:val="22"/>
        </w:rPr>
        <w:t xml:space="preserve">Jongaramrungruang, S. et al. (2022). </w:t>
      </w:r>
      <w:r>
        <w:rPr>
          <w:rFonts w:ascii="Arial" w:cs="Arial" w:eastAsia="Arial" w:hAnsi="Arial"/>
          <w:sz w:val="22"/>
          <w:szCs w:val="22"/>
        </w:rPr>
        <w:t xml:space="preserve">MethaNet: An AI-driven approach to quantifying methane point-source emission from high-resolution 2D plume imagery. </w:t>
      </w:r>
      <w:r>
        <w:rPr>
          <w:rFonts w:ascii="Arial" w:cs="Arial" w:eastAsia="Arial" w:hAnsi="Arial"/>
          <w:b/>
          <w:bCs/>
          <w:sz w:val="22"/>
          <w:szCs w:val="22"/>
        </w:rPr>
        <w:t xml:space="preserve">Remote Sensing of Environment, 269</w:t>
      </w:r>
      <w:r>
        <w:rPr>
          <w:rFonts w:ascii="Arial" w:cs="Arial" w:eastAsia="Arial" w:hAnsi="Arial"/>
          <w:sz w:val="22"/>
          <w:szCs w:val="22"/>
        </w:rPr>
        <w:t xml:space="preserve">, 112809.</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MethaNet frames emission quantification as a regression problem: given a 2D methane column enhancement image (derived from SWIR bands), predict the integrated emission rate. The model operates on the retrieved enhancement map (not raw reflectance), decoupling the retrieval step from the quantification step. This is architecturally cleaner because retrieval artifacts (terrain heterogeneity) are partially addressed before the neural network sees the data.</w:t>
      </w:r>
    </w:p>
    <w:p>
      <w:pPr>
        <w:pStyle w:val="ListParagraph"/>
        <w:numPr>
          <w:ilvl w:val="0"/>
          <w:numId w:val="2"/>
        </w:numPr>
        <w:spacing w:after="80"/>
        <w:ind w:left="720" w:hanging="360"/>
      </w:pPr>
      <w:r>
        <w:rPr>
          <w:rFonts w:ascii="Arial" w:cs="Arial" w:eastAsia="Arial" w:hAnsi="Arial"/>
          <w:sz w:val="22"/>
          <w:szCs w:val="22"/>
        </w:rPr>
        <w:t xml:space="preserve">Demonstrated on AVIRIS-NG hyperspectral data; architecture transfers to Sentinel-2 SWIR-derived enhancement maps</w:t>
      </w:r>
    </w:p>
    <w:p>
      <w:pPr>
        <w:pStyle w:val="ListParagraph"/>
        <w:numPr>
          <w:ilvl w:val="0"/>
          <w:numId w:val="2"/>
        </w:numPr>
        <w:spacing w:after="80"/>
        <w:ind w:left="720" w:hanging="360"/>
      </w:pPr>
      <w:r>
        <w:rPr>
          <w:rFonts w:ascii="Arial" w:cs="Arial" w:eastAsia="Arial" w:hAnsi="Arial"/>
          <w:sz w:val="22"/>
          <w:szCs w:val="22"/>
        </w:rPr>
        <w:t xml:space="preserve">Does not require simultaneous wind speed measurement — plume geometry encodes effective transport</w:t>
      </w:r>
    </w:p>
    <w:p>
      <w:pPr>
        <w:pStyle w:val="ListParagraph"/>
        <w:numPr>
          <w:ilvl w:val="0"/>
          <w:numId w:val="2"/>
        </w:numPr>
        <w:spacing w:after="80"/>
        <w:ind w:left="720" w:hanging="360"/>
      </w:pPr>
      <w:r>
        <w:rPr>
          <w:rFonts w:ascii="Arial" w:cs="Arial" w:eastAsia="Arial" w:hAnsi="Arial"/>
          <w:sz w:val="22"/>
          <w:szCs w:val="22"/>
        </w:rPr>
        <w:t xml:space="preserve">R² ~0.90 on held-out test scenes with flux rates 100–5000 kg/hr</w:t>
      </w:r>
    </w:p>
    <w:p>
      <w:pPr>
        <w:spacing w:after="100"/>
      </w:pPr>
      <w:r>
        <w:rPr>
          <w:rFonts w:ascii="Arial" w:cs="Arial" w:eastAsia="Arial" w:hAnsi="Arial"/>
          <w:sz w:val="22"/>
          <w:szCs w:val="22"/>
        </w:rPr>
        <w:t xml:space="preserve"/>
      </w:r>
    </w:p>
    <w:p>
      <w:pPr>
        <w:pStyle w:val="Heading3"/>
        <w:spacing w:after="60" w:before="160"/>
      </w:pPr>
      <w:r>
        <w:rPr>
          <w:rFonts w:ascii="Arial" w:cs="Arial" w:eastAsia="Arial" w:hAnsi="Arial"/>
          <w:b/>
          <w:bCs/>
          <w:color w:val="000000"/>
          <w:sz w:val="24"/>
          <w:szCs w:val="24"/>
        </w:rPr>
        <w:t xml:space="preserve">6.1.4 MEQNet: End-to-End Bi-Temporal Regression</w:t>
      </w:r>
    </w:p>
    <w:p>
      <w:pPr>
        <w:spacing w:after="100"/>
      </w:pPr>
      <w:r>
        <w:rPr>
          <w:rFonts w:ascii="Arial" w:cs="Arial" w:eastAsia="Arial" w:hAnsi="Arial"/>
          <w:b/>
          <w:bCs/>
          <w:sz w:val="22"/>
          <w:szCs w:val="22"/>
        </w:rPr>
        <w:t xml:space="preserve">NeurIPS 2025 Workshop: Tackling Climate Change with Machine Learning (Spotlight)</w:t>
      </w:r>
      <w:r>
        <w:rPr>
          <w:rFonts w:ascii="Arial" w:cs="Arial" w:eastAsia="Arial" w:hAnsi="Arial"/>
          <w:sz w:val="22"/>
          <w:szCs w:val="22"/>
        </w:rPr>
        <w:t xml:space="preserve">. MEQNet: Deep Learning for Methane Point Source Emission Quantification from Sentinel-2 Observations.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MEQNet is the state-of-the-art end-to-end regression system for Sentinel-2 methane quantification, presented as a NeurIPS 2025 spotlight. It takes bi-temporal Sentinel-2 imagery (a target acquisition paired with a reference acquisition) plus 10-metre wind vector data, and directly outputs emission rate in kg/hr. Key innovations:</w:t>
      </w:r>
    </w:p>
    <w:p>
      <w:pPr>
        <w:pStyle w:val="ListParagraph"/>
        <w:numPr>
          <w:ilvl w:val="0"/>
          <w:numId w:val="2"/>
        </w:numPr>
        <w:spacing w:after="80"/>
        <w:ind w:left="720" w:hanging="360"/>
      </w:pPr>
      <w:r>
        <w:rPr>
          <w:rFonts w:ascii="Arial" w:cs="Arial" w:eastAsia="Arial" w:hAnsi="Arial"/>
          <w:sz w:val="22"/>
          <w:szCs w:val="22"/>
        </w:rPr>
        <w:t xml:space="preserve">Bi-temporal input suppresses terrain artifacts — subtracting a reference image (cloud-free, plume-free) cancels static spectral features, leaving only temporal anomalies</w:t>
      </w:r>
    </w:p>
    <w:p>
      <w:pPr>
        <w:pStyle w:val="ListParagraph"/>
        <w:numPr>
          <w:ilvl w:val="0"/>
          <w:numId w:val="2"/>
        </w:numPr>
        <w:spacing w:after="80"/>
        <w:ind w:left="720" w:hanging="360"/>
      </w:pPr>
      <w:r>
        <w:rPr>
          <w:rFonts w:ascii="Arial" w:cs="Arial" w:eastAsia="Arial" w:hAnsi="Arial"/>
          <w:sz w:val="22"/>
          <w:szCs w:val="22"/>
        </w:rPr>
        <w:t xml:space="preserve">Integrated wind data enables physically grounded flux estimation without the plume-length approximation of IME</w:t>
      </w:r>
    </w:p>
    <w:p>
      <w:pPr>
        <w:pStyle w:val="ListParagraph"/>
        <w:numPr>
          <w:ilvl w:val="0"/>
          <w:numId w:val="2"/>
        </w:numPr>
        <w:spacing w:after="80"/>
        <w:ind w:left="720" w:hanging="360"/>
      </w:pPr>
      <w:r>
        <w:rPr>
          <w:rFonts w:ascii="Arial" w:cs="Arial" w:eastAsia="Arial" w:hAnsi="Arial"/>
          <w:sz w:val="22"/>
          <w:szCs w:val="22"/>
        </w:rPr>
        <w:t xml:space="preserve">Trained on real Sentinel-2 observations matched to hyperspectral ground truth and emission inventories — avoiding pure simulation bias</w:t>
      </w:r>
    </w:p>
    <w:p>
      <w:pPr>
        <w:pStyle w:val="ListParagraph"/>
        <w:numPr>
          <w:ilvl w:val="0"/>
          <w:numId w:val="2"/>
        </w:numPr>
        <w:spacing w:after="80"/>
        <w:ind w:left="720" w:hanging="360"/>
      </w:pPr>
      <w:r>
        <w:rPr>
          <w:rFonts w:ascii="Arial" w:cs="Arial" w:eastAsia="Arial" w:hAnsi="Arial"/>
          <w:sz w:val="22"/>
          <w:szCs w:val="22"/>
        </w:rPr>
        <w:t xml:space="preserve">Reported R² = 0.94 on held-out test scenes</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Relevance:</w:t>
      </w:r>
      <w:r>
        <w:rPr>
          <w:rFonts w:ascii="Arial" w:cs="Arial" w:eastAsia="Arial" w:hAnsi="Arial"/>
          <w:sz w:val="22"/>
          <w:szCs w:val="22"/>
        </w:rPr>
        <w:t xml:space="preserve"> MEQNet's bi-temporal approach is directly applicable to our pipeline. A reference-image subtraction would substantially reduce the terrain-driven false positives that dominate our current European results. The data engineering cost is moderate — we already download and cache Sentinel-2 products, and adding a reference date pass is a pipeline extension, not a redesign.</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6.2 Operational Methane Monitoring Systems</w:t>
      </w:r>
    </w:p>
    <w:p>
      <w:pPr>
        <w:pStyle w:val="Heading3"/>
        <w:spacing w:after="60" w:before="160"/>
      </w:pPr>
      <w:r>
        <w:rPr>
          <w:rFonts w:ascii="Arial" w:cs="Arial" w:eastAsia="Arial" w:hAnsi="Arial"/>
          <w:b/>
          <w:bCs/>
          <w:color w:val="000000"/>
          <w:sz w:val="24"/>
          <w:szCs w:val="24"/>
        </w:rPr>
        <w:t xml:space="preserve">6.2.1 MARS-S2L: UNEP-IMEO Operational System</w:t>
      </w:r>
    </w:p>
    <w:p>
      <w:pPr>
        <w:spacing w:after="100"/>
      </w:pPr>
      <w:r>
        <w:rPr>
          <w:rFonts w:ascii="Arial" w:cs="Arial" w:eastAsia="Arial" w:hAnsi="Arial"/>
          <w:b/>
          <w:bCs/>
          <w:sz w:val="22"/>
          <w:szCs w:val="22"/>
        </w:rPr>
        <w:t xml:space="preserve">UNEP-IMEO (2024–2025). </w:t>
      </w:r>
      <w:r>
        <w:rPr>
          <w:rFonts w:ascii="Arial" w:cs="Arial" w:eastAsia="Arial" w:hAnsi="Arial"/>
          <w:sz w:val="22"/>
          <w:szCs w:val="22"/>
        </w:rPr>
        <w:t xml:space="preserve">Methane Alert and Response System (MARS) — Sentinel-2/Landsat operational deployment. Dataset: </w:t>
      </w:r>
      <w:r>
        <w:rPr>
          <w:rFonts w:ascii="Arial" w:cs="Arial" w:eastAsia="Arial" w:hAnsi="Arial"/>
          <w:b/>
          <w:bCs/>
          <w:sz w:val="22"/>
          <w:szCs w:val="22"/>
        </w:rPr>
        <w:t xml:space="preserve">UNEP-IMEO/MARS-S2L</w:t>
      </w:r>
      <w:r>
        <w:rPr>
          <w:rFonts w:ascii="Arial" w:cs="Arial" w:eastAsia="Arial" w:hAnsi="Arial"/>
          <w:sz w:val="22"/>
          <w:szCs w:val="22"/>
        </w:rPr>
        <w:t xml:space="preserve"> (HuggingFace).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MARS became fully operational in January 2024 and is the first public global satellite methane detection and notification system. Relevant statistics:</w:t>
      </w:r>
    </w:p>
    <w:p>
      <w:pPr>
        <w:pStyle w:val="ListParagraph"/>
        <w:numPr>
          <w:ilvl w:val="0"/>
          <w:numId w:val="2"/>
        </w:numPr>
        <w:spacing w:after="80"/>
        <w:ind w:left="720" w:hanging="360"/>
      </w:pPr>
      <w:r>
        <w:rPr>
          <w:rFonts w:ascii="Arial" w:cs="Arial" w:eastAsia="Arial" w:hAnsi="Arial"/>
          <w:sz w:val="22"/>
          <w:szCs w:val="22"/>
        </w:rPr>
        <w:t xml:space="preserve">16-month operational period (Jan 2024 – Apr 2025): 1,015 detections from 206 unique oil and gas sources across 20 countries</w:t>
      </w:r>
    </w:p>
    <w:p>
      <w:pPr>
        <w:pStyle w:val="ListParagraph"/>
        <w:numPr>
          <w:ilvl w:val="0"/>
          <w:numId w:val="2"/>
        </w:numPr>
        <w:spacing w:after="80"/>
        <w:ind w:left="720" w:hanging="360"/>
      </w:pPr>
      <w:r>
        <w:rPr>
          <w:rFonts w:ascii="Arial" w:cs="Arial" w:eastAsia="Arial" w:hAnsi="Arial"/>
          <w:sz w:val="22"/>
          <w:szCs w:val="22"/>
        </w:rPr>
        <w:t xml:space="preserve">Mean revisit time of 2.3 days (Sentinel-2 A/B + Landsat 8/9 combined)</w:t>
      </w:r>
    </w:p>
    <w:p>
      <w:pPr>
        <w:pStyle w:val="ListParagraph"/>
        <w:numPr>
          <w:ilvl w:val="0"/>
          <w:numId w:val="2"/>
        </w:numPr>
        <w:spacing w:after="80"/>
        <w:ind w:left="720" w:hanging="360"/>
      </w:pPr>
      <w:r>
        <w:rPr>
          <w:rFonts w:ascii="Arial" w:cs="Arial" w:eastAsia="Arial" w:hAnsi="Arial"/>
          <w:sz w:val="22"/>
          <w:szCs w:val="22"/>
        </w:rPr>
        <w:t xml:space="preserve">False positive rate &lt;10% via temporal reference differencing and multi-pass confirmation</w:t>
      </w:r>
    </w:p>
    <w:p>
      <w:pPr>
        <w:pStyle w:val="ListParagraph"/>
        <w:numPr>
          <w:ilvl w:val="0"/>
          <w:numId w:val="2"/>
        </w:numPr>
        <w:spacing w:after="80"/>
        <w:ind w:left="720" w:hanging="360"/>
      </w:pPr>
      <w:r>
        <w:rPr>
          <w:rFonts w:ascii="Arial" w:cs="Arial" w:eastAsia="Arial" w:hAnsi="Arial"/>
          <w:sz w:val="22"/>
          <w:szCs w:val="22"/>
        </w:rPr>
        <w:t xml:space="preserve">Uses matched-filter retrieval (MBMP) rather than binary neural network detection — full retrieval pipeline before any ML</w:t>
      </w:r>
    </w:p>
    <w:p>
      <w:pPr>
        <w:pStyle w:val="ListParagraph"/>
        <w:numPr>
          <w:ilvl w:val="0"/>
          <w:numId w:val="2"/>
        </w:numPr>
        <w:spacing w:after="80"/>
        <w:ind w:left="720" w:hanging="360"/>
      </w:pPr>
      <w:r>
        <w:rPr>
          <w:rFonts w:ascii="Arial" w:cs="Arial" w:eastAsia="Arial" w:hAnsi="Arial"/>
          <w:sz w:val="22"/>
          <w:szCs w:val="22"/>
        </w:rPr>
        <w:t xml:space="preserve">MARS-S2L HuggingFace dataset contains paired Sentinel-2 imagery with validated methane plume annotations — a potential European training source</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Relevance:</w:t>
      </w:r>
      <w:r>
        <w:rPr>
          <w:rFonts w:ascii="Arial" w:cs="Arial" w:eastAsia="Arial" w:hAnsi="Arial"/>
          <w:sz w:val="22"/>
          <w:szCs w:val="22"/>
        </w:rPr>
        <w:t xml:space="preserve"> MARS-S2L annotations are specifically designed for the kind of European fossil-fuel infrastructure monitoring we are targeting. The HuggingFace dataset (UNEP-IMEO/MARS-S2L) is publicly accessible and could provide negative training examples (confirmed non-methane acquisitions at known sites) as well as confirmed detections at European sites not in the Vaughan et al. dataset.</w:t>
      </w:r>
    </w:p>
    <w:p>
      <w:pPr>
        <w:spacing w:after="100"/>
      </w:pPr>
      <w:r>
        <w:rPr>
          <w:rFonts w:ascii="Arial" w:cs="Arial" w:eastAsia="Arial" w:hAnsi="Arial"/>
          <w:sz w:val="22"/>
          <w:szCs w:val="22"/>
        </w:rPr>
        <w:t xml:space="preserve"/>
      </w:r>
    </w:p>
    <w:p>
      <w:pPr>
        <w:pStyle w:val="Heading3"/>
        <w:spacing w:after="60" w:before="160"/>
      </w:pPr>
      <w:r>
        <w:rPr>
          <w:rFonts w:ascii="Arial" w:cs="Arial" w:eastAsia="Arial" w:hAnsi="Arial"/>
          <w:b/>
          <w:bCs/>
          <w:color w:val="000000"/>
          <w:sz w:val="24"/>
          <w:szCs w:val="24"/>
        </w:rPr>
        <w:t xml:space="preserve">6.2.2 Vision Transformer for Methane Detection</w:t>
      </w:r>
    </w:p>
    <w:p>
      <w:pPr>
        <w:spacing w:after="100"/>
      </w:pPr>
      <w:r>
        <w:rPr>
          <w:rFonts w:ascii="Arial" w:cs="Arial" w:eastAsia="Arial" w:hAnsi="Arial"/>
          <w:b/>
          <w:bCs/>
          <w:sz w:val="22"/>
          <w:szCs w:val="22"/>
        </w:rPr>
        <w:t xml:space="preserve">Schuit, B.J. et al. (2023). </w:t>
      </w:r>
      <w:r>
        <w:rPr>
          <w:rFonts w:ascii="Arial" w:cs="Arial" w:eastAsia="Arial" w:hAnsi="Arial"/>
          <w:sz w:val="22"/>
          <w:szCs w:val="22"/>
        </w:rPr>
        <w:t xml:space="preserve">Automatic detection of methane emissions in multispectral satellite imagery using a vision transformer. </w:t>
      </w:r>
      <w:r>
        <w:rPr>
          <w:rFonts w:ascii="Arial" w:cs="Arial" w:eastAsia="Arial" w:hAnsi="Arial"/>
          <w:b/>
          <w:bCs/>
          <w:sz w:val="22"/>
          <w:szCs w:val="22"/>
        </w:rPr>
        <w:t xml:space="preserve">Nature Communications, 15</w:t>
      </w:r>
      <w:r>
        <w:rPr>
          <w:rFonts w:ascii="Arial" w:cs="Arial" w:eastAsia="Arial" w:hAnsi="Arial"/>
          <w:sz w:val="22"/>
          <w:szCs w:val="22"/>
        </w:rPr>
        <w:t xml:space="preserve">, 3915.</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Schuit et al. demonstrate that a Vision Transformer (ViT) trained on Sentinel-2 multispectral patches achieves substantially better false positive rejection than convolutional architectures on diverse terrain types, including European vegetation, water bodies, and agricultural land — precisely the failure modes observed in our results. The ViT's global attention mechanism captures cross-channel spectral correlations that are characteristic of actual methane absorption (B12 attenuation relative to B11) rather than purely local texture features that confuse CNN-based detectors.</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6.3 Transfer Learning and Domain Adaptation</w:t>
      </w:r>
    </w:p>
    <w:p>
      <w:pPr>
        <w:pStyle w:val="Heading3"/>
        <w:spacing w:after="60" w:before="160"/>
      </w:pPr>
      <w:r>
        <w:rPr>
          <w:rFonts w:ascii="Arial" w:cs="Arial" w:eastAsia="Arial" w:hAnsi="Arial"/>
          <w:b/>
          <w:bCs/>
          <w:color w:val="000000"/>
          <w:sz w:val="24"/>
          <w:szCs w:val="24"/>
        </w:rPr>
        <w:t xml:space="preserve">6.3.1 DSAN Transfer Learning Framework</w:t>
      </w:r>
    </w:p>
    <w:p>
      <w:pPr>
        <w:spacing w:after="100"/>
      </w:pPr>
      <w:r>
        <w:rPr>
          <w:rFonts w:ascii="Arial" w:cs="Arial" w:eastAsia="Arial" w:hAnsi="Arial"/>
          <w:b/>
          <w:bCs/>
          <w:sz w:val="22"/>
          <w:szCs w:val="22"/>
        </w:rPr>
        <w:t xml:space="preserve">Jongaramrungruang, S. et al. (2025). </w:t>
      </w:r>
      <w:r>
        <w:rPr>
          <w:rFonts w:ascii="Arial" w:cs="Arial" w:eastAsia="Arial" w:hAnsi="Arial"/>
          <w:sz w:val="22"/>
          <w:szCs w:val="22"/>
        </w:rPr>
        <w:t xml:space="preserve">A data-efficient deep transfer learning framework for methane super-emitter detection in oil and gas fields using the Sentinel-2 satellite. </w:t>
      </w:r>
      <w:r>
        <w:rPr>
          <w:rFonts w:ascii="Arial" w:cs="Arial" w:eastAsia="Arial" w:hAnsi="Arial"/>
          <w:b/>
          <w:bCs/>
          <w:sz w:val="22"/>
          <w:szCs w:val="22"/>
        </w:rPr>
        <w:t xml:space="preserve">Atmospheric Chemistry and Physics, 25</w:t>
      </w:r>
      <w:r>
        <w:rPr>
          <w:rFonts w:ascii="Arial" w:cs="Arial" w:eastAsia="Arial" w:hAnsi="Arial"/>
          <w:sz w:val="22"/>
          <w:szCs w:val="22"/>
        </w:rPr>
        <w:t xml:space="preserve">, 4035–4060.</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paper directly addresses the domain shift problem that is central to our project. The DSAN (Deep Subdomain Adaptation Network) framework consists of two components:</w:t>
      </w:r>
    </w:p>
    <w:p>
      <w:pPr>
        <w:pStyle w:val="ListParagraph"/>
        <w:numPr>
          <w:ilvl w:val="0"/>
          <w:numId w:val="2"/>
        </w:numPr>
        <w:spacing w:after="80"/>
        <w:ind w:left="720" w:hanging="360"/>
      </w:pPr>
      <w:r>
        <w:rPr>
          <w:rFonts w:ascii="Arial" w:cs="Arial" w:eastAsia="Arial" w:hAnsi="Arial"/>
          <w:sz w:val="22"/>
          <w:szCs w:val="22"/>
        </w:rPr>
        <w:t xml:space="preserve">LRAD (Low-Reflectance Artifact Detection): an unsupervised artifact removal pre-processing step that identifies and masks surface/atmospheric artifacts in SWIR retrievals before training</w:t>
      </w:r>
    </w:p>
    <w:p>
      <w:pPr>
        <w:pStyle w:val="ListParagraph"/>
        <w:numPr>
          <w:ilvl w:val="0"/>
          <w:numId w:val="2"/>
        </w:numPr>
        <w:spacing w:after="80"/>
        <w:ind w:left="720" w:hanging="360"/>
      </w:pPr>
      <w:r>
        <w:rPr>
          <w:rFonts w:ascii="Arial" w:cs="Arial" w:eastAsia="Arial" w:hAnsi="Arial"/>
          <w:sz w:val="22"/>
          <w:szCs w:val="22"/>
        </w:rPr>
        <w:t xml:space="preserve">DSAN: a domain adaptation module that aligns feature distributions between source domain (Turkmenistan-style training data) and target domain (e.g., European vegetation, farmland, water)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framework achieves strong detection performance with as few as 5–10 labeled positive examples in the target domain, making it viable even with sparse European CH4 plume annotations. This is directly applicable to fine-tuning the CH4Net v2 backbone on European sites where TROPOMI has confirmed methane anomalies.</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Recommended application to this project:</w:t>
      </w:r>
      <w:r>
        <w:rPr>
          <w:rFonts w:ascii="Arial" w:cs="Arial" w:eastAsia="Arial" w:hAnsi="Arial"/>
          <w:sz w:val="22"/>
          <w:szCs w:val="22"/>
        </w:rPr>
        <w:t xml:space="preserve"> Apply LRAD pre-processing to all European Sentinel-2 tiles before CH4Net inference. Then compile 10–20 confirmed European emission events (from TROPOMI/MARS co-location) and fine-tune using the DSAN framework with the v2 model as backbone.</w:t>
      </w:r>
    </w:p>
    <w:p>
      <w:pPr>
        <w:spacing w:after="100"/>
      </w:pPr>
      <w:r>
        <w:rPr>
          <w:rFonts w:ascii="Arial" w:cs="Arial" w:eastAsia="Arial" w:hAnsi="Arial"/>
          <w:sz w:val="22"/>
          <w:szCs w:val="22"/>
        </w:rPr>
        <w:t xml:space="preserve"/>
      </w:r>
    </w:p>
    <w:p>
      <w:pPr>
        <w:pStyle w:val="Heading3"/>
        <w:spacing w:after="60" w:before="160"/>
      </w:pPr>
      <w:r>
        <w:rPr>
          <w:rFonts w:ascii="Arial" w:cs="Arial" w:eastAsia="Arial" w:hAnsi="Arial"/>
          <w:b/>
          <w:bCs/>
          <w:color w:val="000000"/>
          <w:sz w:val="24"/>
          <w:szCs w:val="24"/>
        </w:rPr>
        <w:t xml:space="preserve">6.3.2 IME Quantification Baseline</w:t>
      </w:r>
    </w:p>
    <w:p>
      <w:pPr>
        <w:spacing w:after="100"/>
      </w:pPr>
      <w:r>
        <w:rPr>
          <w:rFonts w:ascii="Arial" w:cs="Arial" w:eastAsia="Arial" w:hAnsi="Arial"/>
          <w:b/>
          <w:bCs/>
          <w:sz w:val="22"/>
          <w:szCs w:val="22"/>
        </w:rPr>
        <w:t xml:space="preserve">Varon, D.J. et al. (2021). </w:t>
      </w:r>
      <w:r>
        <w:rPr>
          <w:rFonts w:ascii="Arial" w:cs="Arial" w:eastAsia="Arial" w:hAnsi="Arial"/>
          <w:sz w:val="22"/>
          <w:szCs w:val="22"/>
        </w:rPr>
        <w:t xml:space="preserve">High-frequency monitoring of anomalous methane point sources with multispectral Sentinel-2 satellite observations. </w:t>
      </w:r>
      <w:r>
        <w:rPr>
          <w:rFonts w:ascii="Arial" w:cs="Arial" w:eastAsia="Arial" w:hAnsi="Arial"/>
          <w:b/>
          <w:bCs/>
          <w:sz w:val="22"/>
          <w:szCs w:val="22"/>
        </w:rPr>
        <w:t xml:space="preserve">Atmospheric Measurement Techniques, 14</w:t>
      </w:r>
      <w:r>
        <w:rPr>
          <w:rFonts w:ascii="Arial" w:cs="Arial" w:eastAsia="Arial" w:hAnsi="Arial"/>
          <w:sz w:val="22"/>
          <w:szCs w:val="22"/>
        </w:rPr>
        <w:t xml:space="preserve">, 2771–2785.</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Varon et al. establish the MBMP+IME pipeline that underpins most subsequent Sentinel-2 methane quantification work. Key parameters relevant to our CEMF bug:</w:t>
      </w:r>
    </w:p>
    <w:p>
      <w:pPr>
        <w:pStyle w:val="ListParagraph"/>
        <w:numPr>
          <w:ilvl w:val="0"/>
          <w:numId w:val="2"/>
        </w:numPr>
        <w:spacing w:after="80"/>
        <w:ind w:left="720" w:hanging="360"/>
      </w:pPr>
      <w:r>
        <w:rPr>
          <w:rFonts w:ascii="Arial" w:cs="Arial" w:eastAsia="Arial" w:hAnsi="Arial"/>
          <w:sz w:val="22"/>
          <w:szCs w:val="22"/>
        </w:rPr>
        <w:t xml:space="preserve">Bands 11 and 12 must be in units of TOA reflectance (0–1 range) for the matched filter formula to yield physically meaningful enhancement values (mol/m²)</w:t>
      </w:r>
    </w:p>
    <w:p>
      <w:pPr>
        <w:pStyle w:val="ListParagraph"/>
        <w:numPr>
          <w:ilvl w:val="0"/>
          <w:numId w:val="2"/>
        </w:numPr>
        <w:spacing w:after="80"/>
        <w:ind w:left="720" w:hanging="360"/>
      </w:pPr>
      <w:r>
        <w:rPr>
          <w:rFonts w:ascii="Arial" w:cs="Arial" w:eastAsia="Arial" w:hAnsi="Arial"/>
          <w:sz w:val="22"/>
          <w:szCs w:val="22"/>
        </w:rPr>
        <w:t xml:space="preserve">The minimum detectable flux is ~3 t/hr over quasi-homogeneous surface with 1σ precision of 30–90%</w:t>
      </w:r>
    </w:p>
    <w:p>
      <w:pPr>
        <w:pStyle w:val="ListParagraph"/>
        <w:numPr>
          <w:ilvl w:val="0"/>
          <w:numId w:val="2"/>
        </w:numPr>
        <w:spacing w:after="80"/>
        <w:ind w:left="720" w:hanging="360"/>
      </w:pPr>
      <w:r>
        <w:rPr>
          <w:rFonts w:ascii="Arial" w:cs="Arial" w:eastAsia="Arial" w:hAnsi="Arial"/>
          <w:sz w:val="22"/>
          <w:szCs w:val="22"/>
        </w:rPr>
        <w:t xml:space="preserve">Detection performance degrades significantly over heterogeneous terrain (agricultural mosaics, mixed urban-industrial) — exactly the European landscape</w:t>
      </w:r>
    </w:p>
    <w:p>
      <w:pPr>
        <w:pStyle w:val="ListParagraph"/>
        <w:numPr>
          <w:ilvl w:val="0"/>
          <w:numId w:val="2"/>
        </w:numPr>
        <w:spacing w:after="80"/>
        <w:ind w:left="720" w:hanging="360"/>
      </w:pPr>
      <w:r>
        <w:rPr>
          <w:rFonts w:ascii="Arial" w:cs="Arial" w:eastAsia="Arial" w:hAnsi="Arial"/>
          <w:sz w:val="22"/>
          <w:szCs w:val="22"/>
        </w:rPr>
        <w:t xml:space="preserve">The MBMP method (multi-band multi-pass) using a reference acquisition substantially outperforms single-pass methods like CEMF</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Status (completed):</w:t>
      </w:r>
      <w:r>
        <w:rPr>
          <w:rFonts w:ascii="Arial" w:cs="Arial" w:eastAsia="Arial" w:hAnsi="Arial"/>
          <w:sz w:val="22"/>
          <w:szCs w:val="22"/>
        </w:rPr>
        <w:t xml:space="preserve"> The CEMF sensitivity coefficient has been corrected from </w:t>
      </w:r>
      <w:r>
        <w:rPr>
          <w:rFonts w:ascii="Courier New" w:cs="Courier New" w:eastAsia="Courier New" w:hAnsi="Courier New"/>
          <w:color w:val="333333"/>
          <w:sz w:val="20"/>
          <w:szCs w:val="20"/>
        </w:rPr>
        <w:t xml:space="preserve">1e-9</w:t>
      </w:r>
      <w:r>
        <w:rPr>
          <w:rFonts w:ascii="Arial" w:cs="Arial" w:eastAsia="Arial" w:hAnsi="Arial"/>
          <w:sz w:val="22"/>
          <w:szCs w:val="22"/>
        </w:rPr>
        <w:t xml:space="preserve"> to </w:t>
      </w:r>
      <w:r>
        <w:rPr>
          <w:rFonts w:ascii="Courier New" w:cs="Courier New" w:eastAsia="Courier New" w:hAnsi="Courier New"/>
          <w:color w:val="333333"/>
          <w:sz w:val="20"/>
          <w:szCs w:val="20"/>
        </w:rPr>
        <w:t xml:space="preserve">4e-7</w:t>
      </w:r>
      <w:r>
        <w:rPr>
          <w:rFonts w:ascii="Arial" w:cs="Arial" w:eastAsia="Arial" w:hAnsi="Arial"/>
          <w:sz w:val="22"/>
          <w:szCs w:val="22"/>
        </w:rPr>
        <w:t xml:space="preserve"> (Varon 2021, AMT Sec. 2.2). Corrected Groningen estimate: 28.8 kg/hr. This is an important prerequisite for any regression-based quantification work, as inaccurate CEMF outputs would corrupt training labels.</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6.4 European-Specific Methane Sources</w:t>
      </w:r>
    </w:p>
    <w:p>
      <w:pPr>
        <w:pStyle w:val="Heading3"/>
        <w:spacing w:after="60" w:before="160"/>
      </w:pPr>
      <w:r>
        <w:rPr>
          <w:rFonts w:ascii="Arial" w:cs="Arial" w:eastAsia="Arial" w:hAnsi="Arial"/>
          <w:b/>
          <w:bCs/>
          <w:color w:val="000000"/>
          <w:sz w:val="24"/>
          <w:szCs w:val="24"/>
        </w:rPr>
        <w:t xml:space="preserve">6.4.1 Coal Mine Methane (CMM)</w:t>
      </w:r>
    </w:p>
    <w:p>
      <w:pPr>
        <w:spacing w:after="100"/>
      </w:pPr>
      <w:r>
        <w:rPr>
          <w:rFonts w:ascii="Arial" w:cs="Arial" w:eastAsia="Arial" w:hAnsi="Arial"/>
          <w:sz w:val="22"/>
          <w:szCs w:val="22"/>
        </w:rPr>
        <w:t xml:space="preserve">Our expanded JRC sweep focused on combustion plants but missed an important European methane source category: hard coal and lignite mines themselves emit substantial methane from abandoned workings and active ventilation. Key sites:</w:t>
      </w:r>
    </w:p>
    <w:p>
      <w:pPr>
        <w:pStyle w:val="ListParagraph"/>
        <w:numPr>
          <w:ilvl w:val="0"/>
          <w:numId w:val="2"/>
        </w:numPr>
        <w:spacing w:after="80"/>
        <w:ind w:left="720" w:hanging="360"/>
      </w:pPr>
      <w:r>
        <w:rPr>
          <w:rFonts w:ascii="Arial" w:cs="Arial" w:eastAsia="Arial" w:hAnsi="Arial"/>
          <w:sz w:val="22"/>
          <w:szCs w:val="22"/>
        </w:rPr>
        <w:t xml:space="preserve">Upper Silesian Coal Basin (Poland): among the top 5 European coal mine methane emitters. TROPOMI detections confirmed at Jastrzebie, Knurow, and Rybnik mine complexes — co-located with our Rybnik plant coordinate</w:t>
      </w:r>
    </w:p>
    <w:p>
      <w:pPr>
        <w:pStyle w:val="ListParagraph"/>
        <w:numPr>
          <w:ilvl w:val="0"/>
          <w:numId w:val="2"/>
        </w:numPr>
        <w:spacing w:after="80"/>
        <w:ind w:left="720" w:hanging="360"/>
      </w:pPr>
      <w:r>
        <w:rPr>
          <w:rFonts w:ascii="Arial" w:cs="Arial" w:eastAsia="Arial" w:hAnsi="Arial"/>
          <w:sz w:val="22"/>
          <w:szCs w:val="22"/>
        </w:rPr>
        <w:t xml:space="preserve">German Ruhr Basin: active and abandoned hard coal mines, especially Bottrop and Prosper-Haniel (final closure 2018), continue to emit from de-pressuring workings</w:t>
      </w:r>
    </w:p>
    <w:p>
      <w:pPr>
        <w:pStyle w:val="ListParagraph"/>
        <w:numPr>
          <w:ilvl w:val="0"/>
          <w:numId w:val="2"/>
        </w:numPr>
        <w:spacing w:after="80"/>
        <w:ind w:left="720" w:hanging="360"/>
      </w:pPr>
      <w:r>
        <w:rPr>
          <w:rFonts w:ascii="Arial" w:cs="Arial" w:eastAsia="Arial" w:hAnsi="Arial"/>
          <w:sz w:val="22"/>
          <w:szCs w:val="22"/>
        </w:rPr>
        <w:t xml:space="preserve">Czech Republic: OKD mines in Ostrava-Karvina coalfield documented by TROPOMI</w:t>
      </w:r>
    </w:p>
    <w:p>
      <w:pPr>
        <w:spacing w:after="100"/>
      </w:pPr>
      <w:r>
        <w:rPr>
          <w:rFonts w:ascii="Arial" w:cs="Arial" w:eastAsia="Arial" w:hAnsi="Arial"/>
          <w:sz w:val="22"/>
          <w:szCs w:val="22"/>
        </w:rPr>
        <w:t xml:space="preserve">These sites represent potential positive training examples for European CH4Net fine-tuning — TROPOMI confirmed, Sentinel-2 coincident acquisitions available via Copernicus Data Space.</w:t>
      </w:r>
    </w:p>
    <w:p>
      <w:pPr>
        <w:spacing w:after="100"/>
      </w:pPr>
      <w:r>
        <w:rPr>
          <w:rFonts w:ascii="Arial" w:cs="Arial" w:eastAsia="Arial" w:hAnsi="Arial"/>
          <w:sz w:val="22"/>
          <w:szCs w:val="22"/>
        </w:rPr>
        <w:t xml:space="preserve"/>
      </w:r>
    </w:p>
    <w:p>
      <w:pPr>
        <w:pStyle w:val="Heading3"/>
        <w:spacing w:after="60" w:before="160"/>
      </w:pPr>
      <w:r>
        <w:rPr>
          <w:rFonts w:ascii="Arial" w:cs="Arial" w:eastAsia="Arial" w:hAnsi="Arial"/>
          <w:b/>
          <w:bCs/>
          <w:color w:val="000000"/>
          <w:sz w:val="24"/>
          <w:szCs w:val="24"/>
        </w:rPr>
        <w:t xml:space="preserve">6.4.2 Natural Gas Infrastructure Leakage</w:t>
      </w:r>
    </w:p>
    <w:p>
      <w:pPr>
        <w:spacing w:after="100"/>
      </w:pPr>
      <w:r>
        <w:rPr>
          <w:rFonts w:ascii="Arial" w:cs="Arial" w:eastAsia="Arial" w:hAnsi="Arial"/>
          <w:sz w:val="22"/>
          <w:szCs w:val="22"/>
        </w:rPr>
        <w:t xml:space="preserve">The Groningen gas field result (S/C = 4.191) is our strongest validated detection. European natural gas infrastructure — transmission pipelines, compressor stations, LNG terminals — is documented as the continent's second-largest methane source after agriculture. TROPOMI XCH4 column data for 2019–2024 shows persistent anomalies over:</w:t>
      </w:r>
    </w:p>
    <w:p>
      <w:pPr>
        <w:pStyle w:val="ListParagraph"/>
        <w:numPr>
          <w:ilvl w:val="0"/>
          <w:numId w:val="2"/>
        </w:numPr>
        <w:spacing w:after="80"/>
        <w:ind w:left="720" w:hanging="360"/>
      </w:pPr>
      <w:r>
        <w:rPr>
          <w:rFonts w:ascii="Arial" w:cs="Arial" w:eastAsia="Arial" w:hAnsi="Arial"/>
          <w:sz w:val="22"/>
          <w:szCs w:val="22"/>
        </w:rPr>
        <w:t xml:space="preserve">North Sea offshore platforms (Total, Shell, Equinor)</w:t>
      </w:r>
    </w:p>
    <w:p>
      <w:pPr>
        <w:pStyle w:val="ListParagraph"/>
        <w:numPr>
          <w:ilvl w:val="0"/>
          <w:numId w:val="2"/>
        </w:numPr>
        <w:spacing w:after="80"/>
        <w:ind w:left="720" w:hanging="360"/>
      </w:pPr>
      <w:r>
        <w:rPr>
          <w:rFonts w:ascii="Arial" w:cs="Arial" w:eastAsia="Arial" w:hAnsi="Arial"/>
          <w:sz w:val="22"/>
          <w:szCs w:val="22"/>
        </w:rPr>
        <w:t xml:space="preserve">Dutch onshore distribution network (post-Groningen field curtailment)</w:t>
      </w:r>
    </w:p>
    <w:p>
      <w:pPr>
        <w:pStyle w:val="ListParagraph"/>
        <w:numPr>
          <w:ilvl w:val="0"/>
          <w:numId w:val="2"/>
        </w:numPr>
        <w:spacing w:after="80"/>
        <w:ind w:left="720" w:hanging="360"/>
      </w:pPr>
      <w:r>
        <w:rPr>
          <w:rFonts w:ascii="Arial" w:cs="Arial" w:eastAsia="Arial" w:hAnsi="Arial"/>
          <w:sz w:val="22"/>
          <w:szCs w:val="22"/>
        </w:rPr>
        <w:t xml:space="preserve">German ONTRAS/GASCADE transmission corridor</w:t>
      </w:r>
    </w:p>
    <w:p>
      <w:pPr>
        <w:pStyle w:val="ListParagraph"/>
        <w:numPr>
          <w:ilvl w:val="0"/>
          <w:numId w:val="2"/>
        </w:numPr>
        <w:spacing w:after="80"/>
        <w:ind w:left="720" w:hanging="360"/>
      </w:pPr>
      <w:r>
        <w:rPr>
          <w:rFonts w:ascii="Arial" w:cs="Arial" w:eastAsia="Arial" w:hAnsi="Arial"/>
          <w:sz w:val="22"/>
          <w:szCs w:val="22"/>
        </w:rPr>
        <w:t xml:space="preserve">Romanian Transgas pipeline from Moldova border to Iasi</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These sites are accessible via Copernicus Data Space and could form a European positive-class training set. TROPOMI Level 2 CH4 product (S5P_L2_CH4_) provides programmatic co-location validation.</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7. Recommended Next Steps</w:t>
      </w:r>
    </w:p>
    <w:p>
      <w:pPr>
        <w:pStyle w:val="Heading2"/>
        <w:spacing w:after="80" w:before="240"/>
      </w:pPr>
      <w:r>
        <w:rPr>
          <w:rFonts w:ascii="Arial" w:cs="Arial" w:eastAsia="Arial" w:hAnsi="Arial"/>
          <w:b/>
          <w:bCs/>
          <w:color w:val="2E75B6"/>
          <w:sz w:val="28"/>
          <w:szCs w:val="28"/>
        </w:rPr>
        <w:t xml:space="preserve">7.1 Immediate Fixes (&lt; 1 week)</w:t>
      </w:r>
    </w:p>
    <w:p>
      <w:pPr>
        <w:pStyle w:val="Heading3"/>
        <w:spacing w:after="60" w:before="160"/>
      </w:pPr>
      <w:r>
        <w:rPr>
          <w:rFonts w:ascii="Arial" w:cs="Arial" w:eastAsia="Arial" w:hAnsi="Arial"/>
          <w:b/>
          <w:bCs/>
          <w:color w:val="000000"/>
          <w:sz w:val="24"/>
          <w:szCs w:val="24"/>
        </w:rPr>
        <w:t xml:space="preserve">7.1.1 CEMF Sensitivity Coefficient — COMPLETED ✓</w:t>
      </w:r>
    </w:p>
    <w:p>
      <w:pPr>
        <w:spacing w:after="100"/>
      </w:pPr>
      <w:r>
        <w:rPr>
          <w:rFonts w:ascii="Arial" w:cs="Arial" w:eastAsia="Arial" w:hAnsi="Arial"/>
          <w:sz w:val="22"/>
          <w:szCs w:val="22"/>
        </w:rPr>
        <w:t xml:space="preserve">The CEMF sensitivity coefficient bug has been corrected. </w:t>
      </w:r>
      <w:r>
        <w:rPr>
          <w:rFonts w:ascii="Courier New" w:cs="Courier New" w:eastAsia="Courier New" w:hAnsi="Courier New"/>
          <w:color w:val="333333"/>
          <w:sz w:val="20"/>
          <w:szCs w:val="20"/>
        </w:rPr>
        <w:t xml:space="preserve">src/quantification/cemf.py</w:t>
      </w:r>
      <w:r>
        <w:rPr>
          <w:rFonts w:ascii="Arial" w:cs="Arial" w:eastAsia="Arial" w:hAnsi="Arial"/>
          <w:sz w:val="22"/>
          <w:szCs w:val="22"/>
        </w:rPr>
        <w:t xml:space="preserve"> now uses </w:t>
      </w:r>
      <w:r>
        <w:rPr>
          <w:rFonts w:ascii="Courier New" w:cs="Courier New" w:eastAsia="Courier New" w:hAnsi="Courier New"/>
          <w:color w:val="333333"/>
          <w:sz w:val="20"/>
          <w:szCs w:val="20"/>
        </w:rPr>
        <w:t xml:space="preserve">4e-7</w:t>
      </w:r>
      <w:r>
        <w:rPr>
          <w:rFonts w:ascii="Arial" w:cs="Arial" w:eastAsia="Arial" w:hAnsi="Arial"/>
          <w:sz w:val="22"/>
          <w:szCs w:val="22"/>
        </w:rPr>
        <w:t xml:space="preserve"> (Varon et al. 2021, AMT Sec. 2.2) in place of </w:t>
      </w:r>
      <w:r>
        <w:rPr>
          <w:rFonts w:ascii="Courier New" w:cs="Courier New" w:eastAsia="Courier New" w:hAnsi="Courier New"/>
          <w:color w:val="333333"/>
          <w:sz w:val="20"/>
          <w:szCs w:val="20"/>
        </w:rPr>
        <w:t xml:space="preserve">1e-9</w:t>
      </w:r>
      <w:r>
        <w:rPr>
          <w:rFonts w:ascii="Arial" w:cs="Arial" w:eastAsia="Arial" w:hAnsi="Arial"/>
          <w:sz w:val="22"/>
          <w:szCs w:val="22"/>
        </w:rPr>
        <w:t xml:space="preserve">. Corrected quantification results: Groningen 28.8 kg/hr (17.3–40.3), Maasvlakte 426.5 kg/hr (255.9–597.1). See Section 5 for full analysis.</w:t>
      </w:r>
    </w:p>
    <w:p>
      <w:pPr>
        <w:spacing w:after="100"/>
      </w:pPr>
      <w:r>
        <w:rPr>
          <w:rFonts w:ascii="Arial" w:cs="Arial" w:eastAsia="Arial" w:hAnsi="Arial"/>
          <w:sz w:val="22"/>
          <w:szCs w:val="22"/>
        </w:rPr>
        <w:t xml:space="preserve"/>
      </w:r>
    </w:p>
    <w:p>
      <w:pPr>
        <w:pStyle w:val="Heading3"/>
        <w:spacing w:after="60" w:before="160"/>
      </w:pPr>
      <w:r>
        <w:rPr>
          <w:rFonts w:ascii="Arial" w:cs="Arial" w:eastAsia="Arial" w:hAnsi="Arial"/>
          <w:b/>
          <w:bCs/>
          <w:color w:val="000000"/>
          <w:sz w:val="24"/>
          <w:szCs w:val="24"/>
        </w:rPr>
        <w:t xml:space="preserve">7.1.2 Diagnose Neurath/Jänschwalde S/C = 1.000</w:t>
      </w:r>
    </w:p>
    <w:p>
      <w:pPr>
        <w:spacing w:after="100"/>
      </w:pPr>
      <w:r>
        <w:rPr>
          <w:rFonts w:ascii="Arial" w:cs="Arial" w:eastAsia="Arial" w:hAnsi="Arial"/>
          <w:sz w:val="22"/>
          <w:szCs w:val="22"/>
        </w:rPr>
        <w:t xml:space="preserve">Both sites return exactly 1.000, indicating identical plant and control crops. Verify coordinates visually in QGIS or a web mapping tool, confirm both are within the Sentinel-2 tile footprint, and re-run with --no-cache and explicit coordinate verification.</w:t>
      </w:r>
    </w:p>
    <w:p>
      <w:pPr>
        <w:spacing w:after="100"/>
      </w:pPr>
      <w:r>
        <w:rPr>
          <w:rFonts w:ascii="Arial" w:cs="Arial" w:eastAsia="Arial" w:hAnsi="Arial"/>
          <w:sz w:val="22"/>
          <w:szCs w:val="22"/>
        </w:rPr>
        <w:t xml:space="preserve"/>
      </w:r>
    </w:p>
    <w:p>
      <w:pPr>
        <w:pStyle w:val="Heading3"/>
        <w:spacing w:after="60" w:before="160"/>
      </w:pPr>
      <w:r>
        <w:rPr>
          <w:rFonts w:ascii="Arial" w:cs="Arial" w:eastAsia="Arial" w:hAnsi="Arial"/>
          <w:b/>
          <w:bCs/>
          <w:color w:val="000000"/>
          <w:sz w:val="24"/>
          <w:szCs w:val="24"/>
        </w:rPr>
        <w:t xml:space="preserve">7.1.3 Ring Profiles for Weisweiler/Boxberg/Rybnik — COMPLETED ✓</w:t>
      </w:r>
    </w:p>
    <w:p>
      <w:pPr>
        <w:spacing w:after="100"/>
      </w:pPr>
      <w:r>
        <w:rPr>
          <w:rFonts w:ascii="Arial" w:cs="Arial" w:eastAsia="Arial" w:hAnsi="Arial"/>
          <w:sz w:val="22"/>
          <w:szCs w:val="22"/>
        </w:rPr>
        <w:t xml:space="preserve">Full ring profiles have been computed for all three sites on second-pass acquisitions. Weisweiler shows clear near-field decay (gradient ≈ +5); Boxberg is near-flat from 10 km; Rybnik shows increasing probability outward (terrain confirmed). </w:t>
      </w:r>
      <w:r>
        <w:rPr>
          <w:rFonts w:ascii="Arial" w:cs="Arial" w:eastAsia="Arial" w:hAnsi="Arial"/>
          <w:b/>
          <w:bCs/>
          <w:sz w:val="22"/>
          <w:szCs w:val="22"/>
        </w:rPr>
        <w:t xml:space="preserve">Next action:</w:t>
      </w:r>
      <w:r>
        <w:rPr>
          <w:rFonts w:ascii="Arial" w:cs="Arial" w:eastAsia="Arial" w:hAnsi="Arial"/>
          <w:sz w:val="22"/>
          <w:szCs w:val="22"/>
        </w:rPr>
        <w:t xml:space="preserve"> Fix the Neurath/Jänschwalde coordinate bug and re-run ring profiles for those two sites to determine whether the S/C=1.000 result is solely a pipeline issue or also reflects a genuine signal suppression.</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7.2 Short-Term: Multi-Date Averaging (1–2 weeks)</w:t>
      </w:r>
    </w:p>
    <w:p>
      <w:pPr>
        <w:spacing w:after="100"/>
      </w:pPr>
      <w:r>
        <w:rPr>
          <w:rFonts w:ascii="Arial" w:cs="Arial" w:eastAsia="Arial" w:hAnsi="Arial"/>
          <w:sz w:val="22"/>
          <w:szCs w:val="22"/>
        </w:rPr>
        <w:t xml:space="preserve">Single-acquisition results are highly sensitive to cloud cover, aerosol loading, and wind direction on acquisition day. Run 3–5 summer acquisitions per site (May–August 2024) and average the probability maps. Genuine methane emitters should show consistent spatial patterns across dates; terrain artefacts should appear at fixed geographic locations but inconsistently correlated with emission intensity.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Specifically prioritized sites for multi-date analysis:</w:t>
      </w:r>
    </w:p>
    <w:p>
      <w:pPr>
        <w:pStyle w:val="ListParagraph"/>
        <w:numPr>
          <w:ilvl w:val="0"/>
          <w:numId w:val="2"/>
        </w:numPr>
        <w:spacing w:after="80"/>
        <w:ind w:left="720" w:hanging="360"/>
      </w:pPr>
      <w:r>
        <w:rPr>
          <w:rFonts w:ascii="Arial" w:cs="Arial" w:eastAsia="Arial" w:hAnsi="Arial"/>
          <w:sz w:val="22"/>
          <w:szCs w:val="22"/>
        </w:rPr>
        <w:t xml:space="preserve">Weisweiler and Boxberg (highest non-Groningen S/C in expanded run)</w:t>
      </w:r>
    </w:p>
    <w:p>
      <w:pPr>
        <w:pStyle w:val="ListParagraph"/>
        <w:numPr>
          <w:ilvl w:val="0"/>
          <w:numId w:val="2"/>
        </w:numPr>
        <w:spacing w:after="80"/>
        <w:ind w:left="720" w:hanging="360"/>
      </w:pPr>
      <w:r>
        <w:rPr>
          <w:rFonts w:ascii="Arial" w:cs="Arial" w:eastAsia="Arial" w:hAnsi="Arial"/>
          <w:sz w:val="22"/>
          <w:szCs w:val="22"/>
        </w:rPr>
        <w:t xml:space="preserve">Groningen (confirm the single-acquisition result is robust)</w:t>
      </w:r>
    </w:p>
    <w:p>
      <w:pPr>
        <w:pStyle w:val="ListParagraph"/>
        <w:numPr>
          <w:ilvl w:val="0"/>
          <w:numId w:val="2"/>
        </w:numPr>
        <w:spacing w:after="80"/>
        <w:ind w:left="720" w:hanging="360"/>
      </w:pPr>
      <w:r>
        <w:rPr>
          <w:rFonts w:ascii="Arial" w:cs="Arial" w:eastAsia="Arial" w:hAnsi="Arial"/>
          <w:sz w:val="22"/>
          <w:szCs w:val="22"/>
        </w:rPr>
        <w:t xml:space="preserve">Rybnik (co-located with documented Upper Silesian CMM region)</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7.3 Regression Architecture Re-Design (2–4 weeks)</w:t>
      </w:r>
    </w:p>
    <w:p>
      <w:pPr>
        <w:spacing w:after="100"/>
      </w:pPr>
      <w:r>
        <w:rPr>
          <w:rFonts w:ascii="Arial" w:cs="Arial" w:eastAsia="Arial" w:hAnsi="Arial"/>
          <w:sz w:val="22"/>
          <w:szCs w:val="22"/>
        </w:rPr>
        <w:t xml:space="preserve">The binary sigmoid output of CH4Net v2 should be replaced or augmented with a regression head. Two viable architectures:</w:t>
      </w:r>
    </w:p>
    <w:p>
      <w:pPr>
        <w:pStyle w:val="Heading3"/>
        <w:spacing w:after="60" w:before="160"/>
      </w:pPr>
      <w:r>
        <w:rPr>
          <w:rFonts w:ascii="Arial" w:cs="Arial" w:eastAsia="Arial" w:hAnsi="Arial"/>
          <w:b/>
          <w:bCs/>
          <w:color w:val="000000"/>
          <w:sz w:val="24"/>
          <w:szCs w:val="24"/>
        </w:rPr>
        <w:t xml:space="preserve">7.3.1 Option A: Two-Stage (Detection + Quantification)</w:t>
      </w:r>
    </w:p>
    <w:p>
      <w:pPr>
        <w:spacing w:after="100"/>
      </w:pPr>
      <w:r>
        <w:rPr>
          <w:rFonts w:ascii="Arial" w:cs="Arial" w:eastAsia="Arial" w:hAnsi="Arial"/>
          <w:sz w:val="22"/>
          <w:szCs w:val="22"/>
        </w:rPr>
        <w:t xml:space="preserve">Keep CH4Net v2 as a detector (binary mask). Feed detected plume pixels into a separate regression CNN (S2MetNet architecture or MethaNet-style) that estimates column enhancement and source rate. Advantage: detection and quantification can be trained independently with different data. Disadvantage: errors in detection propagate to quantification.</w:t>
      </w:r>
    </w:p>
    <w:p>
      <w:pPr>
        <w:spacing w:after="100"/>
      </w:pPr>
      <w:r>
        <w:rPr>
          <w:rFonts w:ascii="Arial" w:cs="Arial" w:eastAsia="Arial" w:hAnsi="Arial"/>
          <w:sz w:val="22"/>
          <w:szCs w:val="22"/>
        </w:rPr>
        <w:t xml:space="preserve"/>
      </w:r>
    </w:p>
    <w:p>
      <w:pPr>
        <w:pStyle w:val="Heading3"/>
        <w:spacing w:after="60" w:before="160"/>
      </w:pPr>
      <w:r>
        <w:rPr>
          <w:rFonts w:ascii="Arial" w:cs="Arial" w:eastAsia="Arial" w:hAnsi="Arial"/>
          <w:b/>
          <w:bCs/>
          <w:color w:val="000000"/>
          <w:sz w:val="24"/>
          <w:szCs w:val="24"/>
        </w:rPr>
        <w:t xml:space="preserve">7.3.2 Option B: End-to-End Regression (MEQNet-style)</w:t>
      </w:r>
    </w:p>
    <w:p>
      <w:pPr>
        <w:spacing w:after="100"/>
      </w:pPr>
      <w:r>
        <w:rPr>
          <w:rFonts w:ascii="Arial" w:cs="Arial" w:eastAsia="Arial" w:hAnsi="Arial"/>
          <w:sz w:val="22"/>
          <w:szCs w:val="22"/>
        </w:rPr>
        <w:t xml:space="preserve">Redesign the output head of CH4Net to produce two channels: a binary detection map AND a continuous emission rate map. Train on bi-temporal inputs (target + reference date). The reference subtraction removes static terrain features, substantially reducing European false positives. This is the approach used by MEQNet (NeurIPS 2025) and MARS-S2L.</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Recommendation:</w:t>
      </w:r>
      <w:r>
        <w:rPr>
          <w:rFonts w:ascii="Arial" w:cs="Arial" w:eastAsia="Arial" w:hAnsi="Arial"/>
          <w:sz w:val="22"/>
          <w:szCs w:val="22"/>
        </w:rPr>
        <w:t xml:space="preserve"> Implement Option B. The bi-temporal reference subtraction is the single most impactful change for reducing European terrain false positives. Download a winter reference image (December 2023) for each site — winter acquisitions have minimal vegetation signal and no summer aerosol load, providing a clean spectral baseline. The difference image should isolate thermal/emission anomalies from static surface reflectance.</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7.4 European Retraining Data Assembly (3–6 weeks)</w:t>
      </w:r>
    </w:p>
    <w:p>
      <w:pPr>
        <w:spacing w:after="100"/>
      </w:pPr>
      <w:r>
        <w:rPr>
          <w:rFonts w:ascii="Arial" w:cs="Arial" w:eastAsia="Arial" w:hAnsi="Arial"/>
          <w:sz w:val="22"/>
          <w:szCs w:val="22"/>
        </w:rPr>
        <w:t xml:space="preserve">The current training dataset (8,255 samples from av555/ch4net HuggingFace) covers only Turkmenistan and a few North African/Middle Eastern sites. European retraining requires confirmed positive examples. Sources:</w:t>
      </w:r>
    </w:p>
    <w:p>
      <w:pPr>
        <w:pStyle w:val="ListParagraph"/>
        <w:numPr>
          <w:ilvl w:val="0"/>
          <w:numId w:val="2"/>
        </w:numPr>
        <w:spacing w:after="80"/>
        <w:ind w:left="720" w:hanging="360"/>
      </w:pPr>
      <w:r>
        <w:rPr>
          <w:rFonts w:ascii="Arial" w:cs="Arial" w:eastAsia="Arial" w:hAnsi="Arial"/>
          <w:sz w:val="22"/>
          <w:szCs w:val="22"/>
        </w:rPr>
        <w:t xml:space="preserve">MARS-S2L HuggingFace dataset (UNEP-IMEO/MARS-S2L): 1,015 confirmed detections at oil and gas sites, including European examples, with paired Sentinel-2 tiles</w:t>
      </w:r>
    </w:p>
    <w:p>
      <w:pPr>
        <w:pStyle w:val="ListParagraph"/>
        <w:numPr>
          <w:ilvl w:val="0"/>
          <w:numId w:val="2"/>
        </w:numPr>
        <w:spacing w:after="80"/>
        <w:ind w:left="720" w:hanging="360"/>
      </w:pPr>
      <w:r>
        <w:rPr>
          <w:rFonts w:ascii="Arial" w:cs="Arial" w:eastAsia="Arial" w:hAnsi="Arial"/>
          <w:sz w:val="22"/>
          <w:szCs w:val="22"/>
        </w:rPr>
        <w:t xml:space="preserve">TROPOMI XCH4 co-location: programmatically query S5P_L2_CH4_ Level 2 products via Sentinel-5P Hub for days with Sentinel-2 coincident passes. TROPOMI detects anomalies &gt;100 t/yr; match these dates and coordinates to download the Sentinel-2 tile</w:t>
      </w:r>
    </w:p>
    <w:p>
      <w:pPr>
        <w:pStyle w:val="ListParagraph"/>
        <w:numPr>
          <w:ilvl w:val="0"/>
          <w:numId w:val="2"/>
        </w:numPr>
        <w:spacing w:after="80"/>
        <w:ind w:left="720" w:hanging="360"/>
      </w:pPr>
      <w:r>
        <w:rPr>
          <w:rFonts w:ascii="Arial" w:cs="Arial" w:eastAsia="Arial" w:hAnsi="Arial"/>
          <w:sz w:val="22"/>
          <w:szCs w:val="22"/>
        </w:rPr>
        <w:t xml:space="preserve">EGU/ISPRA European emission inventory: cross-reference JRC-PPDB with E-PRTR (European Pollutant Release and Transfer Register) for verified CH4 emission figures to prioritize sites</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Negative examples:</w:t>
      </w:r>
      <w:r>
        <w:rPr>
          <w:rFonts w:ascii="Arial" w:cs="Arial" w:eastAsia="Arial" w:hAnsi="Arial"/>
          <w:sz w:val="22"/>
          <w:szCs w:val="22"/>
        </w:rPr>
        <w:t xml:space="preserve"> Also critical. The Rhenish open-pit mines (Inden, Hambach, Garzweiler) produce strong terrain activation without confirmed CH4 plumes — confirmed-clean TROPOMI dates at these sites can provide hard negative training examples that the model currently fails to suppress.</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7.5 TROPOMI Co-Location Validation (Ongoing)</w:t>
      </w:r>
    </w:p>
    <w:p>
      <w:pPr>
        <w:spacing w:after="100"/>
      </w:pPr>
      <w:r>
        <w:rPr>
          <w:rFonts w:ascii="Arial" w:cs="Arial" w:eastAsia="Arial" w:hAnsi="Arial"/>
          <w:sz w:val="22"/>
          <w:szCs w:val="22"/>
        </w:rPr>
        <w:t xml:space="preserve">Every candidate detection should be validated against TROPOMI Level 2 CH4 column data. The programmatic workflow:</w:t>
      </w:r>
    </w:p>
    <w:p>
      <w:pPr>
        <w:pStyle w:val="ListParagraph"/>
        <w:numPr>
          <w:ilvl w:val="0"/>
          <w:numId w:val="2"/>
        </w:numPr>
        <w:spacing w:after="80"/>
        <w:ind w:left="720" w:hanging="360"/>
      </w:pPr>
      <w:r>
        <w:rPr>
          <w:rFonts w:ascii="Arial" w:cs="Arial" w:eastAsia="Arial" w:hAnsi="Arial"/>
          <w:sz w:val="22"/>
          <w:szCs w:val="22"/>
        </w:rPr>
        <w:t xml:space="preserve">For each Sentinel-2 acquisition date, query the Sentinel-5P Pre-Operations Data Hub (S5PHUB) for TROPOMI XCH4 L2 products covering the same lat/lon</w:t>
      </w:r>
    </w:p>
    <w:p>
      <w:pPr>
        <w:pStyle w:val="ListParagraph"/>
        <w:numPr>
          <w:ilvl w:val="0"/>
          <w:numId w:val="2"/>
        </w:numPr>
        <w:spacing w:after="80"/>
        <w:ind w:left="720" w:hanging="360"/>
      </w:pPr>
      <w:r>
        <w:rPr>
          <w:rFonts w:ascii="Arial" w:cs="Arial" w:eastAsia="Arial" w:hAnsi="Arial"/>
          <w:sz w:val="22"/>
          <w:szCs w:val="22"/>
        </w:rPr>
        <w:t xml:space="preserve">Extract XCH4 enhancement (column – background) over a 0.5° × 0.5° box around the site</w:t>
      </w:r>
    </w:p>
    <w:p>
      <w:pPr>
        <w:pStyle w:val="ListParagraph"/>
        <w:numPr>
          <w:ilvl w:val="0"/>
          <w:numId w:val="2"/>
        </w:numPr>
        <w:spacing w:after="80"/>
        <w:ind w:left="720" w:hanging="360"/>
      </w:pPr>
      <w:r>
        <w:rPr>
          <w:rFonts w:ascii="Arial" w:cs="Arial" w:eastAsia="Arial" w:hAnsi="Arial"/>
          <w:sz w:val="22"/>
          <w:szCs w:val="22"/>
        </w:rPr>
        <w:t xml:space="preserve">Flag as validated if TROPOMI XCH4 anomaly &gt; 10 ppb above background</w:t>
      </w:r>
    </w:p>
    <w:p>
      <w:pPr>
        <w:pStyle w:val="ListParagraph"/>
        <w:numPr>
          <w:ilvl w:val="0"/>
          <w:numId w:val="2"/>
        </w:numPr>
        <w:spacing w:after="80"/>
        <w:ind w:left="720" w:hanging="360"/>
      </w:pPr>
      <w:r>
        <w:rPr>
          <w:rFonts w:ascii="Arial" w:cs="Arial" w:eastAsia="Arial" w:hAnsi="Arial"/>
          <w:sz w:val="22"/>
          <w:szCs w:val="22"/>
        </w:rPr>
        <w:t xml:space="preserve">This provides ground-truth binary labels for the multi-date averaging results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TROPOMI has ~7 km × 5.5 km pixel footprint — coarser than Sentinel-2 10 m — but sufficient to confirm field-scale emissions like Groningen. For point-source validation (individual plant stacks), TROPOMI is insufficient and EMIT or GHGSat data would be needed.</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7.6 ECB/EIB Integration Pathway</w:t>
      </w:r>
    </w:p>
    <w:p>
      <w:pPr>
        <w:spacing w:after="100"/>
      </w:pPr>
      <w:r>
        <w:rPr>
          <w:rFonts w:ascii="Arial" w:cs="Arial" w:eastAsia="Arial" w:hAnsi="Arial"/>
          <w:sz w:val="22"/>
          <w:szCs w:val="22"/>
        </w:rPr>
        <w:t xml:space="preserve">Given the results to date, the recommended integration pathway for ECB/EIB climate stress testing is a tiered approach:</w:t>
      </w:r>
    </w:p>
    <w:p>
      <w:pPr>
        <w:pStyle w:val="ListParagraph"/>
        <w:numPr>
          <w:ilvl w:val="0"/>
          <w:numId w:val="2"/>
        </w:numPr>
        <w:spacing w:after="80"/>
        <w:ind w:left="720" w:hanging="360"/>
      </w:pPr>
      <w:r>
        <w:rPr>
          <w:rFonts w:ascii="Arial" w:cs="Arial" w:eastAsia="Arial" w:hAnsi="Arial"/>
          <w:sz w:val="22"/>
          <w:szCs w:val="22"/>
        </w:rPr>
        <w:t xml:space="preserve">Tier 1 (Near-term, Q2 2026): TROPOMI-based screening. Use publicly available TROPOMI XCH4 anomaly maps to flag high-emitting assets in the loan book. No Sentinel-2 model dependency. ~7 km resolution, annual averages available from multiple academic and UNEP-IMEO sources.</w:t>
      </w:r>
    </w:p>
    <w:p>
      <w:pPr>
        <w:pStyle w:val="ListParagraph"/>
        <w:numPr>
          <w:ilvl w:val="0"/>
          <w:numId w:val="2"/>
        </w:numPr>
        <w:spacing w:after="80"/>
        <w:ind w:left="720" w:hanging="360"/>
      </w:pPr>
      <w:r>
        <w:rPr>
          <w:rFonts w:ascii="Arial" w:cs="Arial" w:eastAsia="Arial" w:hAnsi="Arial"/>
          <w:sz w:val="22"/>
          <w:szCs w:val="22"/>
        </w:rPr>
        <w:t xml:space="preserve">Tier 2 (Medium-term, Q3-Q4 2026): Sentinel-2 MEQNet-style quantification at flagged sites. Apply bi-temporal reference subtraction and regression emission rate estimation for sites identified in Tier 1. This provides 10 m spatial resolution and ~30-day revisit frequency.</w:t>
      </w:r>
    </w:p>
    <w:p>
      <w:pPr>
        <w:pStyle w:val="ListParagraph"/>
        <w:numPr>
          <w:ilvl w:val="0"/>
          <w:numId w:val="2"/>
        </w:numPr>
        <w:spacing w:after="80"/>
        <w:ind w:left="720" w:hanging="360"/>
      </w:pPr>
      <w:r>
        <w:rPr>
          <w:rFonts w:ascii="Arial" w:cs="Arial" w:eastAsia="Arial" w:hAnsi="Arial"/>
          <w:sz w:val="22"/>
          <w:szCs w:val="22"/>
        </w:rPr>
        <w:t xml:space="preserve">Tier 3 (Long-term): Fine-tuned CH4Net v2 with DSAN European domain adaptation as an always-on monitoring pipeline. Process every cloud-free Sentinel-2 pass over assets in the ECB collateral database, flag anomalies, and integrate emission rate estimates into the stress testing model.</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8. Patterns and Insights from Collective Data</w:t>
      </w:r>
    </w:p>
    <w:p>
      <w:pPr>
        <w:pStyle w:val="Heading2"/>
        <w:spacing w:after="80" w:before="240"/>
      </w:pPr>
      <w:r>
        <w:rPr>
          <w:rFonts w:ascii="Arial" w:cs="Arial" w:eastAsia="Arial" w:hAnsi="Arial"/>
          <w:b/>
          <w:bCs/>
          <w:color w:val="2E75B6"/>
          <w:sz w:val="28"/>
          <w:szCs w:val="28"/>
        </w:rPr>
        <w:t xml:space="preserve">8.1 Terrain Type as Primary Predictor</w:t>
      </w:r>
    </w:p>
    <w:p>
      <w:pPr>
        <w:spacing w:after="100"/>
      </w:pPr>
      <w:r>
        <w:rPr>
          <w:rFonts w:ascii="Arial" w:cs="Arial" w:eastAsia="Arial" w:hAnsi="Arial"/>
          <w:sz w:val="22"/>
          <w:szCs w:val="22"/>
        </w:rPr>
        <w:t xml:space="preserve">Across all experiments, the single strongest predictor of model output is terrain type, not emission rate or fuel type. The pattern across all 40+ sites tested:</w:t>
      </w:r>
    </w:p>
    <w:p>
      <w:pPr>
        <w:pStyle w:val="ListParagraph"/>
        <w:numPr>
          <w:ilvl w:val="0"/>
          <w:numId w:val="2"/>
        </w:numPr>
        <w:spacing w:after="80"/>
        <w:ind w:left="720" w:hanging="360"/>
      </w:pPr>
      <w:r>
        <w:rPr>
          <w:rFonts w:ascii="Arial" w:cs="Arial" w:eastAsia="Arial" w:hAnsi="Arial"/>
          <w:sz w:val="22"/>
          <w:szCs w:val="22"/>
        </w:rPr>
        <w:t xml:space="preserve">Arid/semi-arid terrain (Turkmenistan, Castilla plateau, Wallachian plain): high activation, poor spatial specificity. Model fires broadly on open sandy/clay surfaces regardless of methane presence.</w:t>
      </w:r>
    </w:p>
    <w:p>
      <w:pPr>
        <w:pStyle w:val="ListParagraph"/>
        <w:numPr>
          <w:ilvl w:val="0"/>
          <w:numId w:val="2"/>
        </w:numPr>
        <w:spacing w:after="80"/>
        <w:ind w:left="720" w:hanging="360"/>
      </w:pPr>
      <w:r>
        <w:rPr>
          <w:rFonts w:ascii="Arial" w:cs="Arial" w:eastAsia="Arial" w:hAnsi="Arial"/>
          <w:sz w:val="22"/>
          <w:szCs w:val="22"/>
        </w:rPr>
        <w:t xml:space="preserve">Temperate agricultural (Netherlands, Denmark, Po Valley): low activation overall (~0.008 mean probability). The model has genuinely debiased toward this terrain type, but real methane signals may be below threshold.</w:t>
      </w:r>
    </w:p>
    <w:p>
      <w:pPr>
        <w:pStyle w:val="ListParagraph"/>
        <w:numPr>
          <w:ilvl w:val="0"/>
          <w:numId w:val="2"/>
        </w:numPr>
        <w:spacing w:after="80"/>
        <w:ind w:left="720" w:hanging="360"/>
      </w:pPr>
      <w:r>
        <w:rPr>
          <w:rFonts w:ascii="Arial" w:cs="Arial" w:eastAsia="Arial" w:hAnsi="Arial"/>
          <w:sz w:val="22"/>
          <w:szCs w:val="22"/>
        </w:rPr>
        <w:t xml:space="preserve">Open-pit lignite mining terrain (Rhenish Germany, Lusatia): moderate-to-high activation at and near plant, consistently elevated S/C. Cannot distinguish mine-surface spectral signature from methane.</w:t>
      </w:r>
    </w:p>
    <w:p>
      <w:pPr>
        <w:pStyle w:val="ListParagraph"/>
        <w:numPr>
          <w:ilvl w:val="0"/>
          <w:numId w:val="2"/>
        </w:numPr>
        <w:spacing w:after="80"/>
        <w:ind w:left="720" w:hanging="360"/>
      </w:pPr>
      <w:r>
        <w:rPr>
          <w:rFonts w:ascii="Arial" w:cs="Arial" w:eastAsia="Arial" w:hAnsi="Arial"/>
          <w:sz w:val="22"/>
          <w:szCs w:val="22"/>
        </w:rPr>
        <w:t xml:space="preserve">Coastal/urban-fringe (Maasvlakte, Avedore, Dunkerque): variable; high precision at low event count, suggesting sparse but potentially real activations.</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8.2 Gas Fields vs. Point Sources</w:t>
      </w:r>
    </w:p>
    <w:p>
      <w:pPr>
        <w:spacing w:after="100"/>
      </w:pPr>
      <w:r>
        <w:rPr>
          <w:rFonts w:ascii="Arial" w:cs="Arial" w:eastAsia="Arial" w:hAnsi="Arial"/>
          <w:sz w:val="22"/>
          <w:szCs w:val="22"/>
        </w:rPr>
        <w:t xml:space="preserve">The Groningen result reveals a fundamental architectural tension: CH4Net was designed to detect concentrated point-source plumes from discrete infrastructure (wellheads, compressor stations). The Groningen gas field is a geological formation distributed over thousands of km². The strong S/C ratio (4.191) reflects the broad regional activation over this area but the negative gradient score (-15.9) confirms this is not a concentrated plume signature. Detection of geological field emissions may require a different spatial scale of analysis than point-source detection.</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8.3 Capacity Does Not Predict Detection</w:t>
      </w:r>
    </w:p>
    <w:p>
      <w:pPr>
        <w:spacing w:after="100"/>
      </w:pPr>
      <w:r>
        <w:rPr>
          <w:rFonts w:ascii="Arial" w:cs="Arial" w:eastAsia="Arial" w:hAnsi="Arial"/>
          <w:sz w:val="22"/>
          <w:szCs w:val="22"/>
        </w:rPr>
        <w:t xml:space="preserve">Neurath (4,400 MW, Europe's largest active lignite plant) returns S/C = 1.000 (data quality issue), while Weisweiler (1,800 MW) returns 2.091. Bełchatów (5,000 MW, Europe's largest coal plant) returns 0.959. This non-monotonic relationship between installed capacity and detection signal suggests that local terrain type, plant operating mode, and tile acquisition conditions dominate over actual emission rate in determining CH4Net output. This is the clearest evidence that the binary classification paradigm must be replaced with a physically grounded regression model.</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8.4 Metric Disagreement as Information</w:t>
      </w:r>
    </w:p>
    <w:p>
      <w:pPr>
        <w:spacing w:after="100"/>
      </w:pPr>
      <w:r>
        <w:rPr>
          <w:rFonts w:ascii="Arial" w:cs="Arial" w:eastAsia="Arial" w:hAnsi="Arial"/>
          <w:sz w:val="22"/>
          <w:szCs w:val="22"/>
        </w:rPr>
        <w:t xml:space="preserve">The disagreement between S/C ratio and ring-profile gradient is itself informative:</w:t>
      </w:r>
    </w:p>
    <w:p>
      <w:pPr>
        <w:pStyle w:val="ListParagraph"/>
        <w:numPr>
          <w:ilvl w:val="0"/>
          <w:numId w:val="2"/>
        </w:numPr>
        <w:spacing w:after="80"/>
        <w:ind w:left="720" w:hanging="360"/>
      </w:pPr>
      <w:r>
        <w:rPr>
          <w:rFonts w:ascii="Arial" w:cs="Arial" w:eastAsia="Arial" w:hAnsi="Arial"/>
          <w:sz w:val="22"/>
          <w:szCs w:val="22"/>
        </w:rPr>
        <w:t xml:space="preserve">High S/C, negative gradient (Groningen): diffuse geological field emission — broad area activation, not point source</w:t>
      </w:r>
    </w:p>
    <w:p>
      <w:pPr>
        <w:pStyle w:val="ListParagraph"/>
        <w:numPr>
          <w:ilvl w:val="0"/>
          <w:numId w:val="2"/>
        </w:numPr>
        <w:spacing w:after="80"/>
        <w:ind w:left="720" w:hanging="360"/>
      </w:pPr>
      <w:r>
        <w:rPr>
          <w:rFonts w:ascii="Arial" w:cs="Arial" w:eastAsia="Arial" w:hAnsi="Arial"/>
          <w:sz w:val="22"/>
          <w:szCs w:val="22"/>
        </w:rPr>
        <w:t xml:space="preserve">High gradient, neutral S/C (Pocerady, Brindisi): near-field terrain concentration — possibly terrain artifact close to industrial infrastructure</w:t>
      </w:r>
    </w:p>
    <w:p>
      <w:pPr>
        <w:pStyle w:val="ListParagraph"/>
        <w:numPr>
          <w:ilvl w:val="0"/>
          <w:numId w:val="2"/>
        </w:numPr>
        <w:spacing w:after="80"/>
        <w:ind w:left="720" w:hanging="360"/>
      </w:pPr>
      <w:r>
        <w:rPr>
          <w:rFonts w:ascii="Arial" w:cs="Arial" w:eastAsia="Arial" w:hAnsi="Arial"/>
          <w:sz w:val="22"/>
          <w:szCs w:val="22"/>
        </w:rPr>
        <w:t xml:space="preserve">Both suppressed (Irsching, Cordemais, Avedore): true non-detection on European temperate terrain — too little activation to evaluate</w:t>
      </w:r>
    </w:p>
    <w:p>
      <w:pPr>
        <w:pStyle w:val="ListParagraph"/>
        <w:numPr>
          <w:ilvl w:val="0"/>
          <w:numId w:val="2"/>
        </w:numPr>
        <w:spacing w:after="80"/>
        <w:ind w:left="720" w:hanging="360"/>
      </w:pPr>
      <w:r>
        <w:rPr>
          <w:rFonts w:ascii="Arial" w:cs="Arial" w:eastAsia="Arial" w:hAnsi="Arial"/>
          <w:sz w:val="22"/>
          <w:szCs w:val="22"/>
        </w:rPr>
        <w:t xml:space="preserve">Both neutral, high events (Larobla, Eastern European sites): terrain false positives dominating — need hard negative examples from these terrain types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Building a composite score that weights S/C, gradient, and event precision is more robust than any single metric. The optimal weights would be learned from the MARS-S2L confirmed ground-truth dataset.</w:t>
      </w:r>
    </w:p>
    <w:p>
      <w:pPr>
        <w:spacing w:after="10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8.5 The F1 = 0.27 Ceiling</w:t>
      </w:r>
    </w:p>
    <w:p>
      <w:pPr>
        <w:spacing w:after="100"/>
      </w:pPr>
      <w:r>
        <w:rPr>
          <w:rFonts w:ascii="Arial" w:cs="Arial" w:eastAsia="Arial" w:hAnsi="Arial"/>
          <w:sz w:val="22"/>
          <w:szCs w:val="22"/>
        </w:rPr>
        <w:t xml:space="preserve">The v2 model's best validation F1 of 0.2733 (epoch 34 of 50) indicates substantial room for improvement. For context, MARS-S2L and MEQNet report F1 &gt; 0.85 on their test sets. The gap has three sources:</w:t>
      </w:r>
    </w:p>
    <w:p>
      <w:pPr>
        <w:pStyle w:val="ListParagraph"/>
        <w:numPr>
          <w:ilvl w:val="0"/>
          <w:numId w:val="2"/>
        </w:numPr>
        <w:spacing w:after="80"/>
        <w:ind w:left="720" w:hanging="360"/>
      </w:pPr>
      <w:r>
        <w:rPr>
          <w:rFonts w:ascii="Arial" w:cs="Arial" w:eastAsia="Arial" w:hAnsi="Arial"/>
          <w:sz w:val="22"/>
          <w:szCs w:val="22"/>
        </w:rPr>
        <w:t xml:space="preserve">Training domain mismatch: av555/ch4net dataset is dominated by Middle Eastern terrain; F1 measured on the same distribution may be higher than real-world European F1</w:t>
      </w:r>
    </w:p>
    <w:p>
      <w:pPr>
        <w:pStyle w:val="ListParagraph"/>
        <w:numPr>
          <w:ilvl w:val="0"/>
          <w:numId w:val="2"/>
        </w:numPr>
        <w:spacing w:after="80"/>
        <w:ind w:left="720" w:hanging="360"/>
      </w:pPr>
      <w:r>
        <w:rPr>
          <w:rFonts w:ascii="Arial" w:cs="Arial" w:eastAsia="Arial" w:hAnsi="Arial"/>
          <w:sz w:val="22"/>
          <w:szCs w:val="22"/>
        </w:rPr>
        <w:t xml:space="preserve">Class imbalance: 0.21% positive pixels with pos_weight=50.0 still leaves the model uncertain over much of Europe where neither strong positive nor strong negative examples exist</w:t>
      </w:r>
    </w:p>
    <w:p>
      <w:pPr>
        <w:pStyle w:val="ListParagraph"/>
        <w:numPr>
          <w:ilvl w:val="0"/>
          <w:numId w:val="2"/>
        </w:numPr>
        <w:spacing w:after="80"/>
        <w:ind w:left="720" w:hanging="360"/>
      </w:pPr>
      <w:r>
        <w:rPr>
          <w:rFonts w:ascii="Arial" w:cs="Arial" w:eastAsia="Arial" w:hAnsi="Arial"/>
          <w:sz w:val="22"/>
          <w:szCs w:val="22"/>
        </w:rPr>
        <w:t xml:space="preserve">Architecture: the U-Net with div_factor=8 is appropriate for detection but lacks the temporal reasoning (bi-temporal input) that MARS-S2L and MEQNet identify as critical for terrain artifact rejection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practical ceiling for CH4Net v2 on European terrain, without retraining on European data or switching to a bi-temporal architecture, is likely F1 ~0.30–0.40. Achieving F1 &gt; 0.75 will require at minimum: European positive examples, confirmed-clean negative examples, and a reference-subtraction bi-temporal input.</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9. References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Vaughan, A. et al. (2024). CH4Net: a deep learning model for monitoring methane super-emitters with Sentinel-2 imagery. Atmospheric Measurement Techniques, 17, 2583–2604. https://doi.org/10.5194/amt-17-2583-2024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w:t>
            </w:r>
          </w:p>
        </w:tc>
        <w:tc>
          <w:tcPr>
            <w:tcW w:type="dxa" w:w="9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Radman, A. et al. (2023). S2MetNet: A novel dataset and deep learning benchmark for methane point source quantification using Sentinel-2 satellite imagery. Remote Sensing of Environment, 295, 113708. https://doi.org/10.1016/j.rse.2023.113708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MEQNet (2025). Deep Learning for Methane Point Source Emission Quantification from Sentinel-2 Observations. NeurIPS 2025 Workshop: Tackling Climate Change with Machine Learning. https://www.climatechange.ai/papers/neurips2025/17</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w:t>
            </w:r>
          </w:p>
        </w:tc>
        <w:tc>
          <w:tcPr>
            <w:tcW w:type="dxa" w:w="9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UNEP-IMEO (2024–2025). Methane Alert and Response System (MARS) — MARS-S2L Dataset. HuggingFace: UNEP-IMEO/MARS-S2L. https://huggingface.co/datasets/UNEP-IMEO/MARS-S2L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Jongaramrungruang, S. et al. (2025). A data-efficient deep transfer learning framework for methane super-emitter detection in oil and gas fields using the Sentinel-2 satellite. Atmospheric Chemistry and Physics, 25, 4035–4060. https://doi.org/10.5194/acp-25-4035-2025</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[6]</w:t>
            </w:r>
          </w:p>
        </w:tc>
        <w:tc>
          <w:tcPr>
            <w:tcW w:type="dxa" w:w="9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Varon, D.J. et al. (2021). High-frequency monitoring of anomalous methane point sources with multispectral Sentinel-2 satellite observations. Atmospheric Measurement Techniques, 14, 2771–2785. https://doi.org/10.5194/amt-14-2771-2021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[7]</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Jongaramrungruang, S. et al. (2022). MethaNet: An AI-driven approach to quantifying methane point-source emission from high-resolution 2D plume imagery. Remote Sensing of Environment, 269, 112809.</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[8]</w:t>
            </w:r>
          </w:p>
        </w:tc>
        <w:tc>
          <w:tcPr>
            <w:tcW w:type="dxa" w:w="9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Schuit, B.J. et al. (2023). Automatic detection of methane emissions in multispectral satellite imagery using a vision transformer. Nature Communications, 15, 3915. https://doi.org/10.1038/s41467-024-47754-y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[9]</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JRC-PPDB-OPEN v1.0. Joint Research Centre Power Plant Database (Open). European Commission. https://data.jrc.ec.europa.eu/dataset/jrc-10121-10001</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[10]</w:t>
            </w:r>
          </w:p>
        </w:tc>
        <w:tc>
          <w:tcPr>
            <w:tcW w:type="dxa" w:w="9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IEA Global Methane Tracker 2025. International Energy Agency. https://iea.blob.core.windows.net/assets/b83c32dd-fc1b-4917-96e9-8cd918801cbf/GlobalMethaneTracker2025.pdf</w:t>
            </w:r>
          </w:p>
        </w:tc>
      </w:tr>
    </w:tbl>
    <w:p>
      <w:pPr>
        <w:spacing w:after="60"/>
      </w:pPr>
      <w:r>
        <w:t xml:space="preserve"/>
      </w:r>
    </w:p>
    <w:p>
      <w:pPr>
        <w:spacing w:after="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t xml:space="preserve">Columbia MSOR  |  IEOR 4742  |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CH4Net Satellite Methane Tracking — Update 2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2026-04-04T23:11:01.377Z</dcterms:created>
  <dcterms:modified xsi:type="dcterms:W3CDTF">2026-04-04T23:11:01.377Z</dcterms:modified>
</cp:coreProperties>
</file>

<file path=docProps/custom.xml><?xml version="1.0" encoding="utf-8"?>
<Properties xmlns="http://schemas.openxmlformats.org/officeDocument/2006/custom-properties" xmlns:vt="http://schemas.openxmlformats.org/officeDocument/2006/docPropsVTypes"/>
</file>