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3.3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Database Design,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(section 12) regenerated from the live database after the completion batches: migrations V39 to V49, 37 new tables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new integrity rules and status values, and the notes on retention and encryption.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as-built schema brought up to migration V50 (job_locks table for scheduled jobs).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V51 after Batch 10: late-registration fee, application-fee reminders, waivers proposed when a status change takes effect, hostel bed changes with the fee difference, refunds of fees paid (hostel check-out and cancellation), and the entry-rule test tool.</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Database Design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Design principles</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Conventions</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Multi-Tenancy Model</w:t>
            </w:r>
            <w:r>
              <w:rPr>
                <w:rFonts w:ascii="Calibri" w:cs="Calibri" w:eastAsia="Calibri" w:hAnsi="Calibri"/>
                <w:b/>
                <w:bCs/>
                <w:color w:val="1F3864"/>
                <w:sz w:val="21"/>
                <w:szCs w:val="21"/>
              </w:rPr>
              <w:tab/>
              <w:t>6</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4. Domain Models</w:t>
            </w:r>
            <w:r>
              <w:rPr>
                <w:rFonts w:ascii="Calibri" w:cs="Calibri" w:eastAsia="Calibri" w:hAnsi="Calibri"/>
                <w:b/>
                <w:bCs/>
                <w:color w:val="1F3864"/>
                <w:sz w:val="21"/>
                <w:szCs w:val="21"/>
              </w:rPr>
              <w:tab/>
              <w:t>7</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4.1 Admissions and registry</w:t>
            </w:r>
            <w:r>
              <w:rPr>
                <w:rFonts w:ascii="Calibri" w:cs="Calibri" w:eastAsia="Calibri" w:hAnsi="Calibri"/>
                <w:sz w:val="20"/>
                <w:szCs w:val="20"/>
              </w:rPr>
              <w:tab/>
              <w:t>7</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4.2 Academic structure, teaching and examinations</w:t>
            </w:r>
            <w:r>
              <w:rPr>
                <w:rFonts w:ascii="Calibri" w:cs="Calibri" w:eastAsia="Calibri" w:hAnsi="Calibri"/>
                <w:sz w:val="20"/>
                <w:szCs w:val="20"/>
              </w:rPr>
              <w:tab/>
              <w:t>7</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4.3 Finance and hostel</w:t>
            </w:r>
            <w:r>
              <w:rPr>
                <w:rFonts w:ascii="Calibri" w:cs="Calibri" w:eastAsia="Calibri" w:hAnsi="Calibri"/>
                <w:sz w:val="20"/>
                <w:szCs w:val="20"/>
              </w:rPr>
              <w:tab/>
              <w:t>8</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Table Catalogue</w:t>
            </w:r>
            <w:r>
              <w:rPr>
                <w:rFonts w:ascii="Calibri" w:cs="Calibri" w:eastAsia="Calibri" w:hAnsi="Calibri"/>
                <w:b/>
                <w:bCs/>
                <w:color w:val="1F3864"/>
                <w:sz w:val="21"/>
                <w:szCs w:val="21"/>
              </w:rPr>
              <w:tab/>
              <w:t>9</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Data Dictionary — Core Tables</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1" w:history="1">
            <w:r>
              <w:rPr>
                <w:rFonts w:ascii="Calibri" w:cs="Calibri" w:eastAsia="Calibri" w:hAnsi="Calibri"/>
                <w:b/>
                <w:bCs/>
                <w:color w:val="1F3864"/>
                <w:sz w:val="21"/>
                <w:szCs w:val="21"/>
              </w:rPr>
              <w:t xml:space="preserve">7. Status Lifecycles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12" w:history="1">
            <w:r>
              <w:rPr>
                <w:rFonts w:ascii="Calibri" w:cs="Calibri" w:eastAsia="Calibri" w:hAnsi="Calibri"/>
                <w:b/>
                <w:bCs/>
                <w:color w:val="1F3864"/>
                <w:sz w:val="21"/>
                <w:szCs w:val="21"/>
              </w:rPr>
              <w:t xml:space="preserve">8. Integrity Rules Enforced in the Database</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9. Performance and Scalability</w:t>
            </w:r>
            <w:r>
              <w:rPr>
                <w:rFonts w:ascii="Calibri" w:cs="Calibri" w:eastAsia="Calibri" w:hAnsi="Calibri"/>
                <w:b/>
                <w:bCs/>
                <w:color w:val="1F3864"/>
                <w:sz w:val="21"/>
                <w:szCs w:val="21"/>
              </w:rPr>
              <w:tab/>
              <w:t>17</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9.1 Indexing strategy</w:t>
            </w:r>
            <w:r>
              <w:rPr>
                <w:rFonts w:ascii="Calibri" w:cs="Calibri" w:eastAsia="Calibri" w:hAnsi="Calibri"/>
                <w:sz w:val="20"/>
                <w:szCs w:val="20"/>
              </w:rPr>
              <w:tab/>
              <w:t>17</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9.2 Volume estimates</w:t>
            </w:r>
            <w:r>
              <w:rPr>
                <w:rFonts w:ascii="Calibri" w:cs="Calibri" w:eastAsia="Calibri" w:hAnsi="Calibri"/>
                <w:sz w:val="20"/>
                <w:szCs w:val="20"/>
              </w:rPr>
              <w:tab/>
              <w:t>17</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10. Data Governance and Protection</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10.1 Ownership</w:t>
            </w:r>
            <w:r>
              <w:rPr>
                <w:rFonts w:ascii="Calibri" w:cs="Calibri" w:eastAsia="Calibri" w:hAnsi="Calibri"/>
                <w:sz w:val="20"/>
                <w:szCs w:val="20"/>
              </w:rPr>
              <w:tab/>
              <w:t>18</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10.2 Personal data protection (PDPA 2022)</w:t>
            </w:r>
            <w:r>
              <w:rPr>
                <w:rFonts w:ascii="Calibri" w:cs="Calibri" w:eastAsia="Calibri" w:hAnsi="Calibri"/>
                <w:sz w:val="20"/>
                <w:szCs w:val="20"/>
              </w:rPr>
              <w:tab/>
              <w:t>18</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10.3 Retention</w:t>
            </w:r>
            <w:r>
              <w:rPr>
                <w:rFonts w:ascii="Calibri" w:cs="Calibri" w:eastAsia="Calibri" w:hAnsi="Calibri"/>
                <w:sz w:val="20"/>
                <w:szCs w:val="20"/>
              </w:rPr>
              <w:tab/>
              <w:t>19</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10.4 Backup and recovery</w:t>
            </w:r>
            <w:r>
              <w:rPr>
                <w:rFonts w:ascii="Calibri" w:cs="Calibri" w:eastAsia="Calibri" w:hAnsi="Calibri"/>
                <w:sz w:val="20"/>
                <w:szCs w:val="20"/>
              </w:rPr>
              <w:tab/>
              <w:t>19</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11. Data Migration</w:t>
            </w:r>
            <w:r>
              <w:rPr>
                <w:rFonts w:ascii="Calibri" w:cs="Calibri" w:eastAsia="Calibri" w:hAnsi="Calibri"/>
                <w:b/>
                <w:bCs/>
                <w:color w:val="1F3864"/>
                <w:sz w:val="21"/>
                <w:szCs w:val="21"/>
              </w:rPr>
              <w:tab/>
              <w:t>19</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12. As-Built Schema (October 2026)</w:t>
            </w:r>
            <w:r>
              <w:rPr>
                <w:rFonts w:ascii="Calibri" w:cs="Calibri" w:eastAsia="Calibri" w:hAnsi="Calibri"/>
                <w:b/>
                <w:bCs/>
                <w:color w:val="1F3864"/>
                <w:sz w:val="21"/>
                <w:szCs w:val="21"/>
              </w:rPr>
              <w:tab/>
              <w:t>20</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12.1 Summary</w:t>
            </w:r>
            <w:r>
              <w:rPr>
                <w:rFonts w:ascii="Calibri" w:cs="Calibri" w:eastAsia="Calibri" w:hAnsi="Calibri"/>
                <w:sz w:val="20"/>
                <w:szCs w:val="20"/>
              </w:rPr>
              <w:tab/>
              <w:t>20</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12.2 Table catalogue</w:t>
            </w:r>
            <w:r>
              <w:rPr>
                <w:rFonts w:ascii="Calibri" w:cs="Calibri" w:eastAsia="Calibri" w:hAnsi="Calibri"/>
                <w:sz w:val="20"/>
                <w:szCs w:val="20"/>
              </w:rPr>
              <w:tab/>
              <w:t>21</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12.3 Integrity rules in the database</w:t>
            </w:r>
            <w:r>
              <w:rPr>
                <w:rFonts w:ascii="Calibri" w:cs="Calibri" w:eastAsia="Calibri" w:hAnsi="Calibri"/>
                <w:sz w:val="20"/>
                <w:szCs w:val="20"/>
              </w:rPr>
              <w:tab/>
              <w:t>27</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12.4 Status values</w:t>
            </w:r>
            <w:r>
              <w:rPr>
                <w:rFonts w:ascii="Calibri" w:cs="Calibri" w:eastAsia="Calibri" w:hAnsi="Calibri"/>
                <w:sz w:val="20"/>
                <w:szCs w:val="20"/>
              </w:rPr>
              <w:tab/>
              <w:t>28</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12.5 Migration history</w:t>
            </w:r>
            <w:r>
              <w:rPr>
                <w:rFonts w:ascii="Calibri" w:cs="Calibri" w:eastAsia="Calibri" w:hAnsi="Calibri"/>
                <w:sz w:val="20"/>
                <w:szCs w:val="20"/>
              </w:rPr>
              <w:tab/>
              <w:t>29</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the data model is, what it must support and the principles behind it. The database is where every institution's records are kept, so its design decides how accurate, secure and fast the system can be.</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bookmarkStart w:id="2" w:name="_TocV11_2"/>
      <w:r>
        <w:rPr>
          <w:rFonts w:ascii="Calibri" w:cs="Calibri" w:eastAsia="Calibri" w:hAnsi="Calibri"/>
        </w:rPr>
        <w:t xml:space="preserve">1.1 Design principles</w:t>
      </w:r>
      <w:bookmarkEnd w:id="2"/>
    </w:p>
    <w:p>
      <w:pPr>
        <w:spacing w:after="300"/>
      </w:pPr>
      <w:r>
        <w:rPr>
          <w:i/>
          <w:rFonts w:ascii="Calibri" w:cs="Calibri" w:eastAsia="Calibri" w:hAnsi="Calibri"/>
          <w:color w:val="595959"/>
          <w:sz w:val="22"/>
          <w:szCs w:val="22"/>
        </w:rPr>
        <w:t xml:space="preserve">The design principles are the rules followed throughout the data model, such as avoiding duplicate data, keeping a full history and protecting each institution's records. They explain why the tables look as they do.</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principles hold. Every institution table carries tenant_id under forced row-level security; invoices, payments, students, confirmed results and the audit trail are protected by database triggers; partial unique indexes enforce the key business rules; GePG receipts and gateway references are unique, so retries never duplicate. Entry rules are JSON on the window's programmes; regulations are relational tables (bands) rather than one JSON document.</w:t>
      </w:r>
    </w:p>
    <w:p>
      <w:pPr>
        <w:pStyle w:val="Heading1"/>
      </w:pPr>
      <w:bookmarkStart w:id="3" w:name="_TocV11_3"/>
      <w:r>
        <w:rPr>
          <w:rFonts w:ascii="Calibri" w:cs="Calibri" w:eastAsia="Calibri" w:hAnsi="Calibri"/>
        </w:rPr>
        <w:t xml:space="preserve">2. Conventions</w:t>
      </w:r>
      <w:bookmarkEnd w:id="3"/>
    </w:p>
    <w:p>
      <w:pPr>
        <w:spacing w:after="300"/>
      </w:pPr>
      <w:r>
        <w:rPr>
          <w:i/>
          <w:rFonts w:ascii="Calibri" w:cs="Calibri" w:eastAsia="Calibri" w:hAnsi="Calibri"/>
          <w:color w:val="595959"/>
          <w:sz w:val="22"/>
          <w:szCs w:val="22"/>
        </w:rPr>
        <w:t xml:space="preserve">Consistent naming and standard column types make the database easier to understand, maintain and audit. This section lists the conventions every table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all tables are in the single public schema (module boundaries are Java packages, not schemas). Keys are BIGINT identities; external links use reference numbers and verification codes rather than UUIDs. Most business tables have created_at, updated_at and version (optimistic locking); who acted is stored with each decision (for example approved_by and approved_by_name) and in the audit trail rather than in generic created_by columns. Migrations are named V&lt;n&gt;__&lt;description&gt;.sql (V1–V38). Photos are stored in the database.</w:t>
      </w:r>
    </w:p>
    <w:p>
      <w:pPr>
        <w:pStyle w:val="Heading1"/>
      </w:pPr>
      <w:bookmarkStart w:id="4" w:name="_TocV11_4"/>
      <w:r>
        <w:rPr>
          <w:rFonts w:ascii="Calibri" w:cs="Calibri" w:eastAsia="Calibri" w:hAnsi="Calibri"/>
        </w:rPr>
        <w:t xml:space="preserve">3. Multi-Tenancy Model</w:t>
      </w:r>
      <w:bookmarkEnd w:id="4"/>
    </w:p>
    <w:p>
      <w:pPr>
        <w:spacing w:after="300"/>
      </w:pPr>
      <w:r>
        <w:rPr>
          <w:i/>
          <w:rFonts w:ascii="Calibri" w:cs="Calibri" w:eastAsia="Calibri" w:hAnsi="Calibri"/>
          <w:color w:val="595959"/>
          <w:sz w:val="22"/>
          <w:szCs w:val="22"/>
        </w:rPr>
        <w:t xml:space="preserve">Many institutions share one CIMS platform, and none may ever see another's data. This section explains the three layers of protection that keep each institution's records separate.</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policies use the function cims_current_tenant(), which reads app.tenant_id; the application sets it at the start of every transaction. Row-level security is enabled and forced on all 112 institution tables. The application connects as a non-superuser role, and start-up refuses a role that could bypass row-level security. Platform tables (tenants, tenant_domains, platform_users, platform_audit_logs and the NACTVET catalogue) have no tenant policy and are used only by the platform console and tenant resolution. Automated tests check that one institution cannot read or write another's rows.</w:t>
      </w:r>
    </w:p>
    <w:p>
      <w:pPr>
        <w:pStyle w:val="Heading1"/>
      </w:pPr>
      <w:bookmarkStart w:id="5" w:name="_TocV11_5"/>
      <w:r>
        <w:rPr>
          <w:rFonts w:ascii="Calibri" w:cs="Calibri" w:eastAsia="Calibri" w:hAnsi="Calibri"/>
        </w:rPr>
        <w:t xml:space="preserve">4. Domain Models</w:t>
      </w:r>
      <w:bookmarkEnd w:id="5"/>
    </w:p>
    <w:p>
      <w:pPr>
        <w:spacing w:after="300"/>
      </w:pPr>
      <w:r>
        <w:rPr>
          <w:i/>
          <w:rFonts w:ascii="Calibri" w:cs="Calibri" w:eastAsia="Calibri" w:hAnsi="Calibri"/>
          <w:color w:val="595959"/>
          <w:sz w:val="22"/>
          <w:szCs w:val="22"/>
        </w:rPr>
        <w:t xml:space="preserve">This section presents the main groups of data and how they relate to each other, with a diagram for each area. It is the picture to read before the detailed table lists.</w:t>
      </w:r>
    </w:p>
    <w:p>
      <w:pPr>
        <w:pStyle w:val="Heading2"/>
      </w:pPr>
      <w:bookmarkStart w:id="6" w:name="_TocV11_6"/>
      <w:r>
        <w:rPr>
          <w:rFonts w:ascii="Calibri" w:cs="Calibri" w:eastAsia="Calibri" w:hAnsi="Calibri"/>
        </w:rPr>
        <w:t xml:space="preserve">4.1 Admissions and registry</w:t>
      </w:r>
      <w:bookmarkEnd w:id="6"/>
    </w:p>
    <w:p>
      <w:pPr>
        <w:spacing w:after="300"/>
      </w:pPr>
      <w:r>
        <w:rPr>
          <w:i/>
          <w:rFonts w:ascii="Calibri" w:cs="Calibri" w:eastAsia="Calibri" w:hAnsi="Calibri"/>
          <w:color w:val="595959"/>
          <w:sz w:val="22"/>
          <w:szCs w:val="22"/>
        </w:rPr>
        <w:t xml:space="preserve">This model shows how applicants, applications, programme choices and student records relate, from first application to registered student.</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bookmarkStart w:id="7" w:name="_TocV11_7"/>
      <w:r>
        <w:rPr>
          <w:rFonts w:ascii="Calibri" w:cs="Calibri" w:eastAsia="Calibri" w:hAnsi="Calibri"/>
        </w:rPr>
        <w:t xml:space="preserve">4.2 Academic structure, teaching and examinations</w:t>
      </w:r>
      <w:bookmarkEnd w:id="7"/>
    </w:p>
    <w:p>
      <w:pPr>
        <w:spacing w:after="300"/>
      </w:pPr>
      <w:r>
        <w:rPr>
          <w:i/>
          <w:rFonts w:ascii="Calibri" w:cs="Calibri" w:eastAsia="Calibri" w:hAnsi="Calibri"/>
          <w:color w:val="595959"/>
          <w:sz w:val="22"/>
          <w:szCs w:val="22"/>
        </w:rPr>
        <w:t xml:space="preserve">This model shows how programmes, curricula and modules relate to teaching, assessment and results.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bookmarkStart w:id="8" w:name="_TocV11_8"/>
      <w:r>
        <w:rPr>
          <w:rFonts w:ascii="Calibri" w:cs="Calibri" w:eastAsia="Calibri" w:hAnsi="Calibri"/>
        </w:rPr>
        <w:t xml:space="preserve">4.3 Finance and hostel</w:t>
      </w:r>
      <w:bookmarkEnd w:id="8"/>
    </w:p>
    <w:p>
      <w:pPr>
        <w:spacing w:after="300"/>
      </w:pPr>
      <w:r>
        <w:rPr>
          <w:i/>
          <w:rFonts w:ascii="Calibri" w:cs="Calibri" w:eastAsia="Calibri" w:hAnsi="Calibri"/>
          <w:color w:val="595959"/>
          <w:sz w:val="22"/>
          <w:szCs w:val="22"/>
        </w:rPr>
        <w:t xml:space="preserve">This model shows how fees, invoices, control numbers and payments relate, and how hostel rooms and beds are allocated and charged.</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bookmarkStart w:id="9" w:name="_TocV11_9"/>
      <w:r>
        <w:rPr>
          <w:rFonts w:ascii="Calibri" w:cs="Calibri" w:eastAsia="Calibri" w:hAnsi="Calibri"/>
        </w:rPr>
        <w:t xml:space="preserve">5. Table Catalogue</w:t>
      </w:r>
      <w:bookmarkEnd w:id="9"/>
    </w:p>
    <w:p>
      <w:pPr>
        <w:spacing w:after="300"/>
      </w:pPr>
      <w:r>
        <w:rPr>
          <w:i/>
          <w:rFonts w:ascii="Calibri" w:cs="Calibri" w:eastAsia="Calibri" w:hAnsi="Calibri"/>
          <w:color w:val="595959"/>
          <w:sz w:val="22"/>
          <w:szCs w:val="22"/>
        </w:rPr>
        <w:t xml:space="preserve">This section lists every planned table, grouped by area of the system, with a one-line purpose for each. Tables that hold an institution's own data are marked.</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p>
      <w:pPr>
        <w:spacing w:after="300"/>
      </w:pPr>
      <w:r>
        <w:rPr>
          <w:i/>
          <w:rFonts w:ascii="Calibri" w:cs="Calibri" w:eastAsia="Calibri" w:hAnsi="Calibri"/>
          <w:color w:val="595959"/>
          <w:sz w:val="22"/>
          <w:szCs w:val="22"/>
        </w:rPr>
        <w:t xml:space="preserve">This table lists the tables that hold institutions, users, roles, approval workflows and documents (the platform itself),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p>
      <w:pPr>
        <w:spacing w:after="300"/>
      </w:pPr>
      <w:r>
        <w:rPr>
          <w:i/>
          <w:rFonts w:ascii="Calibri" w:cs="Calibri" w:eastAsia="Calibri" w:hAnsi="Calibri"/>
          <w:color w:val="595959"/>
          <w:sz w:val="22"/>
          <w:szCs w:val="22"/>
        </w:rPr>
        <w:t xml:space="preserve">This table lists the tables that hold the academic calendar, departments, programmes, curricula and modules,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p>
      <w:pPr>
        <w:spacing w:after="300"/>
      </w:pPr>
      <w:r>
        <w:rPr>
          <w:i/>
          <w:rFonts w:ascii="Calibri" w:cs="Calibri" w:eastAsia="Calibri" w:hAnsi="Calibri"/>
          <w:color w:val="595959"/>
          <w:sz w:val="22"/>
          <w:szCs w:val="22"/>
        </w:rPr>
        <w:t xml:space="preserve">This table lists the tables that hold admission windows, entry requirements, applicants, applications and selections,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p>
      <w:pPr>
        <w:spacing w:after="300"/>
      </w:pPr>
      <w:r>
        <w:rPr>
          <w:i/>
          <w:rFonts w:ascii="Calibri" w:cs="Calibri" w:eastAsia="Calibri" w:hAnsi="Calibri"/>
          <w:color w:val="595959"/>
          <w:sz w:val="22"/>
          <w:szCs w:val="22"/>
        </w:rPr>
        <w:t xml:space="preserve">This table lists the tables that hold student records, their contacts and history,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p>
      <w:pPr>
        <w:spacing w:after="300"/>
      </w:pPr>
      <w:r>
        <w:rPr>
          <w:i/>
          <w:rFonts w:ascii="Calibri" w:cs="Calibri" w:eastAsia="Calibri" w:hAnsi="Calibri"/>
          <w:color w:val="595959"/>
          <w:sz w:val="22"/>
          <w:szCs w:val="22"/>
        </w:rPr>
        <w:t xml:space="preserve">This table lists the tables that hold module offerings, attendance, assessment marks and results,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p>
      <w:pPr>
        <w:spacing w:after="300"/>
      </w:pPr>
      <w:r>
        <w:rPr>
          <w:i/>
          <w:rFonts w:ascii="Calibri" w:cs="Calibri" w:eastAsia="Calibri" w:hAnsi="Calibri"/>
          <w:color w:val="595959"/>
          <w:sz w:val="22"/>
          <w:szCs w:val="22"/>
        </w:rPr>
        <w:t xml:space="preserve">This table lists the tables that hold fee structures, invoices, control numbers, payments, sponsors and refunds,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p>
      <w:pPr>
        <w:spacing w:after="300"/>
      </w:pPr>
      <w:r>
        <w:rPr>
          <w:i/>
          <w:rFonts w:ascii="Calibri" w:cs="Calibri" w:eastAsia="Calibri" w:hAnsi="Calibri"/>
          <w:color w:val="595959"/>
          <w:sz w:val="22"/>
          <w:szCs w:val="22"/>
        </w:rPr>
        <w:t xml:space="preserve">This table lists the tables that hold hostels, industrial training, graduation, communication, integrations and the audit trail,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catalogue above was the design. The tables actually in the database (157) are listed in section 12.2. Differences from the design: approval stages are configurable for results (approval_stages) while other approvals follow the regulations in the software; uploaded documents are stored in the database rather than in object storage; lookup tables (administrative areas, NECTA school lists) ship with the application; general-ledger exports are the MUSE postings and the postings file.</w:t>
      </w:r>
    </w:p>
    <w:p>
      <w:pPr>
        <w:pStyle w:val="Heading1"/>
      </w:pPr>
      <w:bookmarkStart w:id="10" w:name="_TocV11_10"/>
      <w:r>
        <w:rPr>
          <w:rFonts w:ascii="Calibri" w:cs="Calibri" w:eastAsia="Calibri" w:hAnsi="Calibri"/>
        </w:rPr>
        <w:t xml:space="preserve">6. Data Dictionary — Core Tables</w:t>
      </w:r>
      <w:bookmarkEnd w:id="10"/>
    </w:p>
    <w:p>
      <w:pPr>
        <w:spacing w:after="300"/>
      </w:pPr>
      <w:r>
        <w:rPr>
          <w:i/>
          <w:rFonts w:ascii="Calibri" w:cs="Calibri" w:eastAsia="Calibri" w:hAnsi="Calibri"/>
          <w:color w:val="595959"/>
          <w:sz w:val="22"/>
          <w:szCs w:val="22"/>
        </w:rPr>
        <w:t xml:space="preserve">The data dictionary defines, column by column, the most important tables of the system. It is the reference for developers and auditors who need to know exactly what is stored.</w:t>
      </w:r>
    </w:p>
    <w:p>
      <w:pPr>
        <w:pStyle w:val="Heading3"/>
      </w:pPr>
      <w:r>
        <w:rPr>
          <w:rFonts w:ascii="Calibri" w:cs="Calibri" w:eastAsia="Calibri" w:hAnsi="Calibri"/>
        </w:rPr>
        <w:t xml:space="preserve">adm.applications</w:t>
      </w:r>
    </w:p>
    <w:p>
      <w:pPr>
        <w:spacing w:after="300"/>
      </w:pPr>
      <w:r>
        <w:rPr>
          <w:i/>
          <w:rFonts w:ascii="Calibri" w:cs="Calibri" w:eastAsia="Calibri" w:hAnsi="Calibri"/>
          <w:color w:val="595959"/>
          <w:sz w:val="22"/>
          <w:szCs w:val="22"/>
        </w:rPr>
        <w:t xml:space="preserve">This data dictionary entry defines every column of applications, the record of each application made in an admission window: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p>
      <w:pPr>
        <w:spacing w:after="300"/>
      </w:pPr>
      <w:r>
        <w:rPr>
          <w:i/>
          <w:rFonts w:ascii="Calibri" w:cs="Calibri" w:eastAsia="Calibri" w:hAnsi="Calibri"/>
          <w:color w:val="595959"/>
          <w:sz w:val="22"/>
          <w:szCs w:val="22"/>
        </w:rPr>
        <w:t xml:space="preserve">This data dictionary entry defines every column of application choices, the programmes an applicant chose in order of preference: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p>
      <w:pPr>
        <w:spacing w:after="300"/>
      </w:pPr>
      <w:r>
        <w:rPr>
          <w:i/>
          <w:rFonts w:ascii="Calibri" w:cs="Calibri" w:eastAsia="Calibri" w:hAnsi="Calibri"/>
          <w:color w:val="595959"/>
          <w:sz w:val="22"/>
          <w:szCs w:val="22"/>
        </w:rPr>
        <w:t xml:space="preserve">This data dictionary entry defines every column of students, the master record of each student: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p>
      <w:pPr>
        <w:spacing w:after="300"/>
      </w:pPr>
      <w:r>
        <w:rPr>
          <w:i/>
          <w:rFonts w:ascii="Calibri" w:cs="Calibri" w:eastAsia="Calibri" w:hAnsi="Calibri"/>
          <w:color w:val="595959"/>
          <w:sz w:val="22"/>
          <w:szCs w:val="22"/>
        </w:rPr>
        <w:t xml:space="preserve">This data dictionary entry defines every column of module results, a student's result in each module attempt: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p>
      <w:pPr>
        <w:spacing w:after="300"/>
      </w:pPr>
      <w:r>
        <w:rPr>
          <w:i/>
          <w:rFonts w:ascii="Calibri" w:cs="Calibri" w:eastAsia="Calibri" w:hAnsi="Calibri"/>
          <w:color w:val="595959"/>
          <w:sz w:val="22"/>
          <w:szCs w:val="22"/>
        </w:rPr>
        <w:t xml:space="preserve">This data dictionary entry defines every column of invoices and payments, the institution's financial records: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p>
      <w:pPr>
        <w:spacing w:after="300"/>
      </w:pPr>
      <w:r>
        <w:rPr>
          <w:i/>
          <w:rFonts w:ascii="Calibri" w:cs="Calibri" w:eastAsia="Calibri" w:hAnsi="Calibri"/>
          <w:color w:val="595959"/>
          <w:sz w:val="22"/>
          <w:szCs w:val="22"/>
        </w:rPr>
        <w:t xml:space="preserve">This data dictionary entry defines every column of the audit log, the permanent record of who did what and when: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bookmarkStart w:id="11" w:name="_TocV11_11"/>
      <w:r>
        <w:rPr>
          <w:rFonts w:ascii="Calibri" w:cs="Calibri" w:eastAsia="Calibri" w:hAnsi="Calibri"/>
        </w:rPr>
        <w:t xml:space="preserve">7. Status Lifecycles</w:t>
      </w:r>
      <w:bookmarkEnd w:id="11"/>
    </w:p>
    <w:p>
      <w:pPr>
        <w:spacing w:after="300"/>
      </w:pPr>
      <w:r>
        <w:rPr>
          <w:i/>
          <w:rFonts w:ascii="Calibri" w:cs="Calibri" w:eastAsia="Calibri" w:hAnsi="Calibri"/>
          <w:color w:val="595959"/>
          <w:sz w:val="22"/>
          <w:szCs w:val="22"/>
        </w:rPr>
        <w:t xml:space="preserve">Many records move through a fixed series of statuses, such as an application from draft to offered. This section lists the permitted statuses and changes for each, so that a record can never jump to a state it should not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status values the database accepts are listed in section 12.4.</w:t>
      </w:r>
    </w:p>
    <w:p>
      <w:pPr>
        <w:pStyle w:val="Heading1"/>
      </w:pPr>
      <w:bookmarkStart w:id="12" w:name="_TocV11_12"/>
      <w:r>
        <w:rPr>
          <w:rFonts w:ascii="Calibri" w:cs="Calibri" w:eastAsia="Calibri" w:hAnsi="Calibri"/>
        </w:rPr>
        <w:t xml:space="preserve">8. Integrity Rules Enforced in the Database</w:t>
      </w:r>
      <w:bookmarkEnd w:id="12"/>
    </w:p>
    <w:p>
      <w:pPr>
        <w:spacing w:after="300"/>
      </w:pPr>
      <w:r>
        <w:rPr>
          <w:i/>
          <w:rFonts w:ascii="Calibri" w:cs="Calibri" w:eastAsia="Calibri" w:hAnsi="Calibri"/>
          <w:color w:val="595959"/>
          <w:sz w:val="22"/>
          <w:szCs w:val="22"/>
        </w:rPr>
        <w:t xml:space="preserve">Some business rules are too important to rely on the application alone, so the database itself enforces them. This section lists those rules and how the database guarantees each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database mechanisms in place are listed in section 12.3. Deletes of financial records are refused by triggers rather than revoked privileges; the audit hash chain is not built.</w:t>
      </w:r>
    </w:p>
    <w:p>
      <w:pPr>
        <w:pStyle w:val="Heading1"/>
      </w:pPr>
      <w:bookmarkStart w:id="13" w:name="_TocV11_13"/>
      <w:r>
        <w:rPr>
          <w:rFonts w:ascii="Calibri" w:cs="Calibri" w:eastAsia="Calibri" w:hAnsi="Calibri"/>
        </w:rPr>
        <w:t xml:space="preserve">9. Performance and Scalability</w:t>
      </w:r>
      <w:bookmarkEnd w:id="13"/>
    </w:p>
    <w:p>
      <w:pPr>
        <w:spacing w:after="300"/>
      </w:pPr>
      <w:r>
        <w:rPr>
          <w:i/>
          <w:rFonts w:ascii="Calibri" w:cs="Calibri" w:eastAsia="Calibri" w:hAnsi="Calibri"/>
          <w:color w:val="595959"/>
          <w:sz w:val="22"/>
          <w:szCs w:val="22"/>
        </w:rPr>
        <w:t xml:space="preserve">This section explains how the database will stay fast as data and the number of institutions grow.</w:t>
      </w:r>
    </w:p>
    <w:p>
      <w:pPr>
        <w:pStyle w:val="Heading2"/>
      </w:pPr>
      <w:bookmarkStart w:id="14" w:name="_TocV11_14"/>
      <w:r>
        <w:rPr>
          <w:rFonts w:ascii="Calibri" w:cs="Calibri" w:eastAsia="Calibri" w:hAnsi="Calibri"/>
        </w:rPr>
        <w:t xml:space="preserve">9.1 Indexing strategy</w:t>
      </w:r>
      <w:bookmarkEnd w:id="14"/>
    </w:p>
    <w:p>
      <w:pPr>
        <w:spacing w:after="300"/>
      </w:pPr>
      <w:r>
        <w:rPr>
          <w:i/>
          <w:rFonts w:ascii="Calibri" w:cs="Calibri" w:eastAsia="Calibri" w:hAnsi="Calibri"/>
          <w:color w:val="595959"/>
          <w:sz w:val="22"/>
          <w:szCs w:val="22"/>
        </w:rPr>
        <w:t xml:space="preserve">Indexes let the database find records quickly. This sub-section describes which indexes are created and why.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bookmarkStart w:id="15" w:name="_TocV11_15"/>
      <w:r>
        <w:rPr>
          <w:rFonts w:ascii="Calibri" w:cs="Calibri" w:eastAsia="Calibri" w:hAnsi="Calibri"/>
        </w:rPr>
        <w:t xml:space="preserve">9.2 Volume estimates</w:t>
      </w:r>
      <w:bookmarkEnd w:id="15"/>
    </w:p>
    <w:p>
      <w:pPr>
        <w:spacing w:after="300"/>
      </w:pPr>
      <w:r>
        <w:rPr>
          <w:i/>
          <w:rFonts w:ascii="Calibri" w:cs="Calibri" w:eastAsia="Calibri" w:hAnsi="Calibri"/>
          <w:color w:val="595959"/>
          <w:sz w:val="22"/>
          <w:szCs w:val="22"/>
        </w:rPr>
        <w:t xml:space="preserve">The volume estimates show how much data a typical institution and the whole platform will produce each year. They size the server, storage and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bookmarkStart w:id="16" w:name="_TocV11_16"/>
      <w:r>
        <w:rPr>
          <w:rFonts w:ascii="Calibri" w:cs="Calibri" w:eastAsia="Calibri" w:hAnsi="Calibri"/>
        </w:rPr>
        <w:t xml:space="preserve">10. Data Governance and Protection</w:t>
      </w:r>
      <w:bookmarkEnd w:id="16"/>
    </w:p>
    <w:p>
      <w:pPr>
        <w:spacing w:after="300"/>
      </w:pPr>
      <w:r>
        <w:rPr>
          <w:i/>
          <w:rFonts w:ascii="Calibri" w:cs="Calibri" w:eastAsia="Calibri" w:hAnsi="Calibri"/>
          <w:color w:val="595959"/>
          <w:sz w:val="22"/>
          <w:szCs w:val="22"/>
        </w:rPr>
        <w:t xml:space="preserve">This section explains who is responsible for each kind of data, how personal data is protected under Tanzanian law, how long records are kept and how they are backed up.</w:t>
      </w:r>
    </w:p>
    <w:p>
      <w:pPr>
        <w:pStyle w:val="Heading2"/>
      </w:pPr>
      <w:bookmarkStart w:id="17" w:name="_TocV11_17"/>
      <w:r>
        <w:rPr>
          <w:rFonts w:ascii="Calibri" w:cs="Calibri" w:eastAsia="Calibri" w:hAnsi="Calibri"/>
        </w:rPr>
        <w:t xml:space="preserve">10.1 Ownership</w:t>
      </w:r>
      <w:bookmarkEnd w:id="17"/>
    </w:p>
    <w:p>
      <w:pPr>
        <w:spacing w:after="300"/>
      </w:pPr>
      <w:r>
        <w:rPr>
          <w:i/>
          <w:rFonts w:ascii="Calibri" w:cs="Calibri" w:eastAsia="Calibri" w:hAnsi="Calibri"/>
          <w:color w:val="595959"/>
          <w:sz w:val="22"/>
          <w:szCs w:val="22"/>
        </w:rPr>
        <w:t xml:space="preserve">Each kind of data has an owner at the institution who approves changes and decides who may see it. The table names the owner of each data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bookmarkStart w:id="18" w:name="_TocV11_18"/>
      <w:r>
        <w:rPr>
          <w:rFonts w:ascii="Calibri" w:cs="Calibri" w:eastAsia="Calibri" w:hAnsi="Calibri"/>
        </w:rPr>
        <w:t xml:space="preserve">10.2 Personal data protection (PDPA 2022)</w:t>
      </w:r>
      <w:bookmarkEnd w:id="18"/>
    </w:p>
    <w:p>
      <w:pPr>
        <w:spacing w:after="300"/>
      </w:pPr>
      <w:r>
        <w:rPr>
          <w:i/>
          <w:rFonts w:ascii="Calibri" w:cs="Calibri" w:eastAsia="Calibri" w:hAnsi="Calibri"/>
          <w:color w:val="595959"/>
          <w:sz w:val="22"/>
          <w:szCs w:val="22"/>
        </w:rPr>
        <w:t xml:space="preserve">This sub-section explains how CIMS meets the Personal Data Protection Act 2022: how data is classified, encrypted, accessed and disclosed.</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bookmarkStart w:id="19" w:name="_TocV11_19"/>
      <w:r>
        <w:rPr>
          <w:rFonts w:ascii="Calibri" w:cs="Calibri" w:eastAsia="Calibri" w:hAnsi="Calibri"/>
        </w:rPr>
        <w:t xml:space="preserve">10.3 Retention</w:t>
      </w:r>
      <w:bookmarkEnd w:id="19"/>
    </w:p>
    <w:p>
      <w:pPr>
        <w:spacing w:after="300"/>
      </w:pPr>
      <w:r>
        <w:rPr>
          <w:i/>
          <w:rFonts w:ascii="Calibri" w:cs="Calibri" w:eastAsia="Calibri" w:hAnsi="Calibri"/>
          <w:color w:val="595959"/>
          <w:sz w:val="22"/>
          <w:szCs w:val="22"/>
        </w:rPr>
        <w:t xml:space="preserve">Records are kept no longer than needed but as long as the law and the institution require. The table gives the retention period for each category and what happens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institution sets retention periods for applicant data and for messages (default 24 months); a monthly job anonymises applicants who never joined and clears old messages and emails, after a preview; the integration call log is cleaned up automatically. National Identification Numbers are encrypted at application level (AES-GCM with the CIMS_DATA_KEY key), with a hash for uniqueness and the last four digits for display; two-step sign-in secrets are encrypted the same way.</w:t>
      </w:r>
    </w:p>
    <w:p>
      <w:pPr>
        <w:pStyle w:val="Heading2"/>
      </w:pPr>
      <w:bookmarkStart w:id="20" w:name="_TocV11_20"/>
      <w:r>
        <w:rPr>
          <w:rFonts w:ascii="Calibri" w:cs="Calibri" w:eastAsia="Calibri" w:hAnsi="Calibri"/>
        </w:rPr>
        <w:t xml:space="preserve">10.4 Backup and recovery</w:t>
      </w:r>
      <w:bookmarkEnd w:id="20"/>
    </w:p>
    <w:p>
      <w:pPr>
        <w:spacing w:after="300"/>
      </w:pPr>
      <w:r>
        <w:rPr>
          <w:i/>
          <w:rFonts w:ascii="Calibri" w:cs="Calibri" w:eastAsia="Calibri" w:hAnsi="Calibri"/>
          <w:color w:val="595959"/>
          <w:sz w:val="22"/>
          <w:szCs w:val="22"/>
        </w:rPr>
        <w:t xml:space="preserve">This sub-section explains how the data is backed up and how it can be restored after a failure, so that no institution loses its records.</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bookmarkStart w:id="21" w:name="_TocV11_21"/>
      <w:r>
        <w:rPr>
          <w:rFonts w:ascii="Calibri" w:cs="Calibri" w:eastAsia="Calibri" w:hAnsi="Calibri"/>
        </w:rPr>
        <w:t xml:space="preserve">11. Data Migration</w:t>
      </w:r>
      <w:bookmarkEnd w:id="21"/>
    </w:p>
    <w:p>
      <w:pPr>
        <w:spacing w:after="300"/>
      </w:pPr>
      <w:r>
        <w:rPr>
          <w:i/>
          <w:rFonts w:ascii="Calibri" w:cs="Calibri" w:eastAsia="Calibri" w:hAnsi="Calibri"/>
          <w:color w:val="595959"/>
          <w:sz w:val="22"/>
          <w:szCs w:val="22"/>
        </w:rPr>
        <w:t xml:space="preserve">Most institutions already hold records in spreadsheets or older systems. This section sets out the steps for moving that data into CIMS accurately and with the owners'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p>
      <w:pPr>
        <w:pStyle w:val="Heading1"/>
      </w:pPr>
      <w:bookmarkStart w:id="22" w:name="_TocV11_22"/>
      <w:r>
        <w:rPr>
          <w:rFonts w:ascii="Calibri" w:cs="Calibri" w:eastAsia="Calibri" w:hAnsi="Calibri"/>
        </w:rPr>
        <w:t xml:space="preserve">12. As-Built Schema (October 2026)</w:t>
      </w:r>
      <w:bookmarkEnd w:id="22"/>
    </w:p>
    <w:p>
      <w:pPr>
        <w:spacing w:after="300"/>
      </w:pPr>
      <w:r>
        <w:rPr>
          <w:i/>
          <w:rFonts w:ascii="Calibri" w:cs="Calibri" w:eastAsia="Calibri" w:hAnsi="Calibri"/>
          <w:color w:val="595959"/>
          <w:sz w:val="22"/>
          <w:szCs w:val="22"/>
        </w:rPr>
        <w:t xml:space="preserve">This section describes the database exactly as built by October 2026, taken from the live schema. It is the factual reference that complements the design in the earlier sections.</w:t>
      </w:r>
    </w:p>
    <w:p>
      <w:pPr>
        <w:spacing w:after="120" w:line="276"/>
        <w:jc w:val="both"/>
      </w:pPr>
      <w:r>
        <w:rPr>
          <w:rFonts w:ascii="Calibri" w:cs="Calibri" w:eastAsia="Calibri" w:hAnsi="Calibri"/>
        </w:rPr>
        <w:t xml:space="preserve">This section describes the database as built by Flyway migrations V1 to V51 (PostgreSQL 16). It is generated from the live schema of the development build.</w:t>
      </w:r>
    </w:p>
    <w:p>
      <w:pPr>
        <w:pStyle w:val="Heading2"/>
      </w:pPr>
      <w:bookmarkStart w:id="23" w:name="_TocV11_23"/>
      <w:r>
        <w:rPr>
          <w:rFonts w:ascii="Calibri" w:cs="Calibri" w:eastAsia="Calibri" w:hAnsi="Calibri"/>
        </w:rPr>
        <w:t xml:space="preserve">12.1 Summary</w:t>
      </w:r>
      <w:bookmarkEnd w:id="23"/>
    </w:p>
    <w:p>
      <w:pPr>
        <w:spacing w:after="300"/>
      </w:pPr>
      <w:r>
        <w:rPr>
          <w:i/>
          <w:rFonts w:ascii="Calibri" w:cs="Calibri" w:eastAsia="Calibri" w:hAnsi="Calibri"/>
          <w:color w:val="595959"/>
          <w:sz w:val="22"/>
          <w:szCs w:val="22"/>
        </w:rPr>
        <w:t xml:space="preserve">The summary gives the headline facts of the built database: number of tables, how institution data is protected and the main technical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9"/>
        <w:gridCol w:w="5867"/>
      </w:tblGrid>
      <w:tr>
        <w:trPr>
          <w:tblHeader/>
          <w:cantSplit/>
        </w:trPr>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8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As built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Tables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159 application tables (plus Flyway's history table), all in the public schema</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Row-level security</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Enabled and forced on 151 institution tables; 8 platform tables without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Foreign keys / indexes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375 foreign keys; 389 indexes, including 27 partial unique indexes for business rules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Protective triggers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 triggers on 8 tables (append-only audit, no deletes of financial records, locked results, student guard)</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JSON columns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 JSONB columns (entry rules, eligibility detail, frozen document content, statistics, import rows and errors, survey questions and answers, workplace criteria, exchange summaries)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Migrations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51 versioned migrations, never edited once applied</w:t>
            </w:r>
          </w:p>
        </w:tc>
      </w:tr>
    </w:tbl>
    <w:p>
      <w:pPr>
        <w:spacing w:after="120" w:line="276"/>
        <w:jc w:val="both"/>
      </w:pPr>
      <w:r>
        <w:rPr>
          <w:rFonts w:ascii="Calibri" w:cs="Calibri" w:eastAsia="Calibri" w:hAnsi="Calibri"/>
        </w:rPr>
        <w:t xml:space="preserve">Columns added to existing tables since V38: students (campus, student category, encrypted National Identification Number with its hash, last four digits and check status, import batch); user_accounts (confirmed email, two-step sign-in secret and recovery codes, anonymisation time, language); fee_structures (intake, student category); departments (faculty); applications (source, external body and reference, import batch); assessment_components (marks entry dates); module_offerings and result_sheets (approval stage reached); ipt_assessments (criteria and source); finance_settings (reminders and penalties); messaging_settings (email switch); and in V51: semesters (late-registration fee), semester_registrations (late-fee invoice), admission_windows (fee reminders on or off), finance_adjustments (origin of a request CIMS raised itself), hostel_allocations (refund request).</w:t>
      </w:r>
    </w:p>
    <w:p>
      <w:pPr>
        <w:spacing w:after="120"/>
      </w:pPr>
    </w:p>
    <w:p>
      <w:pPr>
        <w:pStyle w:val="Heading2"/>
      </w:pPr>
      <w:bookmarkStart w:id="24" w:name="_TocV11_24"/>
      <w:r>
        <w:rPr>
          <w:rFonts w:ascii="Calibri" w:cs="Calibri" w:eastAsia="Calibri" w:hAnsi="Calibri"/>
        </w:rPr>
        <w:t xml:space="preserve">12.2 Table catalogue</w:t>
      </w:r>
      <w:bookmarkEnd w:id="24"/>
    </w:p>
    <w:p>
      <w:pPr>
        <w:spacing w:after="300"/>
      </w:pPr>
      <w:r>
        <w:rPr>
          <w:i/>
          <w:rFonts w:ascii="Calibri" w:cs="Calibri" w:eastAsia="Calibri" w:hAnsi="Calibri"/>
          <w:color w:val="595959"/>
          <w:sz w:val="22"/>
          <w:szCs w:val="22"/>
        </w:rPr>
        <w:t xml:space="preserve">The catalogue lists every built table by area of the system, with its purpose and the migration (database change script) that created it.</w:t>
      </w:r>
    </w:p>
    <w:p>
      <w:pPr>
        <w:pStyle w:val="Heading3"/>
      </w:pPr>
      <w:r>
        <w:rPr>
          <w:rFonts w:ascii="Calibri" w:cs="Calibri" w:eastAsia="Calibri" w:hAnsi="Calibri"/>
        </w:rPr>
        <w:t xml:space="preserve">Platform, security and integrations</w:t>
      </w:r>
    </w:p>
    <w:p>
      <w:pPr>
        <w:spacing w:after="300"/>
      </w:pPr>
      <w:r>
        <w:rPr>
          <w:i/>
          <w:rFonts w:ascii="Calibri" w:cs="Calibri" w:eastAsia="Calibri" w:hAnsi="Calibri"/>
          <w:color w:val="595959"/>
          <w:sz w:val="22"/>
          <w:szCs w:val="22"/>
        </w:rPr>
        <w:t xml:space="preserve">These tables hold institutions, users, security settings and the connections to outside systems.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code, NACTVET registration number, status (active or suspended), branding, language.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tenant_domains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Web addresses of each institution, used to find the institution from the request.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Sign-in accounts of staff, applicants and students: login, password hash, status, failed sign-ins.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user_roles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held by each account, with the department, programme, hostel, sponsor or IPT scope.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otp_codes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verification codes, stored only as a hash, with expiry and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number_sequences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Per-institution sequences for references, registration, invoice, receipt and document numbers.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who did what, when, on which record, from which address.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 photo shown on the admission portal (image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integration_calls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Every call to NECTA, NACTVET, GePG and the SMS gateway: operation, outcome, duration,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platform_users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accounts.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of the platform console.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nactvet_institutions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 of registered institutions, synchronised from NACTVET.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nactvet_programmes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Accredited programmes of each catalogue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nactvet_catalogue_syncs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catalogue synchronisation and their results.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two-step sign-in policy (optional, privileged roles, all staff), idle sign-out minutes per user type, retention periods.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api_clients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Connected systems (OAuth2 client credentials): client id, hashed secret, scopes, switched on or off, last use.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data_subject_requests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(access, correction, erasure, objection) with due date, response and who handled them.</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retention_runs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retention job: applicants anonymised, messages and emails cleared.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import files (students, earlier results, balances, selections) with rows, errors, sign-off and summary.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its codes at GePG, HESLB, MUSE and TAMISEMI and which optional exchanges it uses.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external_exchanges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Exchanges with HESLB and TAMISEMI: what was sent or fetched and what came of it.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job_locks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row per scheduled job: until when it is locked and by which instance, so that each job runs once when several backend instances run (platform table, no row-level security).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V50</w:t>
            </w:r>
          </w:p>
        </w:tc>
      </w:tr>
    </w:tbl>
    <w:p>
      <w:pPr>
        <w:spacing w:after="120"/>
      </w:pPr>
    </w:p>
    <w:p>
      <w:pPr>
        <w:pStyle w:val="Heading3"/>
      </w:pPr>
      <w:r>
        <w:rPr>
          <w:rFonts w:ascii="Calibri" w:cs="Calibri" w:eastAsia="Calibri" w:hAnsi="Calibri"/>
        </w:rPr>
        <w:t xml:space="preserve">Academic structure and regulations</w:t>
      </w:r>
    </w:p>
    <w:p>
      <w:pPr>
        <w:spacing w:after="300"/>
      </w:pPr>
      <w:r>
        <w:rPr>
          <w:i/>
          <w:rFonts w:ascii="Calibri" w:cs="Calibri" w:eastAsia="Calibri" w:hAnsi="Calibri"/>
          <w:color w:val="595959"/>
          <w:sz w:val="22"/>
          <w:szCs w:val="22"/>
        </w:rPr>
        <w:t xml:space="preserve">These tables hold the academic calendar, departments, programmes, curricula and examination regulations.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academic_years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intakes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Intakes such as September and March.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departments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with NACTVET code, award family and level, duration, entry level and accredited capacity.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catalogue: code, title, credits, NTA level, graded or competence-based.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per programme, from draft to approved, applying from an intake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placed in each year and semester of a curriculum, core or elective.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curriculum_elective_rules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many electives a student chooses per year and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Semesters with registration, closing and late-registration dates.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calendar_events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teaching, examinations, results, holidays.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regulation_sets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regulations per award level, versioned by academic year and locked once 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grade_bands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grade points and pass flag per regulation set.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classification_bands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 per regulation set.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examination settings: Department Board use, eligibility rules, appeal period and fee, NVA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the institution with region, district and address; exactly one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faculties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Faculties grouping departments.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programme_campuses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a programme is taught at; none listed means the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categories priced separately (e.g. regular, evening, weekend, distance).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approval_stages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the institution sets for module results and class result sheets (up to six), with the role of each.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Admissions</w:t>
      </w:r>
    </w:p>
    <w:p>
      <w:pPr>
        <w:spacing w:after="300"/>
      </w:pPr>
      <w:r>
        <w:rPr>
          <w:i/>
          <w:rFonts w:ascii="Calibri" w:cs="Calibri" w:eastAsia="Calibri" w:hAnsi="Calibri"/>
          <w:color w:val="595959"/>
          <w:sz w:val="22"/>
          <w:szCs w:val="22"/>
        </w:rPr>
        <w:t xml:space="preserve">These tables hold admission windows, applicants, applications, selection and offers.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academic year and intake: dates, fee, status, joining instructions.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in a window with capacity and NACTVET entry rules (JSON).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admission_window_events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Record of each publication, opening, early closing, reopening and extension.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details, address, education history and next of kin, NECTA index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applicant_qualifications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ACSEE, NTA, NVA and other qualifications with source and verification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qualification_subjects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Subjects and grades of each qualification.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from draft to submission, selection, NACTVET verification and offer.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application_choices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Ordered programme choices with eligibility result and detail.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proposal, approval with minute reference, statistics.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applicant's result in a round: selected programme, not selected or excluded with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Batches submitted to NACTVET by API or file, with NACTVET's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 in a batch with NACTVET's outcome, reason and verification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admission letters: number, edition, verification code, frozen content,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window_document_types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 window asks applicants to upload: name, required or optional, size limit.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application_documents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(stored in the database), checked by content, accepted or sent back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Application-fee reminders sent (two days after the control number; three days before closing), at most one of each per application.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letter_templates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Editable wording of the admission letter, payment notice and IPT letter, with revisions.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bl>
    <w:p>
      <w:pPr>
        <w:spacing w:after="120"/>
      </w:pPr>
    </w:p>
    <w:p>
      <w:pPr>
        <w:pStyle w:val="Heading3"/>
      </w:pPr>
      <w:r>
        <w:rPr>
          <w:rFonts w:ascii="Calibri" w:cs="Calibri" w:eastAsia="Calibri" w:hAnsi="Calibri"/>
        </w:rPr>
        <w:t xml:space="preserve">Registry</w:t>
      </w:r>
    </w:p>
    <w:p>
      <w:pPr>
        <w:spacing w:after="300"/>
      </w:pPr>
      <w:r>
        <w:rPr>
          <w:i/>
          <w:rFonts w:ascii="Calibri" w:cs="Calibri" w:eastAsia="Calibri" w:hAnsi="Calibri"/>
          <w:color w:val="595959"/>
          <w:sz w:val="22"/>
          <w:szCs w:val="22"/>
        </w:rPr>
        <w:t xml:space="preserve">These tables hold student records, registration and changes of status.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 linked to the application: registration number, programme, curriculum,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first_registrations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Originals checklist at reporting and Registry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semester_registrations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late flag and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a student is registered for in a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student_change_requests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requests to correct personal details and Registry's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 requests with recommendation, decision and effective date.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student_id_cards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with verification code and reprints.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photos for ID cards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bl>
    <w:p>
      <w:pPr>
        <w:spacing w:after="120"/>
      </w:pPr>
    </w:p>
    <w:p>
      <w:pPr>
        <w:pStyle w:val="Heading3"/>
      </w:pPr>
      <w:r>
        <w:rPr>
          <w:rFonts w:ascii="Calibri" w:cs="Calibri" w:eastAsia="Calibri" w:hAnsi="Calibri"/>
        </w:rPr>
        <w:t xml:space="preserve">Teaching and attendance</w:t>
      </w:r>
    </w:p>
    <w:p>
      <w:pPr>
        <w:spacing w:after="300"/>
      </w:pPr>
      <w:r>
        <w:rPr>
          <w:i/>
          <w:rFonts w:ascii="Calibri" w:cs="Calibri" w:eastAsia="Calibri" w:hAnsi="Calibri"/>
          <w:color w:val="595959"/>
          <w:sz w:val="22"/>
          <w:szCs w:val="22"/>
        </w:rPr>
        <w:t xml:space="preserve">These tables hold module offerings, lecturer allocation, class sessions and attendance.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module_offerings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delivered in a semester, with marks and resit approval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offering_staff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each offering.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class_sessions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sessions with type, topic, length and self check-in details.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attendance_records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student per session (present, late, absent, excused; self check-in flag).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attendance_alerts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Low-attendance SMS warnings already sent, so each is sent once.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checkin_attempts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Wrong self check-in codes, to limit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exam_eligibility</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eligibility per student per offering with the reasons.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eligibility_exemptions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Exemptions asked for and decided, with reasons.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with request, recommendation and decision; the registration number never changes.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results from before CIMS (GPA, CGPA, decision) brought in by import.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legacy_module_results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results from before CIMS within each imported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batches sent to NACTVET and the counts registered and queried.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outcome for each student in a registration batch.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Examinations and competence</w:t>
      </w:r>
    </w:p>
    <w:p>
      <w:pPr>
        <w:spacing w:after="300"/>
      </w:pPr>
      <w:r>
        <w:rPr>
          <w:i/>
          <w:rFonts w:ascii="Calibri" w:cs="Calibri" w:eastAsia="Calibri" w:hAnsi="Calibri"/>
          <w:color w:val="595959"/>
          <w:sz w:val="22"/>
          <w:szCs w:val="22"/>
        </w:rPr>
        <w:t xml:space="preserve">These tables hold assessment plans, marks, results and competence-based assessment.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assessment_components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of an offering: components, category (CA/SE) and weights.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assessment_scores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per student and component.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CA, SE, total, grade, points; locked once confirmed.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decision and classification per student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result_sheets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result sheets from computed to recommended, confirmed and published.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resit_sessions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and special examination sessions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registrations, fee invoice and resit marks.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to confirmed results with reason, evidence and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result_appeals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 and appeal requests, examiner, new marks and outcome.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academic_documents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statements of results / provisional transcripts with verification code and frozen content.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nactvet_result_submissions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results submissions per sheet and NACTVET's response.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 units per module and semester, from draft to verified.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competence_unit_assessors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Assessors allocated to each unit.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competence_tasks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Tasks of a unit with evidence required and whether optional.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competence_assessments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Outcome per trainee per task and attempt, with evidence and verification flag.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Confirmed NVA award eligibility lists per class.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Trainees on each award list.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result_stage_approvals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approval given at an institution-defined stage, by whom and when,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Finance</w:t>
      </w:r>
    </w:p>
    <w:p>
      <w:pPr>
        <w:spacing w:after="300"/>
      </w:pPr>
      <w:r>
        <w:rPr>
          <w:i/>
          <w:rFonts w:ascii="Calibri" w:cs="Calibri" w:eastAsia="Calibri" w:hAnsi="Calibri"/>
          <w:color w:val="595959"/>
          <w:sz w:val="22"/>
          <w:szCs w:val="22"/>
        </w:rPr>
        <w:t xml:space="preserve">These tables hold fees, invoices, control numbers, payments, sponsors, waivers and refunds.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with GFS codes and allocation priority.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per programme, year of study and academic year, from draft to approved.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Amounts per fee item (local and foreign) with instalments.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to applicants, students and sponsors, with purpose and status; never deleted.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lines per fee item; sponsor invoice lines point to the student's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control_numbers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with GePG receipt (or bank reference), source and channel; never deleted.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payment_allocations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was allocated to invoice lines.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clearance_gates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(registration, examinations, results, hostel, graduation) with thresholds.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files and day close.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Lines of a reconciliation file with the match result and exception.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reconciliation_signoffs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Bursar's monthly reconciliation sign-off.</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(loans board, government, NGO, company) with contact.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 shares per student and academic year: percentage, fee items, cap, reference.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finance_adjustments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 and refund requests with evidence, two-level approval, credit note or voucher.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settings such as the second-approval threshold.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finance_targets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Collection targets per academic year set by the Bursar.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bl>
    <w:p>
      <w:pPr>
        <w:spacing w:after="120"/>
      </w:pPr>
    </w:p>
    <w:p>
      <w:pPr>
        <w:pStyle w:val="Heading3"/>
      </w:pPr>
      <w:r>
        <w:rPr>
          <w:rFonts w:ascii="Calibri" w:cs="Calibri" w:eastAsia="Calibri" w:hAnsi="Calibri"/>
        </w:rPr>
        <w:t xml:space="preserve">Hostel</w:t>
      </w:r>
    </w:p>
    <w:p>
      <w:pPr>
        <w:spacing w:after="300"/>
      </w:pPr>
      <w:r>
        <w:rPr>
          <w:i/>
          <w:rFonts w:ascii="Calibri" w:cs="Calibri" w:eastAsia="Calibri" w:hAnsi="Calibri"/>
          <w:color w:val="595959"/>
          <w:sz w:val="22"/>
          <w:szCs w:val="22"/>
        </w:rPr>
        <w:t xml:space="preserve">These tables hold hostels, rooms, beds, applications and allocations.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with gender designation.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hostel_rooms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with block, floor, type, gender, accessibility and status.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Beds, in or out of service.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hostel_fee_categories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fee per bed per academic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with payment period and priority rules.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hostel_applications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with hostel choices, room type and special needs.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Allocations with invoice, check-in and check-out; one active allocation per bed.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hostel_wardens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Wardens assigned to hostels.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hostel_repairs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reported by wardens or students and their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hostel_bed_changes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Moves to another bed: from and to, the fee difference for the rest of the occupancy period and the invoice or waiver/refund it led to.</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payment_channels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 money business numbers and bank accounts fees are paid into (institutions outside GePG).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instalment_due_dates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 each instalment of an academic year's fees falls due.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reminders sent (before, on, after the due date), one of each kind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fee_penalties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Late-payment penalties, added once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fee_schemes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Discount and scholarship schemes (percentage or amount) granted through the waiver approval.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reconciliations asked for by API, answered later by callback.</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heslb_disbursements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Money HESLB reports it has paid, recorded against the HESLB sponsor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muse_postings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fee postings sent to MUSE, one per period; periods never overlap.</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Industrial practical training</w:t>
      </w:r>
    </w:p>
    <w:p>
      <w:pPr>
        <w:spacing w:after="300"/>
      </w:pPr>
      <w:r>
        <w:rPr>
          <w:i/>
          <w:rFonts w:ascii="Calibri" w:cs="Calibri" w:eastAsia="Calibri" w:hAnsi="Calibri"/>
          <w:color w:val="595959"/>
          <w:sz w:val="22"/>
          <w:szCs w:val="22"/>
        </w:rPr>
        <w:t xml:space="preserve">These tables hold industrial practical training: placement organisations, periods, placements and logbooks.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placement_organisations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with contacts and capacity.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ipt_periods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IPT periods per semester with mark weights and logbook weeks required.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supervisors, letter number and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ipt_logbook_entries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logbook entries and supervisor decisions.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ipt_visits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Supervision visits.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three IPT marks (workplace, institution supervisor, logbook).</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ipt_assessment_links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links (stored as a hash) through which a workplace supervisor rates a student, with expiry.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Clearance and graduation</w:t>
      </w:r>
    </w:p>
    <w:p>
      <w:pPr>
        <w:spacing w:after="300"/>
      </w:pPr>
      <w:r>
        <w:rPr>
          <w:i/>
          <w:rFonts w:ascii="Calibri" w:cs="Calibri" w:eastAsia="Calibri" w:hAnsi="Calibri"/>
          <w:color w:val="595959"/>
          <w:sz w:val="22"/>
          <w:szCs w:val="22"/>
        </w:rPr>
        <w:t xml:space="preserve">These tables hold clearance by each office, graduation and certificates.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of the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Officers assigned to each office.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finalist's clearance and its completion.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office's decision (pending, cleared, held with a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 graduand list, Board approval, NACTVET submission.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Graduands with award, classification, certificate number and verification code.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alumni_profiles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the institution knows about each graduate now: contacts, employment, employer, sector, consent to contact.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tracer_surveys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Tracer surveys for a graduation or programme, with questions and opening and closing.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tracer_invitations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Survey links sent to graduates by SMS, with reminders and response time.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tracer_responses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Graduates' answers to a tracer survey.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Communication</w:t>
      </w:r>
    </w:p>
    <w:p>
      <w:pPr>
        <w:spacing w:after="300"/>
      </w:pPr>
      <w:r>
        <w:rPr>
          <w:i/>
          <w:rFonts w:ascii="Calibri" w:cs="Calibri" w:eastAsia="Calibri" w:hAnsi="Calibri"/>
          <w:color w:val="595959"/>
          <w:sz w:val="22"/>
          <w:szCs w:val="22"/>
        </w:rPr>
        <w:t xml:space="preserve">These tables hold message templates, the SMS and email outboxes and notifications.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wording of event SMS messages in English and Kiswahili.</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log: text, recipient, status, provider reference, delivery report.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message_campaigns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messages with audience, count and cost.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Default language, sender ID, price per SMS and low-balance warning.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sms_topups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bundle credits added by the platform.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Notices to students, audiences, scheduling and SMS alert.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notice_reads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students have read each notice.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outbox: recipient, kind, subject, body, attachment, status,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email_verifications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Codes (hashed) proving an email address belongs to the person.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report_schedules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filters, format, frequency, recipients, last run.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bl>
    <w:p>
      <w:pPr>
        <w:spacing w:after="120"/>
      </w:pPr>
    </w:p>
    <w:p>
      <w:pPr>
        <w:pStyle w:val="Heading2"/>
      </w:pPr>
      <w:bookmarkStart w:id="25" w:name="_TocV11_25"/>
      <w:r>
        <w:rPr>
          <w:rFonts w:ascii="Calibri" w:cs="Calibri" w:eastAsia="Calibri" w:hAnsi="Calibri"/>
        </w:rPr>
        <w:t xml:space="preserve">12.3 Integrity rules in the database</w:t>
      </w:r>
      <w:bookmarkEnd w:id="25"/>
    </w:p>
    <w:p>
      <w:pPr>
        <w:spacing w:after="300"/>
      </w:pPr>
      <w:r>
        <w:rPr>
          <w:i/>
          <w:rFonts w:ascii="Calibri" w:cs="Calibri" w:eastAsia="Calibri" w:hAnsi="Calibri"/>
          <w:color w:val="595959"/>
          <w:sz w:val="22"/>
          <w:szCs w:val="22"/>
        </w:rPr>
        <w:t xml:space="preserve">This sub-section lists the rules the built database enforces itself, through triggers and constraints, so that no screen or program can break them.</w:t>
      </w:r>
    </w:p>
    <w:p>
      <w:pPr>
        <w:spacing w:after="120" w:line="276"/>
        <w:jc w:val="both"/>
      </w:pPr>
      <w:r>
        <w:rPr>
          <w:rFonts w:ascii="Calibri" w:cs="Calibri" w:eastAsia="Calibri" w:hAnsi="Calibri"/>
        </w:rPr>
        <w:t xml:space="preserve">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Tables</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 platform_audit_logs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Updates and deletes refused: the audit trails are append-only.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 payments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Deletes refused: financial records are corrected by credit notes or cancellations, never removed.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Deleting a student or changing a registration number refused (BRU-06).</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 semester_results, resits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Changes refused once results are confirmed, except inside an approved amendment (BRU-13).</w:t>
            </w:r>
          </w:p>
        </w:tc>
      </w:tr>
    </w:tbl>
    <w:p>
      <w:pPr>
        <w:spacing w:after="120"/>
      </w:pPr>
    </w:p>
    <w:p>
      <w:pPr>
        <w:spacing w:after="120" w:line="276"/>
        <w:jc w:val="both"/>
      </w:pPr>
      <w:r>
        <w:rPr>
          <w:rFonts w:ascii="Calibri" w:cs="Calibri" w:eastAsia="Calibri" w:hAnsi="Calibri"/>
        </w:rPr>
        <w:t xml:space="preserve">Partial unique indexes (a rule that applies only to rows in a given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allocation (allocated or checked in) per bed, and per student per window (BRU-18).</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annual fees invoice per payer and academic year.</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account per NECTA index number and year 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 numbers unique once issued.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pending at NACTVET in only one batch.</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(proposed) round per window.</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and one approved structure per programme, year of study, academic year, intake and student category.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curriculum per programme.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 student_id_cards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valid letter per application and one valid ID card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certificate numbers and verification codes.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sponsorship per student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 result_appeals, eligibility_exemptions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result or registration.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 student_change_requests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placement per student per IPT period.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Phone and e-mail unique within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Gateway references unique, so delivery reports are matched once.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Exactly one main campus per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transfer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National Identification Number belongs to one student in an institution (matched by its hash).</w:t>
            </w:r>
          </w:p>
        </w:tc>
      </w:tr>
    </w:tbl>
    <w:p>
      <w:pPr>
        <w:spacing w:after="120"/>
      </w:pPr>
    </w:p>
    <w:p>
      <w:pPr>
        <w:spacing w:after="120" w:line="276"/>
        <w:jc w:val="both"/>
      </w:pPr>
      <w:r>
        <w:rPr>
          <w:rFonts w:ascii="Calibri" w:cs="Calibri" w:eastAsia="Calibri" w:hAnsi="Calibri"/>
        </w:rPr>
        <w:t xml:space="preserve">Check constraints also tie fields together, for example a held clearance item needs a note, an excluded selection needs a reason, a revoked letter needs a date and reason, and offer statuses need a verification number.</w:t>
      </w:r>
    </w:p>
    <w:p>
      <w:pPr>
        <w:pStyle w:val="Heading2"/>
      </w:pPr>
      <w:bookmarkStart w:id="26" w:name="_TocV11_26"/>
      <w:r>
        <w:rPr>
          <w:rFonts w:ascii="Calibri" w:cs="Calibri" w:eastAsia="Calibri" w:hAnsi="Calibri"/>
        </w:rPr>
        <w:t xml:space="preserve">12.4 Status values</w:t>
      </w:r>
      <w:bookmarkEnd w:id="26"/>
    </w:p>
    <w:p>
      <w:pPr>
        <w:spacing w:after="300"/>
      </w:pPr>
      <w:r>
        <w:rPr>
          <w:i/>
          <w:rFonts w:ascii="Calibri" w:cs="Calibri" w:eastAsia="Calibri" w:hAnsi="Calibri"/>
          <w:color w:val="595959"/>
          <w:sz w:val="22"/>
          <w:szCs w:val="22"/>
        </w:rPr>
        <w:t xml:space="preserve">This sub-section lists the status values the built database accepts for each kind of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Entity</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Values accepted by the database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 PENDING_VERIFICATION, QUERIED, NACTVET_REJECTED, OFFERED, ACCEPTED, DECLINED, OFFER_LAPSED. An offer status requires a verification number and offer dates (check constraint).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SELECTED (with programme), NOT_SELECTED, EXCLUDED (with reason).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ADMITTED, ACTIVE, POSTPONED, SUSPENDED, DISCONTINUED, WITHDRAWN, DECEASED, COMPLETED, GRADUATED.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 APPROVED, REJECTED (returned), CANCELLED.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 offering (marks)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BOARD_APPROVED; resits DRAFT, SUBMITTED, APPROVED.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 sheet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RECOMMENDED, CONFIRMED (locked),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Waiver or refund</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ENDORSED (Bursar, above threshold), APPROVED, REJECTED, PAID.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allocation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CHECKED_IN, CHECKED_OUT, RELEASED,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 unit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item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CLEARED, HELD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APPROVED; NACTVET SUBMITTED, ACCEPTED,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or campus transfer</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REQUESTED, RECOMMENDED, APPROVED, REJECTED,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Personal-data request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Kinds ACCESS, CORRECTION, ERASURE, OBJECTION; status OPEN, COMPLETED, REJECTED.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 batch</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VALIDATED, APPLIED (after sign-off by a second person), DISCARDED.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 document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ACCEPTED, REJECTED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 survey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OPEN, CLOSED.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 SUBMITTED, COMPLETED; student SUBMITTED, REGISTERED,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 message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QUEUED, SENT, 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 posting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POSTED, REJECTED, FAILED.</w:t>
            </w:r>
          </w:p>
        </w:tc>
      </w:tr>
    </w:tbl>
    <w:p>
      <w:pPr>
        <w:spacing w:after="120"/>
      </w:pPr>
    </w:p>
    <w:p>
      <w:pPr>
        <w:pStyle w:val="Heading2"/>
      </w:pPr>
      <w:bookmarkStart w:id="27" w:name="_TocV11_27"/>
      <w:r>
        <w:rPr>
          <w:rFonts w:ascii="Calibri" w:cs="Calibri" w:eastAsia="Calibri" w:hAnsi="Calibri"/>
        </w:rPr>
        <w:t xml:space="preserve">12.5 Migration history</w:t>
      </w:r>
      <w:bookmarkEnd w:id="27"/>
    </w:p>
    <w:p>
      <w:pPr>
        <w:spacing w:after="300"/>
      </w:pPr>
      <w:r>
        <w:rPr>
          <w:i/>
          <w:rFonts w:ascii="Calibri" w:cs="Calibri" w:eastAsia="Calibri" w:hAnsi="Calibri"/>
          <w:color w:val="595959"/>
          <w:sz w:val="22"/>
          <w:szCs w:val="22"/>
        </w:rPr>
        <w:t xml:space="preserve">Each change to the database structure is a numbered migration applied in order. This table lists them, which helps trace when each part of the system was added.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902"/>
        <w:gridCol w:w="3612"/>
      </w:tblGrid>
      <w:tr>
        <w:trPr>
          <w:tblHeader/>
          <w:cantSplit/>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Qualification checks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 after submission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entry level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photos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 level security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user management</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status changes and ID cards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offers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console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appeals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 self check-in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adjustments, targets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wardens, repairs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Ownership and payment channels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and results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transfers, fee dimensions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Resits, amendments, transcripts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penalties, discounts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attendance, eligibility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and scheduled reports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and graduation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Two-step sign-in, API clients, privacy</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and letter templates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migration and external selections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 events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windows and approval stages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NECTA registration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Workplace assessment and alumni</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Address and next of kin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Government integrations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Education history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V49</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 language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Other qualifications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V50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Job locks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 fees, reminders, bed changes</w:t>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