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17</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20</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24</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28</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29</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29</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30</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Verification follows NOAS's integration with NACTVET (uploads by programme with the payment reference of the verification fee; outcomes from NACTVET's verification feedback). Verification, registration and results run against a simulator until NACTVET opens them to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bl>
    <w:p>
      <w:pPr>
        <w:spacing w:after="120"/>
      </w:pPr>
    </w:p>
    <w:p>
      <w:pPr>
        <w:spacing w:after="120" w:line="276"/>
        <w:jc w:val="both"/>
      </w:pPr>
      <w:r>
        <w:rPr>
          <w:rFonts w:ascii="Calibri" w:cs="Calibri" w:eastAsia="Calibri" w:hAnsi="Calibri"/>
        </w:rPr>
        <w:t xml:space="preserve">Of the 99 functional requirements, 91 are built and 8 partly built. All eight wait on an outside body's live interface (NACTVET registration and results, HESLB, NIDA, MUSE, TAMISEMI)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endpoints the live adapter uses (NACTVET's applicant upload and verification feedback, as NOAS uses them, and a placeholder for the multiple-admission confirmation),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