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07: Development Plan and Cost Estimate</w:t>
      </w:r>
    </w:p>
    <w:p>
      <w:pPr>
        <w:spacing w:after="300"/>
      </w:pPr>
      <w:r>
        <w:rPr>
          <w:rFonts w:ascii="Calibri" w:cs="Calibri" w:eastAsia="Calibri" w:hAnsi="Calibri"/>
          <w:color w:val="595959"/>
          <w:sz w:val="22"/>
          <w:szCs w:val="22"/>
        </w:rPr>
        <w:t xml:space="preserve">Release plan, team and governance, effort-based budget, pricing model, investment case, support levels and risk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07: Development Plan and Cost Estimate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Development Plan and Cost Estimate,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 and remaining work (section 3.2) and the test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plan, effort and cost estimate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Remaining work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1.1). Spring Boot 3.5 noted under security hardening.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Development Plan and Cost Estimate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Development Plan and Cost Estimate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30" w:history="1">
            <w:r>
              <w:rPr>
                <w:rFonts w:ascii="Calibri" w:cs="Calibri" w:eastAsia="Calibri" w:hAnsi="Calibri"/>
                <w:sz w:val="20"/>
                <w:szCs w:val="20"/>
              </w:rPr>
              <w:t xml:space="preserve">1.1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2" w:history="1">
            <w:r>
              <w:rPr>
                <w:rFonts w:ascii="Calibri" w:cs="Calibri" w:eastAsia="Calibri" w:hAnsi="Calibri"/>
                <w:b/>
                <w:bCs/>
                <w:color w:val="1F3864"/>
                <w:sz w:val="21"/>
                <w:szCs w:val="21"/>
              </w:rPr>
              <w:t xml:space="preserve">2. Delivery Strategy</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3. Release Plan and Timeline</w:t>
            </w:r>
            <w:r>
              <w:rPr>
                <w:rFonts w:ascii="Calibri" w:cs="Calibri" w:eastAsia="Calibri" w:hAnsi="Calibri"/>
                <w:b/>
                <w:bCs/>
                <w:color w:val="1F3864"/>
                <w:sz w:val="21"/>
                <w:szCs w:val="21"/>
              </w:rPr>
              <w:tab/>
              <w:t>7</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3.1 Milestones and acceptance</w:t>
            </w:r>
            <w:r>
              <w:rPr>
                <w:rFonts w:ascii="Calibri" w:cs="Calibri" w:eastAsia="Calibri" w:hAnsi="Calibri"/>
                <w:sz w:val="20"/>
                <w:szCs w:val="20"/>
              </w:rPr>
              <w:tab/>
              <w:t>8</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3.2 Progress and remaining work (October 2026)</w:t>
            </w:r>
            <w:r>
              <w:rPr>
                <w:rFonts w:ascii="Calibri" w:cs="Calibri" w:eastAsia="Calibri" w:hAnsi="Calibri"/>
                <w:sz w:val="20"/>
                <w:szCs w:val="20"/>
              </w:rPr>
              <w:tab/>
              <w:t>8</w:t>
            </w:r>
          </w:hyperlink>
        </w:p>
        <w:p>
          <w:pPr>
            <w:tabs>
              <w:tab w:val="right" w:leader="dot" w:pos="9020"/>
            </w:tabs>
            <w:spacing w:before="120" w:after="20"/>
            <w:ind w:left="0"/>
          </w:pPr>
          <w:hyperlink w:anchor="_TocV11_6" w:history="1">
            <w:r>
              <w:rPr>
                <w:rFonts w:ascii="Calibri" w:cs="Calibri" w:eastAsia="Calibri" w:hAnsi="Calibri"/>
                <w:b/>
                <w:bCs/>
                <w:color w:val="1F3864"/>
                <w:sz w:val="21"/>
                <w:szCs w:val="21"/>
              </w:rPr>
              <w:t xml:space="preserve">4. Team and Governance</w:t>
            </w:r>
            <w:r>
              <w:rPr>
                <w:rFonts w:ascii="Calibri" w:cs="Calibri" w:eastAsia="Calibri" w:hAnsi="Calibri"/>
                <w:b/>
                <w:bCs/>
                <w:color w:val="1F3864"/>
                <w:sz w:val="21"/>
                <w:szCs w:val="21"/>
              </w:rPr>
              <w:tab/>
              <w:t>10</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4.1 Delivery team</w:t>
            </w:r>
            <w:r>
              <w:rPr>
                <w:rFonts w:ascii="Calibri" w:cs="Calibri" w:eastAsia="Calibri" w:hAnsi="Calibri"/>
                <w:sz w:val="20"/>
                <w:szCs w:val="20"/>
              </w:rPr>
              <w:tab/>
              <w:t>10</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4.2 Institution roles</w:t>
            </w:r>
            <w:r>
              <w:rPr>
                <w:rFonts w:ascii="Calibri" w:cs="Calibri" w:eastAsia="Calibri" w:hAnsi="Calibri"/>
                <w:sz w:val="20"/>
                <w:szCs w:val="20"/>
              </w:rPr>
              <w:tab/>
              <w:t>10</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4.3 Governance structure</w:t>
            </w:r>
            <w:r>
              <w:rPr>
                <w:rFonts w:ascii="Calibri" w:cs="Calibri" w:eastAsia="Calibri" w:hAnsi="Calibri"/>
                <w:sz w:val="20"/>
                <w:szCs w:val="20"/>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5. Cost Estimate — Platform Development</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5.1 Labour (effort-based)</w:t>
            </w:r>
            <w:r>
              <w:rPr>
                <w:rFonts w:ascii="Calibri" w:cs="Calibri" w:eastAsia="Calibri" w:hAnsi="Calibri"/>
                <w:sz w:val="20"/>
                <w:szCs w:val="20"/>
              </w:rPr>
              <w:tab/>
              <w:t>11</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5.2 Non-labour costs</w:t>
            </w:r>
            <w:r>
              <w:rPr>
                <w:rFonts w:ascii="Calibri" w:cs="Calibri" w:eastAsia="Calibri" w:hAnsi="Calibri"/>
                <w:sz w:val="20"/>
                <w:szCs w:val="20"/>
              </w:rPr>
              <w:tab/>
              <w:t>11</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5.3 Budget summary</w:t>
            </w:r>
            <w:r>
              <w:rPr>
                <w:rFonts w:ascii="Calibri" w:cs="Calibri" w:eastAsia="Calibri" w:hAnsi="Calibri"/>
                <w:sz w:val="20"/>
                <w:szCs w:val="20"/>
              </w:rPr>
              <w:tab/>
              <w:t>12</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5.4 Cost by release</w:t>
            </w:r>
            <w:r>
              <w:rPr>
                <w:rFonts w:ascii="Calibri" w:cs="Calibri" w:eastAsia="Calibri" w:hAnsi="Calibri"/>
                <w:sz w:val="20"/>
                <w:szCs w:val="20"/>
              </w:rPr>
              <w:tab/>
              <w:t>12</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6. Commercial Model for Institutions</w:t>
            </w:r>
            <w:r>
              <w:rPr>
                <w:rFonts w:ascii="Calibri" w:cs="Calibri" w:eastAsia="Calibri" w:hAnsi="Calibri"/>
                <w:b/>
                <w:bCs/>
                <w:color w:val="1F3864"/>
                <w:sz w:val="21"/>
                <w:szCs w:val="21"/>
              </w:rPr>
              <w:tab/>
              <w:t>13</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6.1 Cloud subscription (Option A)</w:t>
            </w:r>
            <w:r>
              <w:rPr>
                <w:rFonts w:ascii="Calibri" w:cs="Calibri" w:eastAsia="Calibri" w:hAnsi="Calibri"/>
                <w:sz w:val="20"/>
                <w:szCs w:val="20"/>
              </w:rPr>
              <w:tab/>
              <w:t>13</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6.2 Dedicated installation (Option B)</w:t>
            </w:r>
            <w:r>
              <w:rPr>
                <w:rFonts w:ascii="Calibri" w:cs="Calibri" w:eastAsia="Calibri" w:hAnsi="Calibri"/>
                <w:sz w:val="20"/>
                <w:szCs w:val="20"/>
              </w:rPr>
              <w:tab/>
              <w:t>13</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6.3 Payment milestones (onboarding and implementation)</w:t>
            </w:r>
            <w:r>
              <w:rPr>
                <w:rFonts w:ascii="Calibri" w:cs="Calibri" w:eastAsia="Calibri" w:hAnsi="Calibri"/>
                <w:sz w:val="20"/>
                <w:szCs w:val="20"/>
              </w:rPr>
              <w:tab/>
              <w:t>13</w:t>
            </w:r>
          </w:hyperlink>
        </w:p>
        <w:p>
          <w:pPr>
            <w:tabs>
              <w:tab w:val="right" w:leader="dot" w:pos="9020"/>
            </w:tabs>
            <w:spacing w:before="120" w:after="20"/>
            <w:ind w:left="0"/>
          </w:pPr>
          <w:hyperlink w:anchor="_TocV11_19" w:history="1">
            <w:r>
              <w:rPr>
                <w:rFonts w:ascii="Calibri" w:cs="Calibri" w:eastAsia="Calibri" w:hAnsi="Calibri"/>
                <w:b/>
                <w:bCs/>
                <w:color w:val="1F3864"/>
                <w:sz w:val="21"/>
                <w:szCs w:val="21"/>
              </w:rPr>
              <w:t xml:space="preserve">7. Investment Case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7.1 Platform running cost (steady state)</w:t>
            </w:r>
            <w:r>
              <w:rPr>
                <w:rFonts w:ascii="Calibri" w:cs="Calibri" w:eastAsia="Calibri" w:hAnsi="Calibri"/>
                <w:sz w:val="20"/>
                <w:szCs w:val="20"/>
              </w:rPr>
              <w:tab/>
              <w:t>14</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7.2 Illustrative three-year scenario</w:t>
            </w:r>
            <w:r>
              <w:rPr>
                <w:rFonts w:ascii="Calibri" w:cs="Calibri" w:eastAsia="Calibri" w:hAnsi="Calibri"/>
                <w:sz w:val="20"/>
                <w:szCs w:val="20"/>
              </w:rPr>
              <w:tab/>
              <w:t>14</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7.3 Value to an individual institution</w:t>
            </w:r>
            <w:r>
              <w:rPr>
                <w:rFonts w:ascii="Calibri" w:cs="Calibri" w:eastAsia="Calibri" w:hAnsi="Calibri"/>
                <w:sz w:val="20"/>
                <w:szCs w:val="20"/>
              </w:rPr>
              <w:tab/>
              <w:t>15</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8. Institution-Side Budget and Contributions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9. Quality Assurance and Testing</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10. Training and Change Management</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11. Support and Service Levels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12. Risk Register</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13. Change Control</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14. Next Steps</w:t>
            </w:r>
            <w:r>
              <w:rPr>
                <w:rFonts w:ascii="Calibri" w:cs="Calibri" w:eastAsia="Calibri" w:hAnsi="Calibri"/>
                <w:b/>
                <w:bCs/>
                <w:color w:val="1F3864"/>
                <w:sz w:val="21"/>
                <w:szCs w:val="21"/>
              </w:rPr>
              <w:tab/>
              <w:t>18</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plan covers: how CIMS is delivered, by whom, at what cost and how the investment is recovered. It is written for sponsors and decision makers who approve funding and timelines.</w:t>
      </w:r>
    </w:p>
    <w:p>
      <w:pPr>
        <w:spacing w:after="120" w:line="276"/>
        <w:jc w:val="both"/>
      </w:pPr>
      <w:r>
        <w:rPr>
          <w:rFonts w:ascii="Calibri" w:cs="Calibri" w:eastAsia="Calibri" w:hAnsi="Calibri"/>
        </w:rPr>
        <w:t xml:space="preserve">This document sets out how Msingi Technologies Ltd will deliver CIMS, who will deliver it, what it will cost and how that investment is recovered. It is aligned with the release scope in Documents 01–03 and the architecture in Document 06. All amounts are in Tanzanian shillings (TZS), indicative as at October 2026, and </w:t>
      </w:r>
      <w:r>
        <w:rPr>
          <w:rFonts w:ascii="Calibri" w:cs="Calibri" w:eastAsia="Calibri" w:hAnsi="Calibri"/>
          <w:b/>
          <w:bCs/>
        </w:rPr>
        <w:t xml:space="preserve">exclude VAT</w:t>
      </w:r>
      <w:r>
        <w:rPr>
          <w:rFonts w:ascii="Calibri" w:cs="Calibri" w:eastAsia="Calibri" w:hAnsi="Calibri"/>
        </w:rPr>
        <w:t xml:space="preserve"> unless stated.</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Headline figures:</w:t>
      </w:r>
      <w:r>
        <w:rPr>
          <w:rFonts w:ascii="Calibri" w:cs="Calibri" w:eastAsia="Calibri" w:hAnsi="Calibri"/>
          <w:color w:val="1D3B3A"/>
        </w:rPr>
        <w:t xml:space="preserve"> about 11 months to full functionality in three releases; 119.0 person-months of effort; one-time platform investment of about </w:t>
      </w:r>
      <w:r>
        <w:rPr>
          <w:rFonts w:ascii="Calibri" w:cs="Calibri" w:eastAsia="Calibri" w:hAnsi="Calibri"/>
          <w:b/>
          <w:bCs/>
          <w:color w:val="1D3B3A"/>
        </w:rPr>
        <w:t xml:space="preserve">TZS 572.6 million</w:t>
      </w:r>
      <w:r>
        <w:rPr>
          <w:rFonts w:ascii="Calibri" w:cs="Calibri" w:eastAsia="Calibri" w:hAnsi="Calibri"/>
          <w:color w:val="1D3B3A"/>
        </w:rPr>
        <w:t xml:space="preserve"> (excluding VAT, including 10% contingency); institutions pay an onboarding fee plus about </w:t>
      </w:r>
      <w:r>
        <w:rPr>
          <w:rFonts w:ascii="Calibri" w:cs="Calibri" w:eastAsia="Calibri" w:hAnsi="Calibri"/>
          <w:b/>
          <w:bCs/>
          <w:color w:val="1D3B3A"/>
        </w:rPr>
        <w:t xml:space="preserve">TZS 25,000 per active student per year</w:t>
      </w:r>
      <w:r>
        <w:rPr>
          <w:rFonts w:ascii="Calibri" w:cs="Calibri" w:eastAsia="Calibri" w:hAnsi="Calibri"/>
          <w:color w:val="1D3B3A"/>
        </w:rPr>
        <w:t xml:space="preserve">. On the stated assumptions, platform running costs are covered from about 13 average-sized institutions.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 version 3.0):</w:t>
      </w:r>
      <w:r>
        <w:rPr>
          <w:rFonts w:ascii="Calibri" w:cs="Calibri" w:eastAsia="Calibri" w:hAnsi="Calibri"/>
        </w:rPr>
        <w:t xml:space="preserve"> the development build already covers the core scope of all three releases (section 3.2). The schedule and costs below are the version 2.0 estimate and have not been re-baselined; the remaining work is now mainly live integrations, hardening, migration, hosting and pilots.</w:t>
      </w:r>
    </w:p>
    <w:p>
      <w:pPr>
        <w:pStyle w:val="Heading2"/>
      </w:pPr>
      <w:bookmarkStart w:id="30" w:name="_TocV11_30"/>
      <w:r>
        <w:rPr>
          <w:rFonts w:ascii="Calibri" w:cs="Calibri" w:eastAsia="Calibri" w:hAnsi="Calibri"/>
        </w:rPr>
        <w:t xml:space="preserve">1.1 Abbreviations and glossary</w:t>
      </w:r>
      <w:bookmarkEnd w:id="30"/>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Dynamic application security testing: scanning the running system for weaknesses.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 restoring the service at another site after a major failure.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Full-time equivalent: one person working full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acceptance testing: the institution tests the system before accepting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interface: the screens people 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Value added tax.</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2" w:name="_TocV11_2"/>
      <w:r>
        <w:rPr>
          <w:rFonts w:ascii="Calibri" w:cs="Calibri" w:eastAsia="Calibri" w:hAnsi="Calibri"/>
        </w:rPr>
        <w:t xml:space="preserve">2. Delivery Strategy</w:t>
      </w:r>
      <w:bookmarkEnd w:id="2"/>
    </w:p>
    <w:p>
      <w:pPr>
        <w:spacing w:after="300"/>
      </w:pPr>
      <w:r>
        <w:rPr>
          <w:i/>
          <w:rFonts w:ascii="Calibri" w:cs="Calibri" w:eastAsia="Calibri" w:hAnsi="Calibri"/>
          <w:color w:val="595959"/>
          <w:sz w:val="22"/>
          <w:szCs w:val="22"/>
        </w:rPr>
        <w:t xml:space="preserve">The delivery strategy sets the overall approach: releases fixed to the academic calendar, short development cycles with regular demonstrations, and pilots before wider roll-out.</w:t>
      </w:r>
    </w:p>
    <w:p>
      <w:pPr>
        <w:pStyle w:val="ListParagraph"/>
        <w:numPr>
          <w:ilvl w:val="0"/>
          <w:numId w:val="2"/>
        </w:numPr>
        <w:spacing w:after="60" w:line="264"/>
      </w:pPr>
      <w:r>
        <w:rPr>
          <w:rFonts w:ascii="Calibri" w:cs="Calibri" w:eastAsia="Calibri" w:hAnsi="Calibri"/>
          <w:b/>
          <w:bCs/>
        </w:rPr>
        <w:t xml:space="preserve">Calendar-driven releases:</w:t>
      </w:r>
      <w:r>
        <w:rPr>
          <w:rFonts w:ascii="Calibri" w:cs="Calibri" w:eastAsia="Calibri" w:hAnsi="Calibri"/>
        </w:rPr>
        <w:t xml:space="preserve"> Release 1 is fixed to be live before the 2027/28 admission window; later releases are timed for examinations and the new academic year.</w:t>
      </w:r>
    </w:p>
    <w:p>
      <w:pPr>
        <w:pStyle w:val="ListParagraph"/>
        <w:numPr>
          <w:ilvl w:val="0"/>
          <w:numId w:val="2"/>
        </w:numPr>
        <w:spacing w:after="60" w:line="264"/>
      </w:pPr>
      <w:r>
        <w:rPr>
          <w:rFonts w:ascii="Calibri" w:cs="Calibri" w:eastAsia="Calibri" w:hAnsi="Calibri"/>
          <w:b/>
          <w:bCs/>
        </w:rPr>
        <w:t xml:space="preserve">Agile delivery in two-week sprints</w:t>
      </w:r>
      <w:r>
        <w:rPr>
          <w:rFonts w:ascii="Calibri" w:cs="Calibri" w:eastAsia="Calibri" w:hAnsi="Calibri"/>
        </w:rPr>
        <w:t xml:space="preserve"> with a demonstration to institution users at the end of each sprint and a prioritised backlog traced to Document 03.</w:t>
      </w:r>
    </w:p>
    <w:p>
      <w:pPr>
        <w:pStyle w:val="ListParagraph"/>
        <w:numPr>
          <w:ilvl w:val="0"/>
          <w:numId w:val="2"/>
        </w:numPr>
        <w:spacing w:after="60" w:line="264"/>
      </w:pPr>
      <w:r>
        <w:rPr>
          <w:rFonts w:ascii="Calibri" w:cs="Calibri" w:eastAsia="Calibri" w:hAnsi="Calibri"/>
          <w:b/>
          <w:bCs/>
        </w:rPr>
        <w:t xml:space="preserve">Pilot first:</w:t>
      </w:r>
      <w:r>
        <w:rPr>
          <w:rFonts w:ascii="Calibri" w:cs="Calibri" w:eastAsia="Calibri" w:hAnsi="Calibri"/>
        </w:rPr>
        <w:t xml:space="preserve"> two pilot institutions (one NTA-focused, one NVA-focused) use each release before general roll-out.</w:t>
      </w:r>
    </w:p>
    <w:p>
      <w:pPr>
        <w:pStyle w:val="ListParagraph"/>
        <w:numPr>
          <w:ilvl w:val="0"/>
          <w:numId w:val="2"/>
        </w:numPr>
        <w:spacing w:after="60" w:line="264"/>
      </w:pPr>
      <w:r>
        <w:rPr>
          <w:rFonts w:ascii="Calibri" w:cs="Calibri" w:eastAsia="Calibri" w:hAnsi="Calibri"/>
          <w:b/>
          <w:bCs/>
        </w:rPr>
        <w:t xml:space="preserve">Fixed scope per release, controlled change:</w:t>
      </w:r>
      <w:r>
        <w:rPr>
          <w:rFonts w:ascii="Calibri" w:cs="Calibri" w:eastAsia="Calibri" w:hAnsi="Calibri"/>
        </w:rPr>
        <w:t xml:space="preserve"> new requests go to the backlog and are scheduled through change control (section 13).</w:t>
      </w:r>
    </w:p>
    <w:p>
      <w:pPr>
        <w:pStyle w:val="ListParagraph"/>
        <w:numPr>
          <w:ilvl w:val="0"/>
          <w:numId w:val="2"/>
        </w:numPr>
        <w:spacing w:after="60" w:line="264"/>
      </w:pPr>
      <w:r>
        <w:rPr>
          <w:rFonts w:ascii="Calibri" w:cs="Calibri" w:eastAsia="Calibri" w:hAnsi="Calibri"/>
          <w:b/>
          <w:bCs/>
        </w:rPr>
        <w:t xml:space="preserve">Quality built in:</w:t>
      </w:r>
      <w:r>
        <w:rPr>
          <w:rFonts w:ascii="Calibri" w:cs="Calibri" w:eastAsia="Calibri" w:hAnsi="Calibri"/>
        </w:rPr>
        <w:t xml:space="preserve"> automated testing, security scanning and performance testing in every release (Document 06, section 8.4).</w:t>
      </w:r>
    </w:p>
    <w:p>
      <w:pPr>
        <w:pStyle w:val="Heading1"/>
      </w:pPr>
      <w:bookmarkStart w:id="3" w:name="_TocV11_3"/>
      <w:r>
        <w:rPr>
          <w:rFonts w:ascii="Calibri" w:cs="Calibri" w:eastAsia="Calibri" w:hAnsi="Calibri"/>
        </w:rPr>
        <w:t xml:space="preserve">3. Release Plan and Timeline</w:t>
      </w:r>
      <w:bookmarkEnd w:id="3"/>
    </w:p>
    <w:p>
      <w:pPr>
        <w:spacing w:after="300"/>
      </w:pPr>
      <w:r>
        <w:rPr>
          <w:i/>
          <w:rFonts w:ascii="Calibri" w:cs="Calibri" w:eastAsia="Calibri" w:hAnsi="Calibri"/>
          <w:color w:val="595959"/>
          <w:sz w:val="22"/>
          <w:szCs w:val="22"/>
        </w:rPr>
        <w:t xml:space="preserve">This section shows the phases and releases on a timeline, with the main deliverables of each, so that stakeholders know what arrives when.</w:t>
      </w:r>
    </w:p>
    <w:p>
      <w:pPr>
        <w:spacing w:after="120" w:line="276"/>
        <w:jc w:val="both"/>
      </w:pPr>
      <w:r>
        <w:rPr>
          <w:rFonts w:ascii="Calibri" w:cs="Calibri" w:eastAsia="Calibri" w:hAnsi="Calibri"/>
        </w:rPr>
        <w:t xml:space="preserve">The plan assumes a start on </w:t>
      </w:r>
      <w:r>
        <w:rPr>
          <w:rFonts w:ascii="Calibri" w:cs="Calibri" w:eastAsia="Calibri" w:hAnsi="Calibri"/>
          <w:b/>
          <w:bCs/>
        </w:rPr>
        <w:t xml:space="preserve">2 November 2026</w:t>
      </w:r>
      <w:r>
        <w:rPr>
          <w:rFonts w:ascii="Calibri" w:cs="Calibri" w:eastAsia="Calibri" w:hAnsi="Calibri"/>
        </w:rPr>
        <w:t xml:space="preserve"> (week 1).</w:t>
      </w:r>
    </w:p>
    <w:p>
      <w:pPr>
        <w:spacing w:after="60" w:before="120"/>
        <w:jc w:val="center"/>
      </w:pPr>
      <w:r>
        <w:drawing>
          <wp:inline distT="0" distB="0" distL="0" distR="0">
            <wp:extent cx="5905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66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Release timeline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1083"/>
        <w:gridCol w:w="559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Weeks</w:t>
            </w:r>
          </w:p>
        </w:tc>
        <w:tc>
          <w:tcPr>
            <w:tcW w:type="dxa" w:w="559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Major deliverables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0: Inception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W1–W3</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charter, governance set-up, requirements validation with pilots, integration access requests (NACTVET, NECTA, GePG, HESLB), release backlog, migration inventory.</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Phase 1: Solution design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W3–W7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Clickable UI prototype, detailed data model, security model, integration specifications, environments and CI/CD, regulation and fee configuration templates.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 Admission-ready</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W6–W17; test W18–W20; live W21 (22 Mar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tenancy and security; Online Admission Portal with NECTA/AVN verification; GePG application and tuition fees; selection; NACTVET verification; Registry; Academic Structure; notifications; core reports; student portal (basic).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 Academic</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W19–W32; test W33–W35; live W36 (5 Jul 2027)</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 Assessment &amp; Examination for NTA and NVA; approvals; GPA and progression; results publication; transcripts and QR verification; NACTVET results files; full student portal; academic reports.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 Campus</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Build W34–W45; test W46–W48; live W49 (4 Oct 2027)</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IPT; Clearance &amp; Graduation; advanced finance (instalments, waivers, sponsors/HESLB, refunds); MUSE/ERP export; management dashboards; regulator returns; NIDA (optional).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and handover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W49–W56</w:t>
            </w:r>
          </w:p>
        </w:tc>
        <w:tc>
          <w:tcPr>
            <w:tcW w:type="dxa" w:w="559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Stabilisation, performance tuning, knowledge transfer to the support team, project closure report.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W4–W35</w:t>
            </w:r>
          </w:p>
        </w:tc>
        <w:tc>
          <w:tcPr>
            <w:tcW w:type="dxa" w:w="559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Mapping, cleansing, trial loads and sign-off for each pilot before R1 and R2 go-live.</w:t>
            </w:r>
          </w:p>
        </w:tc>
      </w:tr>
    </w:tbl>
    <w:p>
      <w:pPr>
        <w:spacing w:after="120"/>
      </w:pPr>
    </w:p>
    <w:p>
      <w:pPr>
        <w:pStyle w:val="Heading2"/>
      </w:pPr>
      <w:bookmarkStart w:id="4" w:name="_TocV11_4"/>
      <w:r>
        <w:rPr>
          <w:rFonts w:ascii="Calibri" w:cs="Calibri" w:eastAsia="Calibri" w:hAnsi="Calibri"/>
        </w:rPr>
        <w:t xml:space="preserve">3.1 Milestones and acceptance</w:t>
      </w:r>
      <w:bookmarkEnd w:id="4"/>
    </w:p>
    <w:p>
      <w:pPr>
        <w:spacing w:after="300"/>
      </w:pPr>
      <w:r>
        <w:rPr>
          <w:i/>
          <w:rFonts w:ascii="Calibri" w:cs="Calibri" w:eastAsia="Calibri" w:hAnsi="Calibri"/>
          <w:color w:val="595959"/>
          <w:sz w:val="22"/>
          <w:szCs w:val="22"/>
        </w:rPr>
        <w:t xml:space="preserve">Milestones are the points where progress is formally checked and accepted. The table gives each milestone, its target week and the evidence required for acceptance.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1624"/>
        <w:gridCol w:w="2890"/>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Milestone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Target</w:t>
            </w:r>
          </w:p>
        </w:tc>
        <w:tc>
          <w:tcPr>
            <w:tcW w:type="dxa" w:w="28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Acceptance evidence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M1</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Inception report and validated requirements baseline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BRD/SRS baseline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design and prototype approved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7</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Design sign-off by pilots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M3</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1 live at pilot institutions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21</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penetration test report; go-live checklist</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First admission window run on CIMS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close</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processed; NACTVET verification submitted</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M5</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2 live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36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first results processed</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M6</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Release 3 live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49</w:t>
            </w:r>
          </w:p>
        </w:tc>
        <w:tc>
          <w:tcPr>
            <w:tcW w:type="dxa" w:w="28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UAT sign-off; hostel allocation run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M7</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closure and handover to support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Week 56</w:t>
            </w:r>
          </w:p>
        </w:tc>
        <w:tc>
          <w:tcPr>
            <w:tcW w:type="dxa" w:w="28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Closure report; support model active</w:t>
            </w:r>
          </w:p>
        </w:tc>
      </w:tr>
    </w:tbl>
    <w:p>
      <w:pPr>
        <w:spacing w:after="120"/>
      </w:pPr>
    </w:p>
    <w:p>
      <w:pPr>
        <w:pStyle w:val="Heading2"/>
      </w:pPr>
      <w:bookmarkStart w:id="5" w:name="_TocV11_5"/>
      <w:r>
        <w:rPr>
          <w:rFonts w:ascii="Calibri" w:cs="Calibri" w:eastAsia="Calibri" w:hAnsi="Calibri"/>
        </w:rPr>
        <w:t xml:space="preserve">3.2 Progress and remaining work (October 2026)</w:t>
      </w:r>
      <w:bookmarkEnd w:id="5"/>
    </w:p>
    <w:p>
      <w:pPr>
        <w:spacing w:after="300"/>
      </w:pPr>
      <w:r>
        <w:rPr>
          <w:i/>
          <w:rFonts w:ascii="Calibri" w:cs="Calibri" w:eastAsia="Calibri" w:hAnsi="Calibri"/>
          <w:color w:val="595959"/>
          <w:sz w:val="22"/>
          <w:szCs w:val="22"/>
        </w:rPr>
        <w:t xml:space="preserve">This sub-section reports where the work actually stands in October 2026 against the plan and lists what remains to be done before go-live.</w:t>
      </w:r>
    </w:p>
    <w:p>
      <w:pPr>
        <w:spacing w:after="120" w:line="276"/>
        <w:jc w:val="both"/>
      </w:pPr>
      <w:r>
        <w:rPr>
          <w:rFonts w:ascii="Calibri" w:cs="Calibri" w:eastAsia="Calibri" w:hAnsi="Calibri"/>
        </w:rPr>
        <w:t xml:space="preserve">The build was done ahead of the 2 November 2026 start assumed above. The system has 164 database tables from 52 migrations, about 55,000 lines of backend and 26,000 lines of frontend code, 250 automated backend tests and frontend unit tests, 35 standard reports and 20 roles, with every screen in English and Kiswahili. Its status against the planned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083"/>
        <w:gridCol w:w="1173"/>
        <w:gridCol w:w="4785"/>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Phase / release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weeks</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47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0: Inception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W1–W3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Requirements validated through the build; pilot validation and integration access requests still to do.</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Phase 1: Solution design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W3–W7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Done</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model, security model, integration ports and UI built directly in the system; this version 3.1 suite records them.</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1 — Admission-ready</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W6–W21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admission portal with document uploads, NECTA and NACTVET look-ups, selection, NACTVET verification, letters (editable wording, emailed), registry, fees and GePG (live adapter built), SMS and email, reports, student portal.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2 — Academic</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W19–W36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and attendance, NTA examinations and NVA competence, configurable approval stages, GPA and decisions, publication, resits, appeals, transcripts and verification, NACTVET results by API and file, comparisons across years.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Release 3 — Campus</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W34–W49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IPT (with workplace assessment by link), clearance and graduation, alumni and tracer surveys, sponsors, waivers and refunds, instalment reminders and penalties, discount schemes, HESLB, NIDA and MUSE exchanges (simulated until access), dashboards.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 stream</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W4–W35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Tools built</w:t>
            </w:r>
          </w:p>
        </w:tc>
        <w:tc>
          <w:tcPr>
            <w:tcW w:type="dxa" w:w="47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with templates, row-by-row validation and sign-off by a second person. Trial loads with the pilot institutions' data still to do.</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 security, hosting, pilots, hypercare</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W18–W56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done</w:t>
            </w:r>
          </w:p>
        </w:tc>
        <w:tc>
          <w:tcPr>
            <w:tcW w:type="dxa" w:w="47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Continuous integration, load tests on the development machine (100 users: no errors, p95 37 ms) and the production deployment stack with tested backups are done; see the remaining work below.</w:t>
            </w:r>
          </w:p>
        </w:tc>
      </w:tr>
    </w:tbl>
    <w:p>
      <w:pPr>
        <w:spacing w:after="120"/>
      </w:pPr>
    </w:p>
    <w:p>
      <w:pPr>
        <w:spacing w:after="120" w:line="276"/>
        <w:jc w:val="both"/>
      </w:pPr>
      <w:r>
        <w:rPr>
          <w:rFonts w:ascii="Calibri" w:cs="Calibri" w:eastAsia="Calibri" w:hAnsi="Calibri"/>
        </w:rPr>
        <w:t xml:space="preserve">Work remaining before the first institutions go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5235"/>
        <w:gridCol w:w="1986"/>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Work</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covers</w:t>
            </w:r>
          </w:p>
        </w:tc>
        <w:tc>
          <w:tcPr>
            <w:tcW w:type="dxa" w:w="198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Depends 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Live integrations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Switching GePG to live (certificates and certification); SMS aggregator adapter; NACTVET verification, registration and results endpoints and HESLB, NIDA, MUSE and TAMISEMI interfaces once issued (adapters and simulators ready); NACTVET official results and NVA templates.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NACTVET, HESLB, NIDA, MUSE, TAMISEMI and aggregator access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 hardening</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Secrets management; ASVS review; independent penetration test. Two-step sign-in, idle sign-out, common-password checks and 10-character passwords are built; dependency, secret and Dockerfile scanning and a ZAP baseline run in CI. Framework kept on a supported line: Spring Boot 3.5 since October 2026.</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 migration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Trial loads of programmes, curricula, students, results and balances with the import tools, reconciliation and sign-off by the data owners.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data</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Gaps in scope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Campus-level role scopes; room swaps between two students in hostels; offline caching in the student portal; regulator returns beyond the NACTVET files. (Timetabling and hostel bed changes with the fee difference are built.)</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Priorities from pilots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Performance and scale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test at 2× expected peak on staging hardware (scripts ready); tuning. Scheduled jobs already run once across several instances.</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Production hosting and operations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a Tanzanian data centre with the production Compose stack (or Kubernetes), certificates, monitoring dashboards and alerting, and the service desk. Backups with point-in-time recovery and continuous integration are in place.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Deployment option decision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Pilot onboarding and acceptance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of regulations, fees and entry rules with two pilot institutions; training; user acceptance testing against Document 03; go-live and hypercare.</w:t>
            </w:r>
          </w:p>
        </w:tc>
        <w:tc>
          <w:tcPr>
            <w:tcW w:type="dxa" w:w="198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 institutions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 documentation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Manuals and short videos in English and Kiswahili; Kiswahili for the staff back-office.</w:t>
            </w:r>
          </w:p>
        </w:tc>
        <w:tc>
          <w:tcPr>
            <w:tcW w:type="dxa" w:w="198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bl>
    <w:p>
      <w:pPr>
        <w:spacing w:after="120"/>
      </w:pPr>
    </w:p>
    <w:p>
      <w:pPr>
        <w:spacing w:after="120" w:line="276"/>
        <w:jc w:val="both"/>
      </w:pPr>
      <w:r>
        <w:rPr>
          <w:rFonts w:ascii="Calibri" w:cs="Calibri" w:eastAsia="Calibri" w:hAnsi="Calibri"/>
          <w:b/>
          <w:bCs/>
        </w:rPr>
        <w:t xml:space="preserve">Proposed sequence</w:t>
      </w:r>
      <w:r>
        <w:rPr>
          <w:rFonts w:ascii="Calibri" w:cs="Calibri" w:eastAsia="Calibri" w:hAnsi="Calibri"/>
        </w:rPr>
        <w:t xml:space="preserve"> (for the Steering Committee to confirm): integration access requests and pilot selection first; then hardening, migration tools and hosting in parallel with the live integrations; pilot configuration, training and acceptance; go-live at the pilots before the 2027/28 application window (the original Milestone M3 target of March 2027); hypercare during the first admission window. Milestones M4 to M7 keep their acceptance evidence; M5 and M6 become acceptance of the academic and campus modules at the pilots rather than separate builds.</w:t>
      </w:r>
    </w:p>
    <w:p>
      <w:pPr>
        <w:pStyle w:val="Heading1"/>
      </w:pPr>
      <w:bookmarkStart w:id="6" w:name="_TocV11_6"/>
      <w:r>
        <w:rPr>
          <w:rFonts w:ascii="Calibri" w:cs="Calibri" w:eastAsia="Calibri" w:hAnsi="Calibri"/>
        </w:rPr>
        <w:t xml:space="preserve">4. Team and Governance</w:t>
      </w:r>
      <w:bookmarkEnd w:id="6"/>
    </w:p>
    <w:p>
      <w:pPr>
        <w:spacing w:after="300"/>
      </w:pPr>
      <w:r>
        <w:rPr>
          <w:i/>
          <w:rFonts w:ascii="Calibri" w:cs="Calibri" w:eastAsia="Calibri" w:hAnsi="Calibri"/>
          <w:color w:val="595959"/>
          <w:sz w:val="22"/>
          <w:szCs w:val="22"/>
        </w:rPr>
        <w:t xml:space="preserve">This section names the people who deliver CIMS, on both the Msingi and the institution side, and the bodies that steer the project and take decisions.</w:t>
      </w:r>
    </w:p>
    <w:p>
      <w:pPr>
        <w:pStyle w:val="Heading2"/>
      </w:pPr>
      <w:bookmarkStart w:id="7" w:name="_TocV11_7"/>
      <w:r>
        <w:rPr>
          <w:rFonts w:ascii="Calibri" w:cs="Calibri" w:eastAsia="Calibri" w:hAnsi="Calibri"/>
        </w:rPr>
        <w:t xml:space="preserve">4.1 Delivery team</w:t>
      </w:r>
      <w:bookmarkEnd w:id="7"/>
    </w:p>
    <w:p>
      <w:pPr>
        <w:spacing w:after="300"/>
      </w:pPr>
      <w:r>
        <w:rPr>
          <w:i/>
          <w:rFonts w:ascii="Calibri" w:cs="Calibri" w:eastAsia="Calibri" w:hAnsi="Calibri"/>
          <w:color w:val="595959"/>
          <w:sz w:val="22"/>
          <w:szCs w:val="22"/>
        </w:rPr>
        <w:t xml:space="preserve">The table lists the roles in Msingi's delivery team and what each is responsible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 budget, risks, reporting, stakeholder communication, acceptance.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Requirements validation, configuration of regulations and fees with institutions, acceptance criteria, UAT coordination.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Architecture, code quality, security design, integrations, technical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Domain modules, APIs, rules engine, integrations, batch jobs.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portal, student portal, staff back-office, accessibility and performance.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research, prototypes, design system, usability testing (including Kiswahili content).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 strategy, automated tests, performance and regression testing, defect management.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Environments, CI/CD, monitoring, backups, security hardening.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Schema performance, migration templates, cleansing and reconciliation.</w:t>
            </w:r>
          </w:p>
        </w:tc>
      </w:tr>
    </w:tbl>
    <w:p>
      <w:pPr>
        <w:spacing w:after="120"/>
      </w:pPr>
    </w:p>
    <w:p>
      <w:pPr>
        <w:pStyle w:val="Heading2"/>
      </w:pPr>
      <w:bookmarkStart w:id="8" w:name="_TocV11_8"/>
      <w:r>
        <w:rPr>
          <w:rFonts w:ascii="Calibri" w:cs="Calibri" w:eastAsia="Calibri" w:hAnsi="Calibri"/>
        </w:rPr>
        <w:t xml:space="preserve">4.2 Institution roles</w:t>
      </w:r>
      <w:bookmarkEnd w:id="8"/>
    </w:p>
    <w:p>
      <w:pPr>
        <w:spacing w:after="300"/>
      </w:pPr>
      <w:r>
        <w:rPr>
          <w:i/>
          <w:rFonts w:ascii="Calibri" w:cs="Calibri" w:eastAsia="Calibri" w:hAnsi="Calibri"/>
          <w:color w:val="595959"/>
          <w:sz w:val="22"/>
          <w:szCs w:val="22"/>
        </w:rPr>
        <w:t xml:space="preserve">A system succeeds only with the institution's active participation. The table lists the roles the institution must provide and their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Sponsor (Principal)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Approves scope and priorities, resolves escalations, champions adoption.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Project Coordinator</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Day-to-day contact; mobilises staff for workshops, data and UAT.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 super-users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per office (admissions, registry, examinations, finance, hostel, ICT): configuration decisions, UAT, first-line support and training of colleagues.</w:t>
            </w:r>
          </w:p>
        </w:tc>
      </w:tr>
    </w:tbl>
    <w:p>
      <w:pPr>
        <w:spacing w:after="120"/>
      </w:pPr>
    </w:p>
    <w:p>
      <w:pPr>
        <w:pStyle w:val="Heading2"/>
      </w:pPr>
      <w:bookmarkStart w:id="9" w:name="_TocV11_9"/>
      <w:r>
        <w:rPr>
          <w:rFonts w:ascii="Calibri" w:cs="Calibri" w:eastAsia="Calibri" w:hAnsi="Calibri"/>
        </w:rPr>
        <w:t xml:space="preserve">4.3 Governance structure</w:t>
      </w:r>
      <w:bookmarkEnd w:id="9"/>
    </w:p>
    <w:p>
      <w:pPr>
        <w:spacing w:after="300"/>
      </w:pPr>
      <w:r>
        <w:rPr>
          <w:i/>
          <w:rFonts w:ascii="Calibri" w:cs="Calibri" w:eastAsia="Calibri" w:hAnsi="Calibri"/>
          <w:color w:val="595959"/>
          <w:sz w:val="22"/>
          <w:szCs w:val="22"/>
        </w:rPr>
        <w:t xml:space="preserve">The governance structure sets out the committees that oversee the project, who sits on them and how often they meet, so that decisions are taken at the right level and on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068"/>
        <w:gridCol w:w="3612"/>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Body</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Members</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Frequency and purpose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Steering Committee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Sponsors of pilot institutions, Msingi Technologies Ltd Managing Director, Project Manager</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Monthly: progress, budget, risks, scope decisions, go-live approval.</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Board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Technical Lead, institution coordinators</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Fortnightly: sprint outcomes, priorities, issues.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Control Board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 Business Analyst, Technical Lead, sponsor delegate</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 needed: assess and approve change requests.</w:t>
            </w:r>
          </w:p>
        </w:tc>
      </w:tr>
    </w:tbl>
    <w:p>
      <w:pPr>
        <w:spacing w:after="120"/>
      </w:pPr>
    </w:p>
    <w:p>
      <w:pPr>
        <w:pStyle w:val="Heading1"/>
      </w:pPr>
      <w:bookmarkStart w:id="10" w:name="_TocV11_10"/>
      <w:r>
        <w:rPr>
          <w:rFonts w:ascii="Calibri" w:cs="Calibri" w:eastAsia="Calibri" w:hAnsi="Calibri"/>
        </w:rPr>
        <w:t xml:space="preserve">5. Cost Estimate — Platform Development</w:t>
      </w:r>
      <w:bookmarkEnd w:id="10"/>
    </w:p>
    <w:p>
      <w:pPr>
        <w:spacing w:after="300"/>
      </w:pPr>
      <w:r>
        <w:rPr>
          <w:i/>
          <w:rFonts w:ascii="Calibri" w:cs="Calibri" w:eastAsia="Calibri" w:hAnsi="Calibri"/>
          <w:color w:val="595959"/>
          <w:sz w:val="22"/>
          <w:szCs w:val="22"/>
        </w:rPr>
        <w:t xml:space="preserve">This section estimates the cost of building the CIMS platform, in labour and other costs, and how that cost is spread across the releases.</w:t>
      </w:r>
    </w:p>
    <w:p>
      <w:pPr>
        <w:pStyle w:val="Heading2"/>
      </w:pPr>
      <w:bookmarkStart w:id="11" w:name="_TocV11_11"/>
      <w:r>
        <w:rPr>
          <w:rFonts w:ascii="Calibri" w:cs="Calibri" w:eastAsia="Calibri" w:hAnsi="Calibri"/>
        </w:rPr>
        <w:t xml:space="preserve">5.1 Labour (effort-based)</w:t>
      </w:r>
      <w:bookmarkEnd w:id="11"/>
    </w:p>
    <w:p>
      <w:pPr>
        <w:spacing w:after="300"/>
      </w:pPr>
      <w:r>
        <w:rPr>
          <w:i/>
          <w:rFonts w:ascii="Calibri" w:cs="Calibri" w:eastAsia="Calibri" w:hAnsi="Calibri"/>
          <w:color w:val="595959"/>
          <w:sz w:val="22"/>
          <w:szCs w:val="22"/>
        </w:rPr>
        <w:t xml:space="preserve">Labour is the largest cost. This sub-section estimates the effort of each role from the scope of work and applies typical Tanzanian market rates.</w:t>
      </w:r>
    </w:p>
    <w:p>
      <w:pPr>
        <w:spacing w:after="120" w:line="276"/>
        <w:jc w:val="both"/>
      </w:pPr>
      <w:r>
        <w:rPr>
          <w:rFonts w:ascii="Calibri" w:cs="Calibri" w:eastAsia="Calibri" w:hAnsi="Calibri"/>
        </w:rPr>
        <w:t xml:space="preserve">Effort is estimated bottom-up from the release scope. Rates are loaded monthly costs (salary, statutory contributions, equipment and overheads) typical of the Tanzanian market for experienced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902"/>
        <w:gridCol w:w="1083"/>
        <w:gridCol w:w="1083"/>
        <w:gridCol w:w="1083"/>
        <w:gridCol w:w="1265"/>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FTE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Person-months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Rate (TZS M / PM)</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Project Manager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Business Analyst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Solution Architect / Technical Lead</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 Developers (Java/Spring)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105.00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 Developers (React)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66.50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UI/UX Designer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QA / Test Engineers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45.00</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DevOps / Systems Engineer</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5.5</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19.25</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 &amp; Data Migration Specialist</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0.5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4.5</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15.75</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Hypercare team after Release 3 (3 people)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3.5</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21.00</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labour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119.0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440.50</w:t>
            </w:r>
          </w:p>
        </w:tc>
      </w:tr>
    </w:tbl>
    <w:p>
      <w:pPr>
        <w:spacing w:after="120"/>
      </w:pPr>
    </w:p>
    <w:p>
      <w:pPr>
        <w:pStyle w:val="Heading2"/>
      </w:pPr>
      <w:bookmarkStart w:id="12" w:name="_TocV11_12"/>
      <w:r>
        <w:rPr>
          <w:rFonts w:ascii="Calibri" w:cs="Calibri" w:eastAsia="Calibri" w:hAnsi="Calibri"/>
        </w:rPr>
        <w:t xml:space="preserve">5.2 Non-labour costs</w:t>
      </w:r>
      <w:bookmarkEnd w:id="12"/>
    </w:p>
    <w:p>
      <w:pPr>
        <w:spacing w:after="300"/>
      </w:pPr>
      <w:r>
        <w:rPr>
          <w:i/>
          <w:rFonts w:ascii="Calibri" w:cs="Calibri" w:eastAsia="Calibri" w:hAnsi="Calibri"/>
          <w:color w:val="595959"/>
          <w:sz w:val="22"/>
          <w:szCs w:val="22"/>
        </w:rPr>
        <w:t xml:space="preserve">Non-labour costs are items other than staff time, such as workshops, infrastructure, the security test and training. The table lists each with its cost.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0"/>
        <w:gridCol w:w="1806"/>
      </w:tblGrid>
      <w:tr>
        <w:trPr>
          <w:tblHeader/>
        </w:trPr>
        <w:tc>
          <w:tcPr>
            <w:tcW w:type="dxa" w:w="72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Cost (TZS M)</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Stakeholder engagement and requirements workshops (venues, travel, pilot visits)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Development, test and staging infrastructure and tools during build</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Independent penetration tests (one per release)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manuals, training materials and videos (English and Kiswahili)</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Pilot institution onboarding: data migration support and on-site training (2 pilots)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20.00</w:t>
            </w:r>
          </w:p>
        </w:tc>
      </w:tr>
      <w:tr>
        <w:trPr>
          <w:cantSplit/>
        </w:trPr>
        <w:tc>
          <w:tcPr>
            <w:tcW w:type="dxa" w:w="72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Legal and commercial (contracts, data processing agreements), branding</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5.00</w:t>
            </w:r>
          </w:p>
        </w:tc>
      </w:tr>
      <w:tr>
        <w:trPr>
          <w:cantSplit/>
        </w:trPr>
        <w:tc>
          <w:tcPr>
            <w:tcW w:type="dxa" w:w="72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non-labour</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80.00</w:t>
            </w:r>
          </w:p>
        </w:tc>
      </w:tr>
    </w:tbl>
    <w:p>
      <w:pPr>
        <w:spacing w:after="120"/>
      </w:pPr>
    </w:p>
    <w:p>
      <w:pPr>
        <w:pStyle w:val="Heading2"/>
      </w:pPr>
      <w:bookmarkStart w:id="13" w:name="_TocV11_13"/>
      <w:r>
        <w:rPr>
          <w:rFonts w:ascii="Calibri" w:cs="Calibri" w:eastAsia="Calibri" w:hAnsi="Calibri"/>
        </w:rPr>
        <w:t xml:space="preserve">5.3 Budget summary</w:t>
      </w:r>
      <w:bookmarkEnd w:id="13"/>
    </w:p>
    <w:p>
      <w:pPr>
        <w:spacing w:after="300"/>
      </w:pPr>
      <w:r>
        <w:rPr>
          <w:i/>
          <w:rFonts w:ascii="Calibri" w:cs="Calibri" w:eastAsia="Calibri" w:hAnsi="Calibri"/>
          <w:color w:val="595959"/>
          <w:sz w:val="22"/>
          <w:szCs w:val="22"/>
        </w:rPr>
        <w:t xml:space="preserve">The budget summary brings labour and non-labour costs together with contingency and VAT to give the total development budget.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18"/>
        <w:gridCol w:w="2708"/>
      </w:tblGrid>
      <w:tr>
        <w:trPr>
          <w:tblHeader/>
        </w:trPr>
        <w:tc>
          <w:tcPr>
            <w:tcW w:type="dxa" w:w="631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Cost element</w:t>
            </w:r>
          </w:p>
        </w:tc>
        <w:tc>
          <w:tcPr>
            <w:tcW w:type="dxa" w:w="270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Labour</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Non-labour</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80.00</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Subtotal</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520.50</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Contingency (10%)</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52.05</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excluding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572.55</w:t>
            </w:r>
          </w:p>
        </w:tc>
      </w:tr>
      <w:tr>
        <w:trPr>
          <w:cantSplit/>
        </w:trPr>
        <w:tc>
          <w:tcPr>
            <w:tcW w:type="dxa" w:w="631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VAT at 18% (where applicable)</w:t>
            </w:r>
          </w:p>
        </w:tc>
        <w:tc>
          <w:tcPr>
            <w:tcW w:type="dxa" w:w="270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103.06</w:t>
            </w:r>
          </w:p>
        </w:tc>
      </w:tr>
      <w:tr>
        <w:trPr>
          <w:cantSplit/>
        </w:trPr>
        <w:tc>
          <w:tcPr>
            <w:tcW w:type="dxa" w:w="631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Total including VAT</w:t>
            </w:r>
          </w:p>
        </w:tc>
        <w:tc>
          <w:tcPr>
            <w:tcW w:type="dxa" w:w="270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675.61</w:t>
            </w:r>
          </w:p>
        </w:tc>
      </w:tr>
    </w:tbl>
    <w:p>
      <w:pPr>
        <w:spacing w:after="120"/>
      </w:pPr>
    </w:p>
    <w:p>
      <w:pPr>
        <w:spacing w:after="120" w:line="276"/>
        <w:jc w:val="both"/>
      </w:pPr>
      <w:r>
        <w:rPr>
          <w:rFonts w:ascii="Calibri" w:cs="Calibri" w:eastAsia="Calibri" w:hAnsi="Calibri"/>
        </w:rPr>
        <w:t xml:space="preserve">Estimate accuracy is about −15% / +20%, giving a range of TZS 486.7 million to TZS 687.1 million excluding VAT. The estimate will be re-baselined at the end of Phase 1 (Milestone M2).</w:t>
      </w:r>
    </w:p>
    <w:p>
      <w:pPr>
        <w:pStyle w:val="Heading2"/>
      </w:pPr>
      <w:bookmarkStart w:id="14" w:name="_TocV11_14"/>
      <w:r>
        <w:rPr>
          <w:rFonts w:ascii="Calibri" w:cs="Calibri" w:eastAsia="Calibri" w:hAnsi="Calibri"/>
        </w:rPr>
        <w:t xml:space="preserve">5.4 Cost by release</w:t>
      </w:r>
      <w:bookmarkEnd w:id="14"/>
    </w:p>
    <w:p>
      <w:pPr>
        <w:spacing w:after="300"/>
      </w:pPr>
      <w:r>
        <w:rPr>
          <w:i/>
          <w:rFonts w:ascii="Calibri" w:cs="Calibri" w:eastAsia="Calibri" w:hAnsi="Calibri"/>
          <w:color w:val="595959"/>
          <w:sz w:val="22"/>
          <w:szCs w:val="22"/>
        </w:rPr>
        <w:t xml:space="preserve">For approval in stages, this sub-section divides the budget by release in proportion to the effort each requires.</w:t>
      </w:r>
    </w:p>
    <w:p>
      <w:pPr>
        <w:spacing w:after="120" w:line="276"/>
        <w:jc w:val="both"/>
      </w:pPr>
      <w:r>
        <w:rPr>
          <w:rFonts w:ascii="Calibri" w:cs="Calibri" w:eastAsia="Calibri" w:hAnsi="Calibri"/>
        </w:rPr>
        <w:t xml:space="preserve">For funding approval in stages, costs are apportioned by release in proportion to effort: Phase 0–1 and Release 1 about 45%, Release 2 about 30%, Release 3 and hypercare about 25%.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2256"/>
        <w:gridCol w:w="2257"/>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Stage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TZS million (excl. VAT)</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Phase 0, Phase 1 and Release 1</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257.65</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171.77</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and hypercare</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25%</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143.14</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these figures are the version 2.0 estimate, prepared before the build, and are kept unchanged here. Because the core build is complete, the remaining effort is concentrated in integration, hardening, testing, migration, hosting, pilot onboarding and hypercare (section 3.2). The budget should be re-baselined against that remaining work at the next Steering Committee; costs already incurred are not recorded in this document.</w:t>
      </w:r>
    </w:p>
    <w:p>
      <w:pPr>
        <w:pStyle w:val="Heading1"/>
      </w:pPr>
      <w:bookmarkStart w:id="15" w:name="_TocV11_15"/>
      <w:r>
        <w:rPr>
          <w:rFonts w:ascii="Calibri" w:cs="Calibri" w:eastAsia="Calibri" w:hAnsi="Calibri"/>
        </w:rPr>
        <w:t xml:space="preserve">6. Commercial Model for Institutions</w:t>
      </w:r>
      <w:bookmarkEnd w:id="15"/>
    </w:p>
    <w:p>
      <w:pPr>
        <w:spacing w:after="300"/>
      </w:pPr>
      <w:r>
        <w:rPr>
          <w:i/>
          <w:rFonts w:ascii="Calibri" w:cs="Calibri" w:eastAsia="Calibri" w:hAnsi="Calibri"/>
          <w:color w:val="595959"/>
          <w:sz w:val="22"/>
          <w:szCs w:val="22"/>
        </w:rPr>
        <w:t xml:space="preserve">This section sets out what institutions pay to use CIMS, either as a cloud subscription or as their own installation, and when payments fall due.</w:t>
      </w:r>
    </w:p>
    <w:p>
      <w:pPr>
        <w:pStyle w:val="Heading2"/>
      </w:pPr>
      <w:bookmarkStart w:id="16" w:name="_TocV11_16"/>
      <w:r>
        <w:rPr>
          <w:rFonts w:ascii="Calibri" w:cs="Calibri" w:eastAsia="Calibri" w:hAnsi="Calibri"/>
        </w:rPr>
        <w:t xml:space="preserve">6.1 Cloud subscription (Option A)</w:t>
      </w:r>
      <w:bookmarkEnd w:id="16"/>
    </w:p>
    <w:p>
      <w:pPr>
        <w:spacing w:after="300"/>
      </w:pPr>
      <w:r>
        <w:rPr>
          <w:i/>
          <w:rFonts w:ascii="Calibri" w:cs="Calibri" w:eastAsia="Calibri" w:hAnsi="Calibri"/>
          <w:color w:val="595959"/>
          <w:sz w:val="22"/>
          <w:szCs w:val="22"/>
        </w:rPr>
        <w:t xml:space="preserve">The cloud subscription is the default offer. The table gives the onboarding fee and the annual subscription per active student for each size of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Institution size (active students)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One-time onboarding fee</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Annual subscription</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1,000)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8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minimum TZS 12 million</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Medium (1,001–3,000)</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15 million</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3,000)</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 million</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25,000 per active student (volume discount negotiable)</w:t>
            </w:r>
          </w:p>
        </w:tc>
      </w:tr>
    </w:tbl>
    <w:p>
      <w:pPr>
        <w:spacing w:after="120"/>
      </w:pPr>
    </w:p>
    <w:p>
      <w:pPr>
        <w:spacing w:after="120" w:line="276"/>
        <w:jc w:val="both"/>
      </w:pPr>
      <w:r>
        <w:rPr>
          <w:rFonts w:ascii="Calibri" w:cs="Calibri" w:eastAsia="Calibri" w:hAnsi="Calibri"/>
          <w:b/>
          <w:bCs/>
        </w:rPr>
        <w:t xml:space="preserve">Onboarding includes:</w:t>
      </w:r>
      <w:r>
        <w:rPr>
          <w:rFonts w:ascii="Calibri" w:cs="Calibri" w:eastAsia="Calibri" w:hAnsi="Calibri"/>
        </w:rPr>
        <w:t xml:space="preserve"> branded admission and student portals on the institution's domain, configuration of programmes, entry requirements, regulations, fees and workflows, migration of current data, training of super-users and end users, and go-live support. </w:t>
      </w:r>
      <w:r>
        <w:rPr>
          <w:rFonts w:ascii="Calibri" w:cs="Calibri" w:eastAsia="Calibri" w:hAnsi="Calibri"/>
          <w:b/>
          <w:bCs/>
        </w:rPr>
        <w:t xml:space="preserve">The subscription includes:</w:t>
      </w:r>
      <w:r>
        <w:rPr>
          <w:rFonts w:ascii="Calibri" w:cs="Calibri" w:eastAsia="Calibri" w:hAnsi="Calibri"/>
        </w:rPr>
        <w:t xml:space="preserve"> hosting in Tanzania, backups and disaster recovery, security monitoring, all upgrades (including regulatory changes), and service-desk support. SMS messages are charged at cost through prepaid bundles.</w:t>
      </w:r>
    </w:p>
    <w:p>
      <w:pPr>
        <w:spacing w:after="120" w:line="276"/>
        <w:jc w:val="both"/>
      </w:pPr>
      <w:r>
        <w:rPr>
          <w:rFonts w:ascii="Calibri" w:cs="Calibri" w:eastAsia="Calibri" w:hAnsi="Calibri"/>
        </w:rPr>
        <w:t xml:space="preserve">Many institutions recover the subscription through an existing ICT or registration fee: TZS 25,000 per student per year is about TZS 2,100 per student per month.</w:t>
      </w:r>
    </w:p>
    <w:p>
      <w:pPr>
        <w:pStyle w:val="Heading2"/>
      </w:pPr>
      <w:bookmarkStart w:id="17" w:name="_TocV11_17"/>
      <w:r>
        <w:rPr>
          <w:rFonts w:ascii="Calibri" w:cs="Calibri" w:eastAsia="Calibri" w:hAnsi="Calibri"/>
        </w:rPr>
        <w:t xml:space="preserve">6.2 Dedicated installation (Option B)</w:t>
      </w:r>
      <w:bookmarkEnd w:id="17"/>
    </w:p>
    <w:p>
      <w:pPr>
        <w:spacing w:after="300"/>
      </w:pPr>
      <w:r>
        <w:rPr>
          <w:i/>
          <w:rFonts w:ascii="Calibri" w:cs="Calibri" w:eastAsia="Calibri" w:hAnsi="Calibri"/>
          <w:color w:val="595959"/>
          <w:sz w:val="22"/>
          <w:szCs w:val="22"/>
        </w:rPr>
        <w:t xml:space="preserve">For an institution that requires CIMS on its own servers, this sub-section gives indicative prices for the licence, implementation and annual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Indicative price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Perpetual software licence (one institution)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120 million</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Implementation (configuration, migration, training, 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 40–80 million depending on size and campuses</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(upgrades, service desk)</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 of licence fee per year</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Provided by the institution (see Document 06, section 8.2)</w:t>
            </w:r>
          </w:p>
        </w:tc>
      </w:tr>
    </w:tbl>
    <w:p>
      <w:pPr>
        <w:spacing w:after="120"/>
      </w:pPr>
    </w:p>
    <w:p>
      <w:pPr>
        <w:pStyle w:val="Heading2"/>
      </w:pPr>
      <w:bookmarkStart w:id="18" w:name="_TocV11_18"/>
      <w:r>
        <w:rPr>
          <w:rFonts w:ascii="Calibri" w:cs="Calibri" w:eastAsia="Calibri" w:hAnsi="Calibri"/>
        </w:rPr>
        <w:t xml:space="preserve">6.3 Payment milestones (onboarding and implementation)</w:t>
      </w:r>
      <w:bookmarkEnd w:id="18"/>
    </w:p>
    <w:p>
      <w:pPr>
        <w:spacing w:after="300"/>
      </w:pPr>
      <w:r>
        <w:rPr>
          <w:i/>
          <w:rFonts w:ascii="Calibri" w:cs="Calibri" w:eastAsia="Calibri" w:hAnsi="Calibri"/>
          <w:color w:val="595959"/>
          <w:sz w:val="22"/>
          <w:szCs w:val="22"/>
        </w:rPr>
        <w:t xml:space="preserve">Onboarding and implementation fees are paid in stages linked to results. The table shows each milestone and its share of the fee.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Milestone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Share of fee</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Contract signature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r>
        <w:trPr>
          <w:cantSplit/>
        </w:trPr>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Go-live</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w:t>
            </w:r>
          </w:p>
        </w:tc>
      </w:tr>
      <w:tr>
        <w:trPr>
          <w:cantSplit/>
        </w:trPr>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Acceptance after 30 days of live use</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r>
    </w:tbl>
    <w:p>
      <w:pPr>
        <w:spacing w:after="120"/>
      </w:pPr>
    </w:p>
    <w:p>
      <w:pPr>
        <w:pStyle w:val="Heading1"/>
      </w:pPr>
      <w:bookmarkStart w:id="19" w:name="_TocV11_19"/>
      <w:r>
        <w:rPr>
          <w:rFonts w:ascii="Calibri" w:cs="Calibri" w:eastAsia="Calibri" w:hAnsi="Calibri"/>
        </w:rPr>
        <w:t xml:space="preserve">7. Investment Case</w:t>
      </w:r>
      <w:bookmarkEnd w:id="19"/>
    </w:p>
    <w:p>
      <w:pPr>
        <w:spacing w:after="300"/>
      </w:pPr>
      <w:r>
        <w:rPr>
          <w:i/>
          <w:rFonts w:ascii="Calibri" w:cs="Calibri" w:eastAsia="Calibri" w:hAnsi="Calibri"/>
          <w:color w:val="595959"/>
          <w:sz w:val="22"/>
          <w:szCs w:val="22"/>
        </w:rPr>
        <w:t xml:space="preserve">This section explains how the platform investment is recovered: the cost of running the service, an illustrative three-year scenario and the value each institution gains.</w:t>
      </w:r>
    </w:p>
    <w:p>
      <w:pPr>
        <w:pStyle w:val="Heading2"/>
      </w:pPr>
      <w:bookmarkStart w:id="20" w:name="_TocV11_20"/>
      <w:r>
        <w:rPr>
          <w:rFonts w:ascii="Calibri" w:cs="Calibri" w:eastAsia="Calibri" w:hAnsi="Calibri"/>
        </w:rPr>
        <w:t xml:space="preserve">7.1 Platform running cost (steady state)</w:t>
      </w:r>
      <w:bookmarkEnd w:id="20"/>
    </w:p>
    <w:p>
      <w:pPr>
        <w:spacing w:after="300"/>
      </w:pPr>
      <w:r>
        <w:rPr>
          <w:i/>
          <w:rFonts w:ascii="Calibri" w:cs="Calibri" w:eastAsia="Calibri" w:hAnsi="Calibri"/>
          <w:color w:val="595959"/>
          <w:sz w:val="22"/>
          <w:szCs w:val="22"/>
        </w:rPr>
        <w:t xml:space="preserve">This sub-section estimates the yearly cost of running the platform once it is live: support team, hosting, software services and other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69"/>
        <w:gridCol w:w="2257"/>
      </w:tblGrid>
      <w:tr>
        <w:trPr>
          <w:tblHeader/>
        </w:trPr>
        <w:tc>
          <w:tcPr>
            <w:tcW w:type="dxa" w:w="676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Annual cost item</w:t>
            </w:r>
          </w:p>
        </w:tc>
        <w:tc>
          <w:tcPr>
            <w:tcW w:type="dxa" w:w="22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TZS million</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maintenance and continuous improvement team (7 FTE)</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255.00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Production hosting in Tanzanian Tier III data centre, plus DR site</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60.00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Software services and tools (monitoring, CI, backup storage, certificates)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Annual independent security assessment</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8.00</w:t>
            </w:r>
          </w:p>
        </w:tc>
      </w:tr>
      <w:tr>
        <w:trPr>
          <w:cantSplit/>
        </w:trPr>
        <w:tc>
          <w:tcPr>
            <w:tcW w:type="dxa" w:w="676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Sales, onboarding and customer success</w:t>
            </w:r>
          </w:p>
        </w:tc>
        <w:tc>
          <w:tcPr>
            <w:tcW w:type="dxa" w:w="22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40.00</w:t>
            </w:r>
          </w:p>
        </w:tc>
      </w:tr>
      <w:tr>
        <w:trPr>
          <w:cantSplit/>
        </w:trPr>
        <w:tc>
          <w:tcPr>
            <w:tcW w:type="dxa" w:w="676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Total annual running cost (about 30 institutions)</w:t>
            </w:r>
          </w:p>
        </w:tc>
        <w:tc>
          <w:tcPr>
            <w:tcW w:type="dxa" w:w="22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373.00</w:t>
            </w:r>
          </w:p>
        </w:tc>
      </w:tr>
    </w:tbl>
    <w:p>
      <w:pPr>
        <w:spacing w:after="120"/>
      </w:pPr>
    </w:p>
    <w:p>
      <w:pPr>
        <w:pStyle w:val="Heading2"/>
      </w:pPr>
      <w:bookmarkStart w:id="21" w:name="_TocV11_21"/>
      <w:r>
        <w:rPr>
          <w:rFonts w:ascii="Calibri" w:cs="Calibri" w:eastAsia="Calibri" w:hAnsi="Calibri"/>
        </w:rPr>
        <w:t xml:space="preserve">7.2 Illustrative three-year scenario</w:t>
      </w:r>
      <w:bookmarkEnd w:id="21"/>
    </w:p>
    <w:p>
      <w:pPr>
        <w:spacing w:after="300"/>
      </w:pPr>
      <w:r>
        <w:rPr>
          <w:i/>
          <w:rFonts w:ascii="Calibri" w:cs="Calibri" w:eastAsia="Calibri" w:hAnsi="Calibri"/>
          <w:color w:val="595959"/>
          <w:sz w:val="22"/>
          <w:szCs w:val="22"/>
        </w:rPr>
        <w:t xml:space="preserve">This illustrative scenario combines subscriptions and running costs over three years to show when the platform covers its costs. It is a sample calculation, not a forecast.</w:t>
      </w:r>
    </w:p>
    <w:p>
      <w:pPr>
        <w:spacing w:after="120" w:line="276"/>
        <w:jc w:val="both"/>
      </w:pPr>
      <w:r>
        <w:rPr>
          <w:rFonts w:ascii="Calibri" w:cs="Calibri" w:eastAsia="Calibri" w:hAnsi="Calibri"/>
        </w:rPr>
        <w:t xml:space="preserve">Assumptions (for illustration, not a forecast): average institution of 1,200 active students; subscription TZS 25,000 per student (TZS 30.0 million per institution per year); average onboarding fee TZS 15 million; running costs grow 20% and 40% in years 2 and 3 as institutions are added. Year 0 is the development investment of TZS 572.6 million.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812"/>
        <w:gridCol w:w="1173"/>
        <w:gridCol w:w="1083"/>
        <w:gridCol w:w="1083"/>
        <w:gridCol w:w="1083"/>
        <w:gridCol w:w="1083"/>
        <w:gridCol w:w="1265"/>
      </w:tblGrid>
      <w:tr>
        <w:trPr>
          <w:tblHeader/>
        </w:trPr>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Year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Instit.</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Subscriptions</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Onboarding</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Revenue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Running cost</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Net</w:t>
            </w:r>
          </w:p>
        </w:tc>
        <w:tc>
          <w:tcPr>
            <w:tcW w:type="dxa" w:w="12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Cumulative (after investment)</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1 (2027/28)</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450.0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77.0</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-495.5</w:t>
            </w:r>
          </w:p>
        </w:tc>
      </w:tr>
      <w:tr>
        <w:trPr>
          <w:cantSplit/>
        </w:trPr>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2 (2028/29)</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900.0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1,200.0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447.6</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752.4</w:t>
            </w:r>
          </w:p>
        </w:tc>
        <w:tc>
          <w:tcPr>
            <w:tcW w:type="dxa" w:w="12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256.9</w:t>
            </w:r>
          </w:p>
        </w:tc>
      </w:tr>
      <w:tr>
        <w:trPr>
          <w:cantSplit/>
        </w:trPr>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 3 (2029/30)</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1,800.0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522.2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1,277.8</w:t>
            </w:r>
          </w:p>
        </w:tc>
        <w:tc>
          <w:tcPr>
            <w:tcW w:type="dxa" w:w="12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1,534.7</w:t>
            </w:r>
          </w:p>
        </w:tc>
      </w:tr>
    </w:tbl>
    <w:p>
      <w:pPr>
        <w:spacing w:after="120"/>
      </w:pPr>
    </w:p>
    <w:p>
      <w:pPr>
        <w:spacing w:after="120" w:line="276"/>
        <w:jc w:val="both"/>
      </w:pPr>
      <w:r>
        <w:rPr>
          <w:rFonts w:ascii="Calibri" w:cs="Calibri" w:eastAsia="Calibri" w:hAnsi="Calibri"/>
        </w:rPr>
        <w:t xml:space="preserve">On these assumptions, running costs are covered once about 13 average-sized institutions subscribe, and the development investment is recovered during Year 2. The sensitivity is mainly to the number of institutions that sign up in the first two years, which is why the pilot institutions and early-adopter pricing are important.</w:t>
      </w:r>
    </w:p>
    <w:p>
      <w:pPr>
        <w:pStyle w:val="Heading2"/>
      </w:pPr>
      <w:bookmarkStart w:id="22" w:name="_TocV11_22"/>
      <w:r>
        <w:rPr>
          <w:rFonts w:ascii="Calibri" w:cs="Calibri" w:eastAsia="Calibri" w:hAnsi="Calibri"/>
        </w:rPr>
        <w:t xml:space="preserve">7.3 Value to an individual institution</w:t>
      </w:r>
      <w:bookmarkEnd w:id="22"/>
    </w:p>
    <w:p>
      <w:pPr>
        <w:spacing w:after="300"/>
      </w:pPr>
      <w:r>
        <w:rPr>
          <w:i/>
          <w:rFonts w:ascii="Calibri" w:cs="Calibri" w:eastAsia="Calibri" w:hAnsi="Calibri"/>
          <w:color w:val="595959"/>
          <w:sz w:val="22"/>
          <w:szCs w:val="22"/>
        </w:rPr>
        <w:t xml:space="preserve">Beyond the financial case for Msingi, each institution gains directly. This sub-section lists the main benefits to an institution that adopts CIMS.</w:t>
      </w:r>
    </w:p>
    <w:p>
      <w:pPr>
        <w:pStyle w:val="ListParagraph"/>
        <w:numPr>
          <w:ilvl w:val="0"/>
          <w:numId w:val="2"/>
        </w:numPr>
        <w:spacing w:after="60" w:line="264"/>
      </w:pPr>
      <w:r>
        <w:rPr>
          <w:rFonts w:ascii="Calibri" w:cs="Calibri" w:eastAsia="Calibri" w:hAnsi="Calibri"/>
        </w:rPr>
        <w:t xml:space="preserve">No capital outlay for servers, licences or a software team; predictable annual cost tied to enrolment.</w:t>
      </w:r>
    </w:p>
    <w:p>
      <w:pPr>
        <w:pStyle w:val="ListParagraph"/>
        <w:numPr>
          <w:ilvl w:val="0"/>
          <w:numId w:val="2"/>
        </w:numPr>
        <w:spacing w:after="60" w:line="264"/>
      </w:pPr>
      <w:r>
        <w:rPr>
          <w:rFonts w:ascii="Calibri" w:cs="Calibri" w:eastAsia="Calibri" w:hAnsi="Calibri"/>
        </w:rPr>
        <w:t xml:space="preserve">Revenue protection: every fee invoiced and matched through GePG, with clearance gates enforced automatically.</w:t>
      </w:r>
    </w:p>
    <w:p>
      <w:pPr>
        <w:pStyle w:val="ListParagraph"/>
        <w:numPr>
          <w:ilvl w:val="0"/>
          <w:numId w:val="2"/>
        </w:numPr>
        <w:spacing w:after="60" w:line="264"/>
      </w:pPr>
      <w:r>
        <w:rPr>
          <w:rFonts w:ascii="Calibri" w:cs="Calibri" w:eastAsia="Calibri" w:hAnsi="Calibri"/>
        </w:rPr>
        <w:t xml:space="preserve">Staff time released from re-typing, reconciling and compiling reports.</w:t>
      </w:r>
    </w:p>
    <w:p>
      <w:pPr>
        <w:pStyle w:val="ListParagraph"/>
        <w:numPr>
          <w:ilvl w:val="0"/>
          <w:numId w:val="2"/>
        </w:numPr>
        <w:spacing w:after="60" w:line="264"/>
      </w:pPr>
      <w:r>
        <w:rPr>
          <w:rFonts w:ascii="Calibri" w:cs="Calibri" w:eastAsia="Calibri" w:hAnsi="Calibri"/>
        </w:rPr>
        <w:t xml:space="preserve">Lower compliance risk with NACTVET submissions and PDPA obligations.</w:t>
      </w:r>
    </w:p>
    <w:p>
      <w:pPr>
        <w:pStyle w:val="ListParagraph"/>
        <w:numPr>
          <w:ilvl w:val="0"/>
          <w:numId w:val="2"/>
        </w:numPr>
        <w:spacing w:after="60" w:line="264"/>
      </w:pPr>
      <w:r>
        <w:rPr>
          <w:rFonts w:ascii="Calibri" w:cs="Calibri" w:eastAsia="Calibri" w:hAnsi="Calibri"/>
        </w:rPr>
        <w:t xml:space="preserve">Stronger applicant experience, which matters when applicants compare institutions.</w:t>
      </w:r>
    </w:p>
    <w:p>
      <w:pPr>
        <w:pStyle w:val="Heading1"/>
      </w:pPr>
      <w:bookmarkStart w:id="23" w:name="_TocV11_23"/>
      <w:r>
        <w:rPr>
          <w:rFonts w:ascii="Calibri" w:cs="Calibri" w:eastAsia="Calibri" w:hAnsi="Calibri"/>
        </w:rPr>
        <w:t xml:space="preserve">8. Institution-Side Budget and Contributions</w:t>
      </w:r>
      <w:bookmarkEnd w:id="23"/>
    </w:p>
    <w:p>
      <w:pPr>
        <w:spacing w:after="300"/>
      </w:pPr>
      <w:r>
        <w:rPr>
          <w:i/>
          <w:rFonts w:ascii="Calibri" w:cs="Calibri" w:eastAsia="Calibri" w:hAnsi="Calibri"/>
          <w:color w:val="595959"/>
          <w:sz w:val="22"/>
          <w:szCs w:val="22"/>
        </w:rPr>
        <w:t xml:space="preserve">Institutions also carry some costs and duties of their own, such as internet connectivity, devices and staff time. This section lists what each institution should plan and budget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the institution should plan for</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Internet connectivity</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broadband for administrative offices (typically 20 Mbps or more for a medium institution) with a backup link if possible.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End-user devices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Existing office computers are sufficient; optional tablets for attendance and practical assessment.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time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owners about 20% of their time during configuration and UAT; super-users available for training.</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 preparation</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Clean lists of programmes, current students, results needed for transcripts and outstanding balances.</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management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Communication to staff and students; updates to internal procedures and fee policies where needed.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bundles</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Prepaid at cost according to usage.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credentials</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service provider code, NACTVET institutional access, SMS sender ID registration.</w:t>
            </w:r>
          </w:p>
        </w:tc>
      </w:tr>
    </w:tbl>
    <w:p>
      <w:pPr>
        <w:spacing w:after="120"/>
      </w:pPr>
    </w:p>
    <w:p>
      <w:pPr>
        <w:pStyle w:val="Heading1"/>
      </w:pPr>
      <w:bookmarkStart w:id="24" w:name="_TocV11_24"/>
      <w:r>
        <w:rPr>
          <w:rFonts w:ascii="Calibri" w:cs="Calibri" w:eastAsia="Calibri" w:hAnsi="Calibri"/>
        </w:rPr>
        <w:t xml:space="preserve">9. Quality Assurance and Testing</w:t>
      </w:r>
      <w:bookmarkEnd w:id="24"/>
    </w:p>
    <w:p>
      <w:pPr>
        <w:spacing w:after="300"/>
      </w:pPr>
      <w:r>
        <w:rPr>
          <w:i/>
          <w:rFonts w:ascii="Calibri" w:cs="Calibri" w:eastAsia="Calibri" w:hAnsi="Calibri"/>
          <w:color w:val="595959"/>
          <w:sz w:val="22"/>
          <w:szCs w:val="22"/>
        </w:rPr>
        <w:t xml:space="preserve">This section describes how CIMS is tested at every level, from automated checks of each part to acceptance testing by the institution, so that it is accurate and reliable before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Test level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and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in CI with Testcontainers; at least 70% coverage of business logic.</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Regulation tests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Golden datasets per award level (e.g. sample cohorts with known GPA and progression outcomes) confirmed by examinations officers.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System integration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Against GePG, NECTA and NACTVET test environments or approved simulators.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k6 load tests at 2× expected peak (application deadline, results publication).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Security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SAST, dependency and image scanning in CI; DAST in test; independent penetration test before each release.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acceptance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Scenario-based UAT by pilot super-users using acceptance criteria from Document 03.</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Migration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Reconciliation reports (counts, balances, recomputed GPA) signed off by data owners.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250 automated backend tests in 73 test classes run against a real PostgreSQL database, including tenant isolation, the job lock, integration adapters against simulators of NACTVET, GePG, HESLB, NIDA, MUSE and TAMISEMI, and regulation calculations (grading, GPA, decisions); frontend unit tests cover the Kiswahili translation layer; Playwright end-to-end and accessibility tests run in Chromium, Firefox and WebKit; continuous integration runs them with Trivy, npm audit and an OWASP ZAP baseline, and k6 and Locust load tests are scripted. Still to do: coverage measurement, golden datasets confirmed by examinations officers, system integration against the bodies' test environments, the peak load test on staging, the penetration test, and pilot acceptance.</w:t>
      </w:r>
    </w:p>
    <w:p>
      <w:pPr>
        <w:pStyle w:val="Heading1"/>
      </w:pPr>
      <w:bookmarkStart w:id="25" w:name="_TocV11_25"/>
      <w:r>
        <w:rPr>
          <w:rFonts w:ascii="Calibri" w:cs="Calibri" w:eastAsia="Calibri" w:hAnsi="Calibri"/>
        </w:rPr>
        <w:t xml:space="preserve">10. Training and Change Management</w:t>
      </w:r>
      <w:bookmarkEnd w:id="25"/>
    </w:p>
    <w:p>
      <w:pPr>
        <w:spacing w:after="300"/>
      </w:pPr>
      <w:r>
        <w:rPr>
          <w:i/>
          <w:rFonts w:ascii="Calibri" w:cs="Calibri" w:eastAsia="Calibri" w:hAnsi="Calibri"/>
          <w:color w:val="595959"/>
          <w:sz w:val="22"/>
          <w:szCs w:val="22"/>
        </w:rPr>
        <w:t xml:space="preserve">New systems change how people work. This section sets out the training for each group of users and how the change is managed so that staff adopt the system confidently.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3971"/>
        <w:gridCol w:w="2709"/>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Audience</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Training</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Format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Configuration, users and roles, workflows, templates, integrations.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days, hands-on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Super-users (per office)</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processes in depth; first-line support; training colleagues.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2–3 days per module group</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End users (lecturers, officers)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Role-based tasks.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Half-day sessions; short videos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Management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2-hour briefing</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and applicants</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Portal guides and FAQs in English and Kiswahili.</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Online guides, SMS links, orientation week</w:t>
            </w:r>
          </w:p>
        </w:tc>
      </w:tr>
    </w:tbl>
    <w:p>
      <w:pPr>
        <w:spacing w:after="120"/>
      </w:pPr>
    </w:p>
    <w:p>
      <w:pPr>
        <w:pStyle w:val="Heading1"/>
      </w:pPr>
      <w:bookmarkStart w:id="26" w:name="_TocV11_26"/>
      <w:r>
        <w:rPr>
          <w:rFonts w:ascii="Calibri" w:cs="Calibri" w:eastAsia="Calibri" w:hAnsi="Calibri"/>
        </w:rPr>
        <w:t xml:space="preserve">11. Support and Service Levels</w:t>
      </w:r>
      <w:bookmarkEnd w:id="26"/>
    </w:p>
    <w:p>
      <w:pPr>
        <w:spacing w:after="300"/>
      </w:pPr>
      <w:r>
        <w:rPr>
          <w:i/>
          <w:rFonts w:ascii="Calibri" w:cs="Calibri" w:eastAsia="Calibri" w:hAnsi="Calibri"/>
          <w:color w:val="595959"/>
          <w:sz w:val="22"/>
          <w:szCs w:val="22"/>
        </w:rPr>
        <w:t xml:space="preserve">This section defines the support institutions receive after go-live: how problems are graded by severity and how quickly each is answered and fixed.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3610"/>
        <w:gridCol w:w="1985"/>
        <w:gridCol w:w="2168"/>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Severity</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Definition</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Response</w:t>
            </w:r>
          </w:p>
        </w:tc>
        <w:tc>
          <w:tcPr>
            <w:tcW w:type="dxa" w:w="21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Resolution / workaround target</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P1 Critical</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Service down or core function unusable for an institution (e.g. portal unavailable, payments not posting).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30 minutes (24×7 during admission and results peaks)</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hours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P2 High</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Major function impaired with no workaround.</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hours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P3 Medium</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Function impaired with workaround.</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business day</w:t>
            </w:r>
          </w:p>
        </w:tc>
        <w:tc>
          <w:tcPr>
            <w:tcW w:type="dxa" w:w="21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 business days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P4 Low</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Question, cosmetic issue or enhancement request.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business days</w:t>
            </w:r>
          </w:p>
        </w:tc>
        <w:tc>
          <w:tcPr>
            <w:tcW w:type="dxa" w:w="21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Planned release</w:t>
            </w:r>
          </w:p>
        </w:tc>
      </w:tr>
    </w:tbl>
    <w:p>
      <w:pPr>
        <w:spacing w:after="120"/>
      </w:pPr>
    </w:p>
    <w:p>
      <w:pPr>
        <w:spacing w:after="120" w:line="276"/>
        <w:jc w:val="both"/>
      </w:pPr>
      <w:r>
        <w:rPr>
          <w:rFonts w:ascii="Calibri" w:cs="Calibri" w:eastAsia="Calibri" w:hAnsi="Calibri"/>
        </w:rPr>
        <w:t xml:space="preserve">Service desk hours: Monday–Friday 08:00–18:00 and Saturday 09:00–13:00 EAT, with extended cover during admission windows and results publication. Monthly service reports cover availability, incidents and request trends.</w:t>
      </w:r>
    </w:p>
    <w:p>
      <w:pPr>
        <w:pStyle w:val="Heading1"/>
      </w:pPr>
      <w:bookmarkStart w:id="27" w:name="_TocV11_27"/>
      <w:r>
        <w:rPr>
          <w:rFonts w:ascii="Calibri" w:cs="Calibri" w:eastAsia="Calibri" w:hAnsi="Calibri"/>
        </w:rPr>
        <w:t xml:space="preserve">12. Risk Register</w:t>
      </w:r>
      <w:bookmarkEnd w:id="27"/>
    </w:p>
    <w:p>
      <w:pPr>
        <w:spacing w:after="300"/>
      </w:pPr>
      <w:r>
        <w:rPr>
          <w:i/>
          <w:rFonts w:ascii="Calibri" w:cs="Calibri" w:eastAsia="Calibri" w:hAnsi="Calibri"/>
          <w:color w:val="595959"/>
          <w:sz w:val="22"/>
          <w:szCs w:val="22"/>
        </w:rPr>
        <w:t xml:space="preserve">The risk register lists the main risks to the project, how likely and how serious each is, and what is done to reduce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707"/>
        <w:gridCol w:w="722"/>
        <w:gridCol w:w="722"/>
        <w:gridCol w:w="4334"/>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Risk</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w:t>
            </w:r>
          </w:p>
        </w:tc>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Mitigation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Release 1 misses the admission window</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Fixed R1 scope; early integration work; weekly burn-down tracking; contingency features deferred to R2.</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Delays in access to NACTVET, NECTA or GePG interfaces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Requests in week 1; simulators for development; file-based fallbacks; escalation through sponsors.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changes requirements, templates or grading rules</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and versioned templates; change budget within subscription.</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Poor legacy data quality</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Migration stream from week 4; validation reports; owner sign-off.</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 user adoption or resistance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Pilots, super-users, practical training, Kiswahili materials, visible management sponsorship.</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Scope creep from institution-specific requests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Configuration over customisation; change control board; product backlog.</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person dependency in delivery team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Pair programming, documentation, code reviews, shared ownership of modules.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breach or data leak</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Security architecture (Document 06), penetration tests, monitoring, incident response plan.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Cross-tenant data exposure</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 automated isolation tests, code review checklist.</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R10</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 load failures at deadlines</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at 2× peak; autoscaling; queue-based processing; deadline-week support cover.</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Unreliable institution internet</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Lightweight UI, mobile access, offline-tolerant attendance entry, connectivity guidance.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Slower than expected institution sign-up</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Early-adopter pricing, pilot success stories, sector engagement, flexible payment terms.</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Non-compliance with PDPA</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w:t>
            </w:r>
          </w:p>
        </w:tc>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by design, DPAs, retention controls, compliance review before go-live.</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Budget overrun</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contingency; re-baseline at M2; monthly cost reporting to Steering Committee.</w:t>
            </w:r>
          </w:p>
        </w:tc>
      </w:tr>
    </w:tbl>
    <w:p>
      <w:pPr>
        <w:spacing w:after="120"/>
      </w:pPr>
    </w:p>
    <w:p>
      <w:pPr>
        <w:spacing w:after="120" w:line="276"/>
        <w:jc w:val="both"/>
      </w:pPr>
      <w:r>
        <w:rPr>
          <w:rFonts w:ascii="Calibri" w:cs="Calibri" w:eastAsia="Calibri" w:hAnsi="Calibri"/>
        </w:rPr>
        <w:t xml:space="preserve">L = likelihood, I = impact (H = high, M = medium, L = low). The register is reviewed at every Project Board meeting.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R01 (missing the admission window) is lower because the build is done; R02 (access to NACTVET, NECTA and GePG interfaces) is now the main risk to the go-live date, mitigated by simulators, a tested live NACTVET adapter and file fallbacks; R09 (cross-tenant exposure) is mitigated by forced row-level security and isolation tests already in place; R04 (legacy data) needs the migration tools in section 3.2.</w:t>
      </w:r>
    </w:p>
    <w:p>
      <w:pPr>
        <w:pStyle w:val="Heading1"/>
      </w:pPr>
      <w:bookmarkStart w:id="28" w:name="_TocV11_28"/>
      <w:r>
        <w:rPr>
          <w:rFonts w:ascii="Calibri" w:cs="Calibri" w:eastAsia="Calibri" w:hAnsi="Calibri"/>
        </w:rPr>
        <w:t xml:space="preserve">13. Change Control</w:t>
      </w:r>
      <w:bookmarkEnd w:id="28"/>
    </w:p>
    <w:p>
      <w:pPr>
        <w:spacing w:after="300"/>
      </w:pPr>
      <w:r>
        <w:rPr>
          <w:i/>
          <w:rFonts w:ascii="Calibri" w:cs="Calibri" w:eastAsia="Calibri" w:hAnsi="Calibri"/>
          <w:color w:val="595959"/>
          <w:sz w:val="22"/>
          <w:szCs w:val="22"/>
        </w:rPr>
        <w:t xml:space="preserve">Requests to change the agreed scope are inevitable. This section sets out how each change is requested, assessed and approved, so that scope, time and cost stay under control.</w:t>
      </w:r>
    </w:p>
    <w:p>
      <w:pPr>
        <w:pStyle w:val="ListParagraph"/>
        <w:numPr>
          <w:ilvl w:val="0"/>
          <w:numId w:val="3"/>
        </w:numPr>
        <w:spacing w:after="60" w:line="264"/>
      </w:pPr>
      <w:r>
        <w:rPr>
          <w:rFonts w:ascii="Calibri" w:cs="Calibri" w:eastAsia="Calibri" w:hAnsi="Calibri"/>
        </w:rPr>
        <w:t xml:space="preserve">Requester submits a change request describing the need and business justification.</w:t>
      </w:r>
    </w:p>
    <w:p>
      <w:pPr>
        <w:pStyle w:val="ListParagraph"/>
        <w:numPr>
          <w:ilvl w:val="0"/>
          <w:numId w:val="3"/>
        </w:numPr>
        <w:spacing w:after="60" w:line="264"/>
      </w:pPr>
      <w:r>
        <w:rPr>
          <w:rFonts w:ascii="Calibri" w:cs="Calibri" w:eastAsia="Calibri" w:hAnsi="Calibri"/>
        </w:rPr>
        <w:t xml:space="preserve">Business Analyst and Technical Lead assess impact on scope, schedule, cost and risk.</w:t>
      </w:r>
    </w:p>
    <w:p>
      <w:pPr>
        <w:pStyle w:val="ListParagraph"/>
        <w:numPr>
          <w:ilvl w:val="0"/>
          <w:numId w:val="3"/>
        </w:numPr>
        <w:spacing w:after="60" w:line="264"/>
      </w:pPr>
      <w:r>
        <w:rPr>
          <w:rFonts w:ascii="Calibri" w:cs="Calibri" w:eastAsia="Calibri" w:hAnsi="Calibri"/>
        </w:rPr>
        <w:t xml:space="preserve">Change Control Board approves, rejects or defers; approved changes are prioritised into a release.</w:t>
      </w:r>
    </w:p>
    <w:p>
      <w:pPr>
        <w:pStyle w:val="ListParagraph"/>
        <w:numPr>
          <w:ilvl w:val="0"/>
          <w:numId w:val="3"/>
        </w:numPr>
        <w:spacing w:after="60" w:line="264"/>
      </w:pPr>
      <w:r>
        <w:rPr>
          <w:rFonts w:ascii="Calibri" w:cs="Calibri" w:eastAsia="Calibri" w:hAnsi="Calibri"/>
        </w:rPr>
        <w:t xml:space="preserve">Changes affecting budget or go-live dates above agreed thresholds go to the Steering Committee.</w:t>
      </w:r>
    </w:p>
    <w:p>
      <w:pPr>
        <w:pStyle w:val="ListParagraph"/>
        <w:numPr>
          <w:ilvl w:val="0"/>
          <w:numId w:val="3"/>
        </w:numPr>
        <w:spacing w:after="60" w:line="264"/>
      </w:pPr>
      <w:r>
        <w:rPr>
          <w:rFonts w:ascii="Calibri" w:cs="Calibri" w:eastAsia="Calibri" w:hAnsi="Calibri"/>
        </w:rPr>
        <w:t xml:space="preserve">All decisions are logged and reported monthly.</w:t>
      </w:r>
    </w:p>
    <w:p>
      <w:pPr>
        <w:pStyle w:val="Heading1"/>
      </w:pPr>
      <w:bookmarkStart w:id="29" w:name="_TocV11_29"/>
      <w:r>
        <w:rPr>
          <w:rFonts w:ascii="Calibri" w:cs="Calibri" w:eastAsia="Calibri" w:hAnsi="Calibri"/>
        </w:rPr>
        <w:t xml:space="preserve">14. Next Steps</w:t>
      </w:r>
      <w:bookmarkEnd w:id="29"/>
    </w:p>
    <w:p>
      <w:pPr>
        <w:spacing w:after="300"/>
      </w:pPr>
      <w:r>
        <w:rPr>
          <w:i/>
          <w:rFonts w:ascii="Calibri" w:cs="Calibri" w:eastAsia="Calibri" w:hAnsi="Calibri"/>
          <w:color w:val="595959"/>
          <w:sz w:val="22"/>
          <w:szCs w:val="22"/>
        </w:rPr>
        <w:t xml:space="preserve">This final section lists the decisions and actions needed from stakeholders to move the project forward.</w:t>
      </w:r>
    </w:p>
    <w:p>
      <w:pPr>
        <w:pStyle w:val="ListParagraph"/>
        <w:numPr>
          <w:ilvl w:val="0"/>
          <w:numId w:val="4"/>
        </w:numPr>
        <w:spacing w:after="60" w:line="264"/>
      </w:pPr>
      <w:r>
        <w:rPr>
          <w:rFonts w:ascii="Calibri" w:cs="Calibri" w:eastAsia="Calibri" w:hAnsi="Calibri"/>
        </w:rPr>
        <w:t xml:space="preserve">Approve the version 3.0 document suite (Documents 01–07) as the as-built baseline.</w:t>
      </w:r>
    </w:p>
    <w:p>
      <w:pPr>
        <w:pStyle w:val="ListParagraph"/>
        <w:numPr>
          <w:ilvl w:val="0"/>
          <w:numId w:val="4"/>
        </w:numPr>
        <w:spacing w:after="60" w:line="264"/>
      </w:pPr>
      <w:r>
        <w:rPr>
          <w:rFonts w:ascii="Calibri" w:cs="Calibri" w:eastAsia="Calibri" w:hAnsi="Calibri"/>
        </w:rPr>
        <w:t xml:space="preserve">Confirm the two pilot institutions and their project coordinators.</w:t>
      </w:r>
    </w:p>
    <w:p>
      <w:pPr>
        <w:pStyle w:val="ListParagraph"/>
        <w:numPr>
          <w:ilvl w:val="0"/>
          <w:numId w:val="4"/>
        </w:numPr>
        <w:spacing w:after="60" w:line="264"/>
      </w:pPr>
      <w:r>
        <w:rPr>
          <w:rFonts w:ascii="Calibri" w:cs="Calibri" w:eastAsia="Calibri" w:hAnsi="Calibri"/>
        </w:rPr>
        <w:t xml:space="preserve">Re-baseline the budget against the remaining work in section 3.2 and approve it.</w:t>
      </w:r>
    </w:p>
    <w:p>
      <w:pPr>
        <w:pStyle w:val="ListParagraph"/>
        <w:numPr>
          <w:ilvl w:val="0"/>
          <w:numId w:val="4"/>
        </w:numPr>
        <w:spacing w:after="60" w:line="264"/>
      </w:pPr>
      <w:r>
        <w:rPr>
          <w:rFonts w:ascii="Calibri" w:cs="Calibri" w:eastAsia="Calibri" w:hAnsi="Calibri"/>
        </w:rPr>
        <w:t xml:space="preserve">Submit integration access requests to GePG, NACTVET, NECTA, the SMS aggregator and HESLB.</w:t>
      </w:r>
    </w:p>
    <w:p>
      <w:pPr>
        <w:pStyle w:val="ListParagraph"/>
        <w:numPr>
          <w:ilvl w:val="0"/>
          <w:numId w:val="4"/>
        </w:numPr>
        <w:spacing w:after="60" w:line="264"/>
      </w:pPr>
      <w:r>
        <w:rPr>
          <w:rFonts w:ascii="Calibri" w:cs="Calibri" w:eastAsia="Calibri" w:hAnsi="Calibri"/>
        </w:rPr>
        <w:t xml:space="preserve">Start pilot preparation (hosting, hardening, migration tools and live integrations) in November 2026.</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07: Development Plan and Cost Estimate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d590314423ad42f5976bd68507f70864a777311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07: Development Plan and Cost Estimate</dc:title>
  <dc:creator>Msingi Technologies Ltd</dc:creator>
  <cp:lastModifiedBy>Un-named</cp:lastModifiedBy>
  <cp:revision>1</cp:revision>
  <dcterms:created xsi:type="dcterms:W3CDTF">2026-10-06T09:59:04.062Z</dcterms:created>
  <dcterms:modified xsi:type="dcterms:W3CDTF">2026-10-06T09:59:04.062Z</dcterms:modified>
</cp:coreProperties>
</file>

<file path=docProps/custom.xml><?xml version="1.0" encoding="utf-8"?>
<Properties xmlns="http://schemas.openxmlformats.org/officeDocument/2006/custom-properties" xmlns:vt="http://schemas.openxmlformats.org/officeDocument/2006/docPropsVTypes"/>
</file>