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pStyle w:val="Heading2"/>
      </w:pPr>
      <w:r>
        <w:rPr>
          <w:rFonts w:ascii="Calibri" w:cs="Calibri" w:eastAsia="Calibri" w:hAnsi="Calibri"/>
        </w:rPr>
        <w:t xml:space="preserve">1.1 Purpose and scope</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r>
        <w:rPr>
          <w:rFonts w:ascii="Calibri" w:cs="Calibri" w:eastAsia="Calibri" w:hAnsi="Calibri"/>
        </w:rPr>
        <w:t xml:space="preserve">1.2 Conventions</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1"/>
      </w:pPr>
      <w:r>
        <w:rPr>
          <w:rFonts w:ascii="Calibri" w:cs="Calibri" w:eastAsia="Calibri" w:hAnsi="Calibri"/>
        </w:rPr>
        <w:t xml:space="preserve">2. System Overview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r>
        <w:rPr>
          <w:rFonts w:ascii="Calibri" w:cs="Calibri" w:eastAsia="Calibri" w:hAnsi="Calibri"/>
        </w:rPr>
        <w:t xml:space="preserve">3. User Roles and Access</w:t>
      </w:r>
    </w:p>
    <w:p>
      <w:pPr>
        <w:pStyle w:val="Heading2"/>
      </w:pPr>
      <w:r>
        <w:rPr>
          <w:rFonts w:ascii="Calibri" w:cs="Calibri" w:eastAsia="Calibri" w:hAnsi="Calibri"/>
        </w:rPr>
        <w:t xml:space="preserve">3.1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r>
        <w:rPr>
          <w:rFonts w:ascii="Calibri" w:cs="Calibri" w:eastAsia="Calibri" w:hAnsi="Calibri"/>
        </w:rPr>
        <w:t xml:space="preserve">3.2 Permission matrix (summary)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r>
        <w:rPr>
          <w:rFonts w:ascii="Calibri" w:cs="Calibri" w:eastAsia="Calibri" w:hAnsi="Calibri"/>
        </w:rPr>
        <w:t xml:space="preserve">3.3 Roles as built (October 2026)</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r>
        <w:rPr>
          <w:rFonts w:ascii="Calibri" w:cs="Calibri" w:eastAsia="Calibri" w:hAnsi="Calibri"/>
        </w:rPr>
        <w:t xml:space="preserve">4. Functional Requirements</w:t>
      </w:r>
    </w:p>
    <w:p>
      <w:pPr>
        <w:pStyle w:val="Heading2"/>
      </w:pPr>
      <w:r>
        <w:rPr>
          <w:rFonts w:ascii="Calibri" w:cs="Calibri" w:eastAsia="Calibri" w:hAnsi="Calibri"/>
        </w:rPr>
        <w:t xml:space="preserve">4.1 M01 — Online Admission Portal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4.2 M02 — Student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4.3 M03 —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4.4 M04 — Teaching &amp;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4.5 M05 — Assessment &amp; Examination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4.6 M06 — Finance &amp;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4.7 M07 — Hostel &amp; Accommodation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4.8 M08 — Industrial Practical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4.9 M09 — Clearance, Graduation &amp; Alumni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4.10 M10 — Student Self-Service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4.11 M11 — Reports &amp; Dashboards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4.12 M12 — Communication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4.13 M13 — Administration &amp;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4.14 M14 — Integration 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1"/>
      </w:pPr>
      <w:r>
        <w:rPr>
          <w:rFonts w:ascii="Calibri" w:cs="Calibri" w:eastAsia="Calibri" w:hAnsi="Calibri"/>
        </w:rPr>
        <w:t xml:space="preserve">5. Grading and Regulations Configuration</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r>
        <w:rPr>
          <w:rFonts w:ascii="Calibri" w:cs="Calibri" w:eastAsia="Calibri" w:hAnsi="Calibri"/>
        </w:rPr>
        <w:t xml:space="preserve">6. Key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r>
        <w:rPr>
          <w:rFonts w:ascii="Calibri" w:cs="Calibri" w:eastAsia="Calibri" w:hAnsi="Calibri"/>
        </w:rPr>
        <w:t xml:space="preserve">7. Standard Report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r>
        <w:rPr>
          <w:rFonts w:ascii="Calibri" w:cs="Calibri" w:eastAsia="Calibri" w:hAnsi="Calibri"/>
        </w:rPr>
        <w:t xml:space="preserve">8.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r>
        <w:rPr>
          <w:rFonts w:ascii="Calibri" w:cs="Calibri" w:eastAsia="Calibri" w:hAnsi="Calibri"/>
        </w:rPr>
        <w:t xml:space="preserve">9. Requirements Traceability Matrix</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r>
        <w:rPr>
          <w:rFonts w:ascii="Calibri" w:cs="Calibri" w:eastAsia="Calibri" w:hAnsi="Calibri"/>
        </w:rPr>
        <w:t xml:space="preserve">10. Acceptance Criteria</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r>
        <w:rPr>
          <w:rFonts w:ascii="Calibri" w:cs="Calibri" w:eastAsia="Calibri" w:hAnsi="Calibri"/>
        </w:rPr>
        <w:t xml:space="preserve">11. As-Built Status (October 2026)</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r>
        <w:rPr>
          <w:rFonts w:ascii="Calibri" w:cs="Calibri" w:eastAsia="Calibri" w:hAnsi="Calibri"/>
        </w:rPr>
        <w:t xml:space="preserve">11.1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from credit with vouchers and two-level approval; waivers posted as credit notes.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35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The verification, registration and results endpoints run against a simulator until NACTVET issues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bl>
    <w:p>
      <w:pPr>
        <w:spacing w:after="120"/>
      </w:pPr>
    </w:p>
    <w:p>
      <w:pPr>
        <w:spacing w:after="120" w:line="276"/>
        <w:jc w:val="both"/>
      </w:pPr>
      <w:r>
        <w:rPr>
          <w:rFonts w:ascii="Calibri" w:cs="Calibri" w:eastAsia="Calibri" w:hAnsi="Calibri"/>
        </w:rPr>
        <w:t xml:space="preserve">Of the 99 functional requirements, 91 are built and 8 partly built. All eight wait on an outside body's live interface (NACTVET registration and results, HESLB, NIDA, MUSE, TAMISEMI) or on the choice of SMS provider; the adapters are built and tested against simulators.</w:t>
      </w:r>
    </w:p>
    <w:p>
      <w:pPr>
        <w:pStyle w:val="Heading2"/>
      </w:pPr>
      <w:r>
        <w:rPr>
          <w:rFonts w:ascii="Calibri" w:cs="Calibri" w:eastAsia="Calibri" w:hAnsi="Calibri"/>
        </w:rPr>
        <w:t xml:space="preserve">11.2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8+ characters with upper and lower case, digit and special character, common passwords refused; lock-out after 5 failed sign-ins; two-step sign-in with an authenticator app for the roles each institution chooses. Gaps: the minimum length is 8 rather than 10, and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ASVS review and penetration test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WCAG review planned.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Tested in Chromium; other browsers to be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allow horizontal scaling;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239 backend tests (integration tests against real PostgreSQL) and frontend unit tests, run by continuous integration on every change; 49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r>
        <w:rPr>
          <w:rFonts w:ascii="Calibri" w:cs="Calibri" w:eastAsia="Calibri" w:hAnsi="Calibri"/>
        </w:rPr>
        <w:t xml:space="preserve">11.3 Standard reports as built</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r>
        <w:rPr>
          <w:rFonts w:ascii="Calibri" w:cs="Calibri" w:eastAsia="Calibri" w:hAnsi="Calibri"/>
        </w:rPr>
        <w:t xml:space="preserve">11.4 Regulations as configured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r>
        <w:rPr>
          <w:rFonts w:ascii="Calibri" w:cs="Calibri" w:eastAsia="Calibri" w:hAnsi="Calibri"/>
        </w:rPr>
        <w:t xml:space="preserve">11.5 Integration test server</w:t>
      </w:r>
    </w:p>
    <w:p>
      <w:pPr>
        <w:spacing w:after="120" w:line="276"/>
        <w:jc w:val="both"/>
      </w:pPr>
      <w:r>
        <w:rPr>
          <w:rFonts w:ascii="Calibri" w:cs="Calibri" w:eastAsia="Calibri" w:hAnsi="Calibri"/>
        </w:rPr>
        <w:t xml:space="preserve">A stand-in NACTVET admission verification server (nactvet-mock, in the code repository) answers the placeholder endpoints the live adapter uses,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