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04: Business Process Document</w:t>
      </w:r>
    </w:p>
    <w:p>
      <w:pPr>
        <w:spacing w:after="300"/>
      </w:pPr>
      <w:r>
        <w:rPr>
          <w:rFonts w:ascii="Calibri" w:cs="Calibri" w:eastAsia="Calibri" w:hAnsi="Calibri"/>
          <w:color w:val="595959"/>
          <w:sz w:val="22"/>
          <w:szCs w:val="22"/>
        </w:rPr>
        <w:t xml:space="preserve">End-to-end institutional workflows with actors, system support, controls, exceptions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04: Business Process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Process status and "As built" notes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processes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Process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describes the to-be business processes that CIMS supports in a NACTVET-registered institution. Each process lists its purpose, trigger, actors, steps, system controls, exceptions and service levels. Process IDs (BP-nn) are referenced in the traceability matrix of Document 03. Role names match the roles defined in Document 03, section 3.</w:t>
      </w:r>
    </w:p>
    <w:p>
      <w:pPr>
        <w:pStyle w:val="Heading2"/>
      </w:pPr>
      <w:r>
        <w:rPr>
          <w:rFonts w:ascii="Calibri" w:cs="Calibri" w:eastAsia="Calibri" w:hAnsi="Calibri"/>
        </w:rPr>
        <w:t xml:space="preserve">1.1 Process architecture</w:t>
      </w:r>
    </w:p>
    <w:p>
      <w:pPr>
        <w:spacing w:after="120" w:line="276"/>
        <w:jc w:val="both"/>
      </w:pPr>
      <w:r>
        <w:rPr>
          <w:rFonts w:ascii="Calibri" w:cs="Calibri" w:eastAsia="Calibri" w:hAnsi="Calibri"/>
        </w:rPr>
        <w:t xml:space="preserve">Processes follow the student lifecycle: plan the intake, recruit and admit, register, teach and assess, progress, train in industry, clear and graduate. Finance, hostel, communication and reporting processes support every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 group</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Admission window setup; BP-02 Online application and fee payment; BP-03 Eligibility, ranking and selection; BP-04 NACTVET verification and offer acceptance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 Registration and records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Student registration; BP-14 Student status changes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 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BP-06 Fee billing, payment and reconciliation; BP-17 Sponsorship, waivers and refunds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 Teaching and assessment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 Module allocation and attendance; BP-08 NTA assessment and results approval; BP-09 NVA competence assessment; BP-10 Supplementary, special and carry-over examinations; BP-11 Remarking and appeals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 Campus services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BP-12 Hostel application and allocation; BP-13 Industrial practical training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 Completion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BP-15 Clearance and graduation; BP-16 Document verification</w:t>
            </w:r>
          </w:p>
        </w:tc>
      </w:tr>
    </w:tbl>
    <w:p>
      <w:pPr>
        <w:spacing w:after="120"/>
      </w:pPr>
    </w:p>
    <w:p>
      <w:pPr>
        <w:pStyle w:val="Heading2"/>
      </w:pPr>
      <w:r>
        <w:rPr>
          <w:rFonts w:ascii="Calibri" w:cs="Calibri" w:eastAsia="Calibri" w:hAnsi="Calibri"/>
        </w:rPr>
        <w:t xml:space="preserve">1.2 Academic calendar alignment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Period (typical September intake)</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Key processes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April</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configure programmes, capacity, entry rules and fees for the coming year.</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May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BP-02 applications open; BP-03 selection rounds.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BP-04 NACTVET verification, confirmation and offer acceptance; BP-06 first invoices.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September – October</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registration; BP-12 hostel allocation; BP-07 teaching starts.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November – February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BP-07/08/09 assessment; semester examinations; results approval and publication.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semester; March intake (where offered) repeats group A in a shorter cycle.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BP-10 supplementary examinations; BP-13 IPT; BP-15 clearance and graduation.</w:t>
            </w:r>
          </w:p>
        </w:tc>
      </w:tr>
    </w:tbl>
    <w:p>
      <w:pPr>
        <w:spacing w:after="120"/>
      </w:pPr>
    </w:p>
    <w:p>
      <w:pPr>
        <w:pStyle w:val="Heading2"/>
      </w:pPr>
      <w:r>
        <w:rPr>
          <w:rFonts w:ascii="Calibri" w:cs="Calibri" w:eastAsia="Calibri" w:hAnsi="Calibri"/>
        </w:rPr>
        <w:t xml:space="preserve">1.3 Implementation status (October 2026)</w:t>
      </w:r>
    </w:p>
    <w:p>
      <w:pPr>
        <w:spacing w:after="120" w:line="276"/>
        <w:jc w:val="both"/>
      </w:pPr>
      <w:r>
        <w:rPr>
          <w:rFonts w:ascii="Calibri" w:cs="Calibri" w:eastAsia="Calibri" w:hAnsi="Calibri"/>
        </w:rPr>
        <w:t xml:space="preserve">Every process in this document runs in the system as built. Each process below ends with an "As built" note that describes how CIMS carries it out today where that differs from the design. </w:t>
      </w:r>
      <w:r>
        <w:rPr>
          <w:rFonts w:ascii="Calibri" w:cs="Calibri" w:eastAsia="Calibri" w:hAnsi="Calibri"/>
          <w:b/>
          <w:bCs/>
        </w:rPr>
        <w:t xml:space="preserve">Built</w:t>
      </w:r>
      <w:r>
        <w:rPr>
          <w:rFonts w:ascii="Calibri" w:cs="Calibri" w:eastAsia="Calibri" w:hAnsi="Calibri"/>
        </w:rPr>
        <w:t xml:space="preserve">: in the system and covered by automated tests. </w:t>
      </w:r>
      <w:r>
        <w:rPr>
          <w:rFonts w:ascii="Calibri" w:cs="Calibri" w:eastAsia="Calibri" w:hAnsi="Calibri"/>
          <w:b/>
          <w:bCs/>
        </w:rPr>
        <w:t xml:space="preserve">Partly built</w:t>
      </w:r>
      <w:r>
        <w:rPr>
          <w:rFonts w:ascii="Calibri" w:cs="Calibri" w:eastAsia="Calibri" w:hAnsi="Calibri"/>
        </w:rPr>
        <w:t xml:space="preserve">: usable, with the gap stated. </w:t>
      </w:r>
      <w:r>
        <w:rPr>
          <w:rFonts w:ascii="Calibri" w:cs="Calibri" w:eastAsia="Calibri" w:hAnsi="Calibri"/>
          <w:b/>
          <w:bCs/>
        </w:rPr>
        <w:t xml:space="preserve">Not yet built</w:t>
      </w:r>
      <w:r>
        <w:rPr>
          <w:rFonts w:ascii="Calibri" w:cs="Calibri" w:eastAsia="Calibri" w:hAnsi="Calibri"/>
        </w:rPr>
        <w:t xml:space="preserve">: planned, not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1173"/>
        <w:gridCol w:w="4604"/>
      </w:tblGrid>
      <w:tr>
        <w:trPr>
          <w:tblHeader/>
          <w:cantSplit/>
        </w:trPr>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60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Main differences from the design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BP-01 Admission Window Setup</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Published by the Admissions Office without a separate approval step; no rule test tool.</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BP-02 Online Application and Fee Payment</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Sign-up by Form Four index number with NECTA data; document uploads per window; no payment reminders.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BP-03 Eligibility, Ranking and Selection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qualification checks by the office before selection.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BP-04 NACTVET Verification and Offer Acceptance</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issued on acceptance; NACTVET live API awaited; externally selected students imported into the window.</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BP-05 Student Registration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registration by API (live interface awaited); no late registration penalty fee.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BP-06 Fee Billing, Payment and Reconciliation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instalment reminders, penalties and discount schemes; live GePG adapter switched on with certificates; postings to MUSE per period.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BP-07 Module Allocation and Attendance</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QR self check-in.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BP-08 NTA Assessment and Results Approval</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Board decisions recorded by an administrator; Department Board optional; further approval stages set by the institution.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BP-09 NVA Competence Assessment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Units set up by the examinations office.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BP-10 Supplementary, Special and Carry-over Examinations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BP-11 Remarking and Appeals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approved by an administrator rather than the Academic Committee.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BP-12 Hostel Application and Allocation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wardens per hostel and repairs.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BP-13 Industrial Practical Training (IPT)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the workplace supervisor rates the student through a personal link.</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BP-14 Student Status Changes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built; no automatic invoice adjustments.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BP-15 Clearance and Graduation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BP-16 Document Verification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BP-17 Sponsorship, Waivers and Refunds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a Sponsor Officer view; HESLB handled as a sponsor.</w:t>
            </w:r>
          </w:p>
        </w:tc>
      </w:tr>
    </w:tbl>
    <w:p>
      <w:pPr>
        <w:spacing w:after="120"/>
      </w:pPr>
    </w:p>
    <w:p>
      <w:pPr>
        <w:pStyle w:val="Heading1"/>
      </w:pPr>
      <w:r>
        <w:rPr>
          <w:rFonts w:ascii="Calibri" w:cs="Calibri" w:eastAsia="Calibri" w:hAnsi="Calibri"/>
        </w:rPr>
        <w:t xml:space="preserve">2. Admission Processes</w:t>
      </w:r>
    </w:p>
    <w:p>
      <w:pPr>
        <w:spacing w:after="60" w:before="120"/>
        <w:jc w:val="center"/>
      </w:pPr>
      <w:r>
        <w:drawing>
          <wp:inline distT="0" distB="0" distL="0" distR="0">
            <wp:extent cx="314325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8006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 flow overview (BP-01 to BP-04)</w:t>
      </w:r>
    </w:p>
    <w:p>
      <w:pPr>
        <w:pStyle w:val="Heading2"/>
      </w:pPr>
      <w:r>
        <w:rPr>
          <w:rFonts w:ascii="Calibri" w:cs="Calibri" w:eastAsia="Calibri" w:hAnsi="Calibri"/>
        </w:rPr>
        <w:t xml:space="preserve">BP-01 Admission Window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Prepare the intake so that the portal shows correct programmes, capacity, entry requirements and fees.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Academic calendar milestone; approval of programme capacity by management.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Deputy Principal (Academic), Bursar, Institution Administrator.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programme list and capacity, NACTVET entry requirements, fees → published admission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FR-ADM-03, FR-ADM-04, FR-ACA-01, FR-FIN-01.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programmes on offer and capacity for the intake.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listed from the academic structure; capacity cannot exceed accredited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the admission window: dates, intake, number of choices,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Validation of dates against academic calendar.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entry requirement rules per programme (copied from the previous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 editor with test tool: enter sample results, see eligible/ineligible.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the application fee and first-year fee structure.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 effective for the new academic year.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the window for publication.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portal goes live on the opening date automatically.</w:t>
            </w:r>
          </w:p>
        </w:tc>
      </w:tr>
    </w:tbl>
    <w:p>
      <w:pPr>
        <w:spacing w:after="120"/>
      </w:pP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Window configured and approved at least 2 weeks before opening.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Admissions Officer (or the administrator) creates the window with intake, dates, application fee and programmes with capacity and NACTVET entry rules, and either publishes it to open on its date or opens it at once. There is no separate approval step by the Deputy Principal. A window can be closed early with a reason, reopened with a new closing date until selection starts, extended, and closes itself when the date passes; applicants who have started are told by SMS. Entry rules are edited per programme; the sample-results test tool is not built. The first-year fee structure is prepared by the Accountant and approved by the Bursar in Fees (BP-06).</w:t>
      </w:r>
    </w:p>
    <w:p>
      <w:pPr>
        <w:pStyle w:val="Heading2"/>
      </w:pPr>
      <w:r>
        <w:rPr>
          <w:rFonts w:ascii="Calibri" w:cs="Calibri" w:eastAsia="Calibri" w:hAnsi="Calibri"/>
        </w:rPr>
        <w:t xml:space="preserve">BP-02 Online Application and Fee Payment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Allow applicants to apply completely online with verified qualifications.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GePG, NECTA, NACTVET (AVN), Admissions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details, index numbers/AVN, documents, payment → submitted application with reference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FR-ADM-01 to FR-ADM-09.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an account with phone number and email.</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OTP verification; duplicate accounts prevented by phone and NECTA index.</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CSEE/ACSEE index numbers and/or AVN.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fetched from NECTA/NACTVET and stored as verified qualifications.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Completes personal, contact, next-of-kin and sponsor details; uploads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Mandatory field and file type/size checks; Kiswahili or English interface.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Requests to pay the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sent to GePG; control number displayed and sent by SMS.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through bank or mobile money.</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payment notification marks fee paid and unlocks programme choices.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Selects programme choices in order of preference.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shown per choice; ineligible choices cannot be submitted.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Reference number issued; confirmation SMS/email; application locked.</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NECTA unavailable: application saved; results fetched automatically when service returns.</w:t>
      </w:r>
    </w:p>
    <w:p>
      <w:pPr>
        <w:pStyle w:val="ListParagraph"/>
        <w:numPr>
          <w:ilvl w:val="0"/>
          <w:numId w:val="2"/>
        </w:numPr>
        <w:spacing w:after="60" w:line="264"/>
      </w:pPr>
      <w:r>
        <w:rPr>
          <w:rFonts w:ascii="Calibri" w:cs="Calibri" w:eastAsia="Calibri" w:hAnsi="Calibri"/>
        </w:rPr>
        <w:t xml:space="preserve">Result mismatch or foreign qualification: routed to Admissions Officer for manual verification with equivalence evidence.</w:t>
      </w:r>
    </w:p>
    <w:p>
      <w:pPr>
        <w:pStyle w:val="ListParagraph"/>
        <w:numPr>
          <w:ilvl w:val="0"/>
          <w:numId w:val="2"/>
        </w:numPr>
        <w:spacing w:after="60" w:line="264"/>
      </w:pPr>
      <w:r>
        <w:rPr>
          <w:rFonts w:ascii="Calibri" w:cs="Calibri" w:eastAsia="Calibri" w:hAnsi="Calibri"/>
        </w:rPr>
        <w:t xml:space="preserve">Payment not confirmed: reminders at 24 and 72 hours; control number regenerated on request.</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Applicant can complete an application in under 20 minutes on a smartphone.</w:t>
      </w:r>
    </w:p>
    <w:p>
      <w:pPr>
        <w:pStyle w:val="ListParagraph"/>
        <w:numPr>
          <w:ilvl w:val="0"/>
          <w:numId w:val="2"/>
        </w:numPr>
        <w:spacing w:after="60" w:line="264"/>
      </w:pPr>
      <w:r>
        <w:rPr>
          <w:rFonts w:ascii="Calibri" w:cs="Calibri" w:eastAsia="Calibri" w:hAnsi="Calibri"/>
        </w:rPr>
        <w:t xml:space="preserve">Payment reflected within 5 minutes of GePG notification.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The applicant signs up with the Form Four index number and year; NECTA returns names, sex, school and results, which the applicant confirms (names are then fixed as NECTA has them). An SMS code verifies the phone. The applicant completes details (address chosen from region to street, impairment, education history, next of kin), pays the fee by GePG control number, adds other qualifications (another CSEE/ACSEE sitting, an NTA award fetched from NACTVET by registration number and graduation year, or an NVA/other award for the office to check), chooses programmes offered at their entry level with eligibility shown, and submits for a reference number and SMS. Details, choices and qualifications can still be changed until the window closes and selection starts. The applicant uploads the documents the window asks for (PDF, JPEG or PNG), which the office accepts or sends back with an SMS. Differences: when NECTA cannot be reached the applicant is asked to try again later; payment reminders at 24 and 72 hours are not built.</w:t>
      </w:r>
    </w:p>
    <w:p>
      <w:pPr>
        <w:pStyle w:val="Heading2"/>
      </w:pPr>
      <w:r>
        <w:rPr>
          <w:rFonts w:ascii="Calibri" w:cs="Calibri" w:eastAsia="Calibri" w:hAnsi="Calibri"/>
        </w:rPr>
        <w:t xml:space="preserve">BP-03 Eligibility, Ranking and Selection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 the best qualified eligible applicants within capacity,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round date reached (one or more rounds per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Admissions Committee, Head of Department (advisory).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Submitted applications → approved selection list.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FR-ADM-09, FR-ADM-10, FR-ADM-11.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eligibility re-check for all submitted applications.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 engine re-evaluates using verified results; exceptions listed.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manual verification items.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and evidence recorded in audit trail.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ranking per programme.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Ranking by configured criteria; ties broken by configured order; proposal within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the proposed list and statistics (gender, region, qualification).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and printable committee report.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adjusts the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Adjustments require reason; final list locked as Selected.</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Capacity changed after ranking: re-run ranking; previous list kept for audit.</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Selection round completed within 5 working days of the round date.</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Before selection the office verifies or does not accept declared qualifications (with a reason the applicant sees and receives by SMS). The Admissions Officer runs selection: eligibility is re-checked, applicants are ranked by merit and places allocated stably across their choices within capacity. The proposal can be re-run while it is open. The Admissions Committee reviews statistics and a CSV pack, excludes applicants with a recorded reason and approves; the person who ran the selection cannot approve it.</w:t>
      </w:r>
    </w:p>
    <w:p>
      <w:pPr>
        <w:pStyle w:val="Heading2"/>
      </w:pPr>
      <w:r>
        <w:rPr>
          <w:rFonts w:ascii="Calibri" w:cs="Calibri" w:eastAsia="Calibri" w:hAnsi="Calibri"/>
        </w:rPr>
        <w:t xml:space="preserve">BP-04 NACTVET Verification and Offer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Have selected applicants verified by NACTVET and convert them into confirmed admissions.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list approved.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NACTVET, Applicant.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Selected list → verified admissions with confirmation codes, admission letters, accepted offers.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FR-ADM-12 to FR-ADM-15.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the NACTVET verification submission.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Submission produced via API or in NACTVET template; pre-validation catches missing fields.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to NACTVET and imports outcomes.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Per-applicant status: verified, queried, rejected; confirmation code stored.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queries (e.g. wrong index number) and resubmits.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Query reasons tracked until closed.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admission letters and joining instructions to verified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Letter with QR code; SMS and email notification.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Accepts offer (and confirms this institution if admitted elsewhere) before deadline.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Acceptance recorded; first-year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places not accepted from the next ranked eligible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Next-round selection follows BP-03 and this process.</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NACTVET rejects an applicant: admission withdrawn; applicant notified with reason.</w:t>
      </w:r>
    </w:p>
    <w:p>
      <w:pPr>
        <w:pStyle w:val="ListParagraph"/>
        <w:numPr>
          <w:ilvl w:val="0"/>
          <w:numId w:val="2"/>
        </w:numPr>
        <w:spacing w:after="60" w:line="264"/>
      </w:pPr>
      <w:r>
        <w:rPr>
          <w:rFonts w:ascii="Calibri" w:cs="Calibri" w:eastAsia="Calibri" w:hAnsi="Calibri"/>
        </w:rPr>
        <w:t xml:space="preserve">Externally selected students (e.g. TAMISEMI): imported and processed from step 2.</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At least 95% of submissions verified without query.</w:t>
      </w:r>
    </w:p>
    <w:p>
      <w:pPr>
        <w:pStyle w:val="ListParagraph"/>
        <w:numPr>
          <w:ilvl w:val="0"/>
          <w:numId w:val="2"/>
        </w:numPr>
        <w:spacing w:after="60" w:line="264"/>
      </w:pPr>
      <w:r>
        <w:rPr>
          <w:rFonts w:ascii="Calibri" w:cs="Calibri" w:eastAsia="Calibri" w:hAnsi="Calibri"/>
        </w:rPr>
        <w:t xml:space="preserve">Admission letters issued within 2 working days of verification.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Selected applicants are pre-validated, then submitted by API or as a NACTVET template file. Outcomes are fetched (API) or imported from NACTVET's outcome file (all rows must be valid). Queries are resolved with a note and resubmitted. Verified applicants receive an offer with a deadline by SMS; those admitted elsewhere too must enter NACTVET's confirmation code (limited attempts). On acceptance the admission letter with joining instructions and QR code is issued and the annual fees invoice with control number is raised. Unanswered offers lapse automatically and released places are filled by the next selection round. Differences: the letter follows acceptance rather than verification; NACTVET's live API endpoints are awaited (a tested adapter is ready); students selected by TAMISEMI or another body are imported into the window as selected and follow the same verification and offers.</w:t>
      </w:r>
    </w:p>
    <w:p>
      <w:pPr>
        <w:pStyle w:val="Heading1"/>
        <w:pageBreakBefore/>
      </w:pPr>
      <w:r>
        <w:rPr>
          <w:rFonts w:ascii="Calibri" w:cs="Calibri" w:eastAsia="Calibri" w:hAnsi="Calibri"/>
        </w:rPr>
        <w:t xml:space="preserve">3. Registration and Records Processes</w:t>
      </w:r>
    </w:p>
    <w:p>
      <w:pPr>
        <w:pStyle w:val="Heading2"/>
      </w:pPr>
      <w:r>
        <w:rPr>
          <w:rFonts w:ascii="Calibri" w:cs="Calibri" w:eastAsia="Calibri" w:hAnsi="Calibri"/>
        </w:rPr>
        <w:t xml:space="preserve">BP-05 Student Registration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Register new and continuing students for the semester/year.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Registration period opens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Registry Officer, Accountant, Hostel Warden.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Accepted applicant or continuing student → registered student on class and examination lists.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FR-REG-01 to FR-REG-03, FR-REG-07, FR-FIN-06.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Converts accepted applicants into students (first years).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 created from application; registration number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Logs into the student portal, confirms details and modules.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Core modules pre-selected from curriculum; electives within rules.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financial clearance for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Gate threshold applied (e.g. registration fee and first instalment paid).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original documents for verification at first registration.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 checklist recorded by Registry.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appears on class lists; ID card can be printed; NACTVET registration submission prepared.</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Late registration: allowed within configured window with penalty fee.</w:t>
      </w:r>
    </w:p>
    <w:p>
      <w:pPr>
        <w:pStyle w:val="ListParagraph"/>
        <w:numPr>
          <w:ilvl w:val="0"/>
          <w:numId w:val="2"/>
        </w:numPr>
        <w:spacing w:after="60" w:line="264"/>
      </w:pPr>
      <w:r>
        <w:rPr>
          <w:rFonts w:ascii="Calibri" w:cs="Calibri" w:eastAsia="Calibri" w:hAnsi="Calibri"/>
        </w:rPr>
        <w:t xml:space="preserve">Clearance not met: registration pending; student notified of balance and control number.</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90% of students registered within two weeks of the semester start.</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partly built: Registry hands accepted applicants over: the student record, registration number and student portal sign-in are created, the fees invoice moves to the student and a welcome SMS is sent. At reporting Registry ticks the originals seen and approves first registration, which makes the student active. Each semester the student registers in the portal (core modules shown, electives chosen, fee clearance checked, late registrations flagged) and Registry approves or returns with a note. ID cards are printed from the student record. Registry sends registered students to NACTVET by API and follows each student's outcome (live interface awaited). Not built: a late registration penalty fee.</w:t>
      </w:r>
    </w:p>
    <w:p>
      <w:pPr>
        <w:pStyle w:val="Heading2"/>
      </w:pPr>
      <w:r>
        <w:rPr>
          <w:rFonts w:ascii="Calibri" w:cs="Calibri" w:eastAsia="Calibri" w:hAnsi="Calibri"/>
        </w:rPr>
        <w:t xml:space="preserve">BP-14 Student Status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postponement, resumption, suspension, discontinuation, withdrawal, transfer and death with proper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request, examination decision or disciplinary decision.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Head of Department, Registry Officer, Deputy Principal (Academic).</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Request with evidence → approved status change with effective date.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FR-REG-04, FR-REG-05.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request with reason and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form per change type.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Recommends.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 step with comments.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rejects.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status, adjusts invoices (per policy) and notifies offices.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history kept; class lists and clearance updated.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partly built: Registry records the request (postponement, resumption, suspension, discontinuation, withdrawal, death) with reason, documents reference and effective date; the Head of the student's department recommends; the Deputy Principal (Academic) or administrator decides. The change is applied on the effective date by a daily job, the student is told by SMS and the history is kept. Programme and campus transfers follow the same path: asked by Registry or by the student, recommended by the receiving Head of Department and decided by the Deputy Principal (Academic); the registration number never changes. Not built: automatic invoice adjustments.</w:t>
      </w:r>
    </w:p>
    <w:p>
      <w:pPr>
        <w:pStyle w:val="Heading1"/>
      </w:pPr>
      <w:r>
        <w:rPr>
          <w:rFonts w:ascii="Calibri" w:cs="Calibri" w:eastAsia="Calibri" w:hAnsi="Calibri"/>
        </w:rPr>
        <w:t xml:space="preserve">4. Finance Processes</w:t>
      </w:r>
    </w:p>
    <w:p>
      <w:pPr>
        <w:spacing w:after="60" w:before="120"/>
        <w:jc w:val="center"/>
      </w:pPr>
      <w:r>
        <w:drawing>
          <wp:inline distT="0" distB="0" distL="0" distR="0">
            <wp:extent cx="4953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019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Fee billing and payment flow (BP-06)</w:t>
      </w:r>
    </w:p>
    <w:p>
      <w:pPr>
        <w:pStyle w:val="Heading2"/>
      </w:pPr>
      <w:r>
        <w:rPr>
          <w:rFonts w:ascii="Calibri" w:cs="Calibri" w:eastAsia="Calibri" w:hAnsi="Calibri"/>
        </w:rPr>
        <w:t xml:space="preserve">BP-06 Fee Billing, Payment and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 every student correctly and collect all fees through GePG with automatic receipting.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Billing events (acceptance, registration, hostel allocation, supplementary registration) or scheduled billing.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Bursar, Accountant, Student, GePG.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fee structure → invoices, control numbers, receipts, reconciled collections.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FR-FIN-01 to FR-FIN-06, FR-FIN-12.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fee structure for the academic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Versioned with effective dates; changes audited.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itemised invoices on billing events.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Bulk or individual; duplicate prevention.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Obtains a GePG control number per invoice.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request; retries on failure; SMS to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via bank or mobile money.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Receives payment notification, allocates to invoice lines, issues receipt.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Real-time balance; clearance gates recalculated.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daily reconciliation exceptions.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reconciliation file matched automatically; unmatched items listed.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Signs off monthly reconciliation and posts summary to MUSE/accounting.</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file or API (R3).</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Overpayment: held as credit and applied to next invoice or refunded via BP-17.</w:t>
      </w:r>
    </w:p>
    <w:p>
      <w:pPr>
        <w:pStyle w:val="ListParagraph"/>
        <w:numPr>
          <w:ilvl w:val="0"/>
          <w:numId w:val="2"/>
        </w:numPr>
        <w:spacing w:after="60" w:line="264"/>
      </w:pPr>
      <w:r>
        <w:rPr>
          <w:rFonts w:ascii="Calibri" w:cs="Calibri" w:eastAsia="Calibri" w:hAnsi="Calibri"/>
        </w:rPr>
        <w:t xml:space="preserve">Payment to expired control number: matched by GePG reference in reconciliation.</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At least 98% of payments auto-matched.</w:t>
      </w:r>
    </w:p>
    <w:p>
      <w:pPr>
        <w:pStyle w:val="ListParagraph"/>
        <w:numPr>
          <w:ilvl w:val="0"/>
          <w:numId w:val="2"/>
        </w:numPr>
        <w:spacing w:after="60" w:line="264"/>
      </w:pPr>
      <w:r>
        <w:rPr>
          <w:rFonts w:ascii="Calibri" w:cs="Calibri" w:eastAsia="Calibri" w:hAnsi="Calibri"/>
        </w:rPr>
        <w:t xml:space="preserve">Reconciliation exceptions cleared within 3 working days.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The Accountant prepares fee structures per programme, year of study and academic year, and the Bursar approves them (never the same person); approved versions are kept. Invoices are raised on acceptance, at hand-over, for hostel, resit and appeal fees and in billing runs, without duplicates. Each invoice gets a GePG control number (SMS). The signed payment notification is processed once, allocated to fee items in priority order (overpayment held as credit) and receipted (PDF). The Accountant imports GePG's daily reconciliation file and resolves each exception type; a day closes only with no open exceptions; the Bursar signs off the month. Instalments fall due on dates set per academic year, with SMS reminders before, on and after the day and late-payment penalties after a grace period; discounts and scholarships are granted through the waiver approval. Fee structures can also differ by intake and student category. Postings go to MUSE per period, or as a file for another accounting system. The live GePG adapter is switched on with the institution's certificates; until then GePG is simulated.</w:t>
      </w:r>
    </w:p>
    <w:p>
      <w:pPr>
        <w:pStyle w:val="Heading2"/>
      </w:pPr>
      <w:r>
        <w:rPr>
          <w:rFonts w:ascii="Calibri" w:cs="Calibri" w:eastAsia="Calibri" w:hAnsi="Calibri"/>
        </w:rPr>
        <w:t xml:space="preserve">BP-17 Sponsorship, Waivers and Refunds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third-party funding and financial adjustments with control.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Sponsor letter, HESLB beneficiary list, waiver application, refund request.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Accountant, Bursar, Principal (above threshold), Sponsor/HESLB.</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Funding or adjustment request → sponsor invoices, credit notes, approved refunds.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FR-FIN-07 to FR-FIN-10.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sponsor and sponsored students, or imports HESLB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share of each fee item defined.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Splits invoices between student and sponsor.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invoice and statement produced.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waiver/refund request with evidence.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Policy checks (eligibility, limits).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Principal</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per threshold (two levels above limit).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Credit note or refund voucher generated; audit trail.</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The Accountant registers sponsors (including HESLB) and sponsorships per student and year (a percentage of all fees or chosen items, an optional cap and the sponsor's reference), or imports the sponsor's CSV list. One sponsor invoice carries a line per student, never more than the student owes. As the sponsor pays (GePG or a bank remittance recorded by the bursary) each share moves onto the student's invoice; until then the share invoiced to the sponsor counts towards the student's clearance. Waivers and refunds are requested with evidence; the Bursar approves, and above the threshold (default TZS 500,000) the Principal approves as well; nobody approves their own request or both levels. A waiver is posted as a credit note; a refund uses the student's credit and gets a refund voucher, marked paid when paid out. A Sponsor Officer sees only their sponsor. The HESLB exchange sends registration data, turns HESLB's beneficiaries into capped sponsorships and records disbursements on the HESLB invoice (simulated until HESLB grants access).</w:t>
      </w:r>
    </w:p>
    <w:p>
      <w:pPr>
        <w:pStyle w:val="Heading1"/>
        <w:pageBreakBefore/>
      </w:pPr>
      <w:r>
        <w:rPr>
          <w:rFonts w:ascii="Calibri" w:cs="Calibri" w:eastAsia="Calibri" w:hAnsi="Calibri"/>
        </w:rPr>
        <w:t xml:space="preserve">5. Teaching and Assessment Processes</w:t>
      </w:r>
    </w:p>
    <w:p>
      <w:pPr>
        <w:pStyle w:val="Heading2"/>
      </w:pPr>
      <w:r>
        <w:rPr>
          <w:rFonts w:ascii="Calibri" w:cs="Calibri" w:eastAsia="Calibri" w:hAnsi="Calibri"/>
        </w:rPr>
        <w:t xml:space="preserve">BP-07 Module Allocation and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Assign teaching and track attendance for examination eligibility.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Semester planning.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Head of Department, Lecturer,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Curriculum and registrations → module offerings, class lists, attendance records.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FR-TCH-01 to FR-TCH-04.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module offerings and allocates lecturers/assessors.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generated from curriculum; workload view per lecturer.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Views class list and records attendance per session.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Web or tablet; offline-tolerant entry.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Computes attendance percentage.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below threshold flagged to HoD and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Uses attendance in examination eligibility.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Exemptions require reason and approval.</w:t>
            </w:r>
          </w:p>
        </w:tc>
      </w:tr>
    </w:tbl>
    <w:p>
      <w:pPr>
        <w:spacing w:after="120"/>
      </w:pPr>
    </w:p>
    <w:p>
      <w:pPr>
        <w:spacing w:after="60" w:before="120"/>
        <w:jc w:val="center"/>
      </w:pPr>
      <w:r>
        <w:drawing>
          <wp:inline distT="0" distB="0" distL="0" distR="0">
            <wp:extent cx="4953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323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NTA results approval workflow (BP-08)</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Module offerings are set up from approved semester registrations and lecturers are allocated by the Head of Department or the examinations office. Lecturers work from My teaching: class lists, a one-tap register that keeps working offline, or self check-in with a rotating QR code. Percentages are computed per student; a student below the threshold gets an SMS and is listed for the lecturer and Head of Department. Exemptions are asked for with a reason and decided by someone else in academic management.</w:t>
      </w:r>
    </w:p>
    <w:p>
      <w:pPr>
        <w:pStyle w:val="Heading2"/>
      </w:pPr>
      <w:r>
        <w:rPr>
          <w:rFonts w:ascii="Calibri" w:cs="Calibri" w:eastAsia="Calibri" w:hAnsi="Calibri"/>
        </w:rPr>
        <w:t xml:space="preserve">BP-08 NTA Assessment and Results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Produce accurate, approved and traceable NTA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plan approved; marks windows open per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Lecturer, Head of Department, Department Board, Examinations Officer, Academic Committee,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marks → approved results, GPA, progression decisions, published results, NACTVET results file.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FR-EXM-01 to FR-EXM-07, FR-EXM-10, FR-EXM-11.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Defines/confirms assessment plan and enters CA marks during the semester.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Component weights validated against curriculum.</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examination eligibility lists and opens SE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financial clearance combined.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SE marks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Screen or Excel upload; range checks; submission locks lecturer editing.</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moderates; returns with comments if needed.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distribution and anomaly flags.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 Board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department results.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recorded by Board Secretary.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GPA and progression computation.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Regulations applied; proposed decisions per student.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recommends results and decisions.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Committee report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results.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locked; amendments only through authorised workflow.</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Publishes results and submits to NACTVET.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 portal; NACTVET file generated; submission recorded.</w:t>
            </w:r>
          </w:p>
        </w:tc>
      </w:tr>
    </w:tbl>
    <w:p>
      <w:pPr>
        <w:spacing w:after="120"/>
      </w:pPr>
    </w:p>
    <w:p>
      <w:pPr>
        <w:pStyle w:val="Heading3"/>
      </w:pPr>
      <w:r>
        <w:rPr>
          <w:rFonts w:ascii="Calibri" w:cs="Calibri" w:eastAsia="Calibri" w:hAnsi="Calibri"/>
        </w:rPr>
        <w:t xml:space="preserve">Exceptions</w:t>
      </w:r>
    </w:p>
    <w:p>
      <w:pPr>
        <w:pStyle w:val="ListParagraph"/>
        <w:numPr>
          <w:ilvl w:val="0"/>
          <w:numId w:val="2"/>
        </w:numPr>
        <w:spacing w:after="60" w:line="264"/>
      </w:pPr>
      <w:r>
        <w:rPr>
          <w:rFonts w:ascii="Calibri" w:cs="Calibri" w:eastAsia="Calibri" w:hAnsi="Calibri"/>
        </w:rPr>
        <w:t xml:space="preserve">Missing marks: student marked incomplete with reason (e.g. absent with permission → special exam).</w:t>
      </w:r>
    </w:p>
    <w:p>
      <w:pPr>
        <w:pStyle w:val="ListParagraph"/>
        <w:numPr>
          <w:ilvl w:val="0"/>
          <w:numId w:val="2"/>
        </w:numPr>
        <w:spacing w:after="60" w:line="264"/>
      </w:pPr>
      <w:r>
        <w:rPr>
          <w:rFonts w:ascii="Calibri" w:cs="Calibri" w:eastAsia="Calibri" w:hAnsi="Calibri"/>
        </w:rPr>
        <w:t xml:space="preserve">Post-approval error: amendment request with justification, re-approval and full audit.</w:t>
      </w: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Provisional results within the period set by regulations (e.g. 3 weeks after examinations).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Lecturers set the assessment plan (weights checked against the regulations) and enter marks on screen or by Excel during the marks entry dates set by the Examinations Officer (per assessment item where coursework and examination open at different times), who also generates eligibility lists. Submission locks the lecturer's editing. The Head of Department moderates with grade distribution and anomaly flags, or returns with comments; the Department Board stage is optional per institution, and an institution can add its own approval stages for module results and result sheets (up to six), each able to return with comments. The Examinations Officer computes the class result sheet (GPA, CGPA, proposed decisions, classification); the Deputy Principal records Academic Committee changes with reasons and recommends; an administrator other than the recommender records Governing Board confirmation, after which the database refuses changes. The Examinations Officer publishes (SMS; withheld without results clearance) and produces the NACTVET results file, recording NACTVET's response. Later corrections are amendments approved by an administrator.</w:t>
      </w:r>
    </w:p>
    <w:p>
      <w:pPr>
        <w:pStyle w:val="Heading2"/>
      </w:pPr>
      <w:r>
        <w:rPr>
          <w:rFonts w:ascii="Calibri" w:cs="Calibri" w:eastAsia="Calibri" w:hAnsi="Calibri"/>
        </w:rPr>
        <w:t xml:space="preserve">BP-09 NVA Competence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competence-based assessment for NVA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Unit or module assessment scheduled; trade test period.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Assessor, Head of Department,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tasks and evidence → unit outcomes (competent / not yet competent) and award eligibility.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Sets units, tasks and evidence requirements from the curriculum.</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structure from academic module.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Assesses trainees on practical and theory tasks; records outcome and evidence 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Tablet-friendly entry; date and assessor captured.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Verifies outcomes.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workflow as configured.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award eligibility and submits to NACTVET.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Re-assessment scheduled for not-yet-competent units.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sets up competence units for a semester from modules marked as competence-based (each starts with a practical and a theory task), edits the tasks and evidence required, and allocates assessors. Assessors record competent or not yet competent per task with evidence; re-assessment attempts are allowed up to the maximum in the regulations (default 3). The assessor submits; the Head of Department verifies (attempts lock, SMS to trainees not yet competent) or returns with a comment; the examinations office can reopen. Award eligibility per class is confirmed and exported to Excel for NACTVET. Difference: units are set up by the examinations office rather than the Head of Department.</w:t>
      </w:r>
    </w:p>
    <w:p>
      <w:pPr>
        <w:pStyle w:val="Heading2"/>
      </w:pPr>
      <w:r>
        <w:rPr>
          <w:rFonts w:ascii="Calibri" w:cs="Calibri" w:eastAsia="Calibri" w:hAnsi="Calibri"/>
        </w:rPr>
        <w:t xml:space="preserve">BP-10 Supplementary, Special and Carry-over Examinations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Give eligible students further assessment opportunities under the regulations.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Publication of results with supplementary, special or carry-over decisions.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Lecturer,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Progression decisions → registrations, marks and updated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FR-EXM-08.</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for supplementary/special examination and pays fee if applicable.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eligible modules listed;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Schedules examinations and opens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and payment checked.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marks.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Capping rules applied automatically (e.g. maximum C).</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bodies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as in BP-08.</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Final status (pass, carry-over, repeat, discontinue) set.</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opens a resit session per semester (fee per module, registration deadline, exam period). Students with a published supplementary or special-exam decision register in the portal for their failed or missed modules and pay by GePG. Lecturers enter resit marks only for students who have paid; supplementary grades are capped, special exams are not. The Head of Department approves; a resit result sheet goes through committee, board and publication; a module still failed becomes carry over. Confirmed resit results replace first attempts in the CGPA.</w:t>
      </w:r>
    </w:p>
    <w:p>
      <w:pPr>
        <w:pStyle w:val="Heading2"/>
      </w:pPr>
      <w:r>
        <w:rPr>
          <w:rFonts w:ascii="Calibri" w:cs="Calibri" w:eastAsia="Calibri" w:hAnsi="Calibri"/>
        </w:rPr>
        <w:t xml:space="preserve">BP-11 Remarking and Appeals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disputes over results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applies within the appeal period after publication.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Head of Department, internal examiner.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Appeal → decision, possible amended result.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remark/appeal request and pays fee.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Period and eligible modules enforced.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Assigns examiner.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Conflict of interest check (not the original lecturer).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Examiner / HoD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outcome.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Original and new marks kept.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amendment if any.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 amended with audit; student notified.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Within the appeal period (default 14 days after publication) the student asks in the portal for a remark or appeal and pays the fee by GePG. The Examinations Officer assigns an examiner who did not teach the module (otherwise refused) or declines with a reason. The examiner records new marks with a comment; original marks are kept. An unchanged outcome closes with an SMS; a changed one becomes an amendment approved by an administrator (rather than the Academic Committee), which re-grades and recomputes the student's results.</w:t>
      </w:r>
    </w:p>
    <w:p>
      <w:pPr>
        <w:pStyle w:val="Heading1"/>
      </w:pPr>
      <w:r>
        <w:rPr>
          <w:rFonts w:ascii="Calibri" w:cs="Calibri" w:eastAsia="Calibri" w:hAnsi="Calibri"/>
        </w:rPr>
        <w:t xml:space="preserve">6. Campus Service Processes</w:t>
      </w:r>
    </w:p>
    <w:p>
      <w:pPr>
        <w:pStyle w:val="Heading2"/>
      </w:pPr>
      <w:r>
        <w:rPr>
          <w:rFonts w:ascii="Calibri" w:cs="Calibri" w:eastAsia="Calibri" w:hAnsi="Calibri"/>
        </w:rPr>
        <w:t xml:space="preserve">BP-12 Hostel Application and Allocation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Allocate beds fairly and ensure occupancy is paid for.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Hostel application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Hostel Warden, Dean of Students,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Applications and bed inventory → allocations, hostel invoices, occupancy.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FR-HST-01 to FR-HST-06.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Updates bed inventory and opens the window.</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Gender designation and status per bed.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with preferences.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registered students can apply.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Allocates beds by priority rules.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enforced by the database.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hostel fee; releases allocation if unpaid after configured days.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Released beds return to pool; waiting list offered.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students in and out.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condition, damages and charges recorded.</w:t>
            </w:r>
          </w:p>
        </w:tc>
      </w:tr>
    </w:tbl>
    <w:p>
      <w:pPr>
        <w:spacing w:after="120"/>
      </w:pPr>
    </w:p>
    <w:p>
      <w:pPr>
        <w:pStyle w:val="Heading3"/>
      </w:pPr>
      <w:r>
        <w:rPr>
          <w:rFonts w:ascii="Calibri" w:cs="Calibri" w:eastAsia="Calibri" w:hAnsi="Calibri"/>
        </w:rPr>
        <w:t xml:space="preserve">Service level / KPI</w:t>
      </w:r>
    </w:p>
    <w:p>
      <w:pPr>
        <w:pStyle w:val="ListParagraph"/>
        <w:numPr>
          <w:ilvl w:val="0"/>
          <w:numId w:val="2"/>
        </w:numPr>
        <w:spacing w:after="60" w:line="264"/>
      </w:pPr>
      <w:r>
        <w:rPr>
          <w:rFonts w:ascii="Calibri" w:cs="Calibri" w:eastAsia="Calibri" w:hAnsi="Calibri"/>
        </w:rPr>
        <w:t xml:space="preserve">No double allocation; occupancy report always current.</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warden keeps the inventory (fee categories, hostels and rooms by gender, beds in or out of service) and opens windows with the payment period and priority rules. Active students apply with up to three hostel choices, a room type and special needs. Allocation, automatic or manual, never goes against gender and puts special needs, first years and fee clearance first; the rest go on a waiting list (SMS). The hostel fee is invoiced with a control number; unpaid allocations are released every morning and offered to the waiting list. Check-in follows payment; check-out records condition and damages, which are invoiced. Wardens assigned to hostels work only on those; repairs are logged by wardens or reported by students.</w:t>
      </w:r>
    </w:p>
    <w:p>
      <w:pPr>
        <w:pStyle w:val="Heading2"/>
      </w:pPr>
      <w:r>
        <w:rPr>
          <w:rFonts w:ascii="Calibri" w:cs="Calibri" w:eastAsia="Calibri" w:hAnsi="Calibri"/>
        </w:rPr>
        <w:t xml:space="preserve">BP-13 Industrial Practical Training (IPT)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Manage field attachment as an assessed part of the programme.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period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Coordinator, Student, workplace supervisor, institution supervisor.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Eligible students → placements, logbooks, IPT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FR-IPT-01 to FR-IPT-03.</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placement organisations and assigns students.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 letters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electronic logbook.</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Weekly entries; supervisor visibility.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Supervisors</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 the student.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form; visit records.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IPT results to examination.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flow into BP-08 approvals.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The IPT Coordinator keeps organisations with capacity and IPT periods with mark weights and the logbook weeks needed. Students request a placement on the portal, or the coordinator places them; confirmation with an institution supervisor (within capacity) or decline is sent by SMS, and a numbered placement letter is produced. Students keep a weekly logbook that the supervisor approves or returns; visits and the three marks are recorded and the IPT mark is computed. The coordinator sends IPT marks to the IPT module's results, which then follow BP-08. A coordinator can be limited to a department. The workplace supervisor rates the student through a personal link sent by SMS or email, without an account; the rating becomes the workplace mark.</w:t>
      </w:r>
    </w:p>
    <w:p>
      <w:pPr>
        <w:pStyle w:val="Heading1"/>
      </w:pPr>
      <w:r>
        <w:rPr>
          <w:rFonts w:ascii="Calibri" w:cs="Calibri" w:eastAsia="Calibri" w:hAnsi="Calibri"/>
        </w:rPr>
        <w:t xml:space="preserve">7. Completion Processes</w:t>
      </w:r>
    </w:p>
    <w:p>
      <w:pPr>
        <w:pStyle w:val="Heading2"/>
      </w:pPr>
      <w:r>
        <w:rPr>
          <w:rFonts w:ascii="Calibri" w:cs="Calibri" w:eastAsia="Calibri" w:hAnsi="Calibri"/>
        </w:rPr>
        <w:t xml:space="preserve">BP-15 Clearance and Graduation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Confirm that finalists have met all academic and other obligations and issue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confirmed by the Governing Board.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clearance officers (department, library, hostel, finance, sports), Registry Officer,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and clearance → graduand list, transcripts, certificates.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FR-GRD-01 to 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Starts online clearance.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Offices notified; outstanding items shown.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 or hold with reason.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clearance automatic from balance.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graduand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students with approved award and full clearance.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graduands.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NACTVET graduand submission prepared.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transcripts and certificates.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Unique verification number and QR code; issue log.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Finalists are found from published results (the programme's last semester passed, nothing outstanding). Registry configures offices: the student's Head of Department, finance (cleared automatically when nothing is owed and the graduation gate is met) and offices with assigned officers (library, hostel, sports by default). The student starts clearance on the portal (or Registry does); offices clear or hold with a reason (SMS); completion is sent by SMS. Registry generates the graduand list (showing who is not ready and why) and sends it to the Board; another administrator records approval with the minute reference. Graduates are told by SMS; the NACTVET graduand file is produced; certificates are numbered once with a QR code, and every print and reprint (with a reason) is logged. Graduates become alumni; tracer surveys are sent by SMS link and the answers update the alumni record.</w:t>
      </w:r>
    </w:p>
    <w:p>
      <w:pPr>
        <w:pStyle w:val="Heading2"/>
      </w:pPr>
      <w:r>
        <w:rPr>
          <w:rFonts w:ascii="Calibri" w:cs="Calibri" w:eastAsia="Calibri" w:hAnsi="Calibri"/>
        </w:rPr>
        <w:t xml:space="preserve">BP-16 Document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Let employers, institutions and agencies verify CIMS-issued documents instantly.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scans QR code or enters verification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Registry Officer (for formal requests).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Verification code → authenticity confirmation.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Scans QR code or enters number on public verification page.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Rate-limited public endpoint.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Displays document type, name, programme, award and issue date if valid.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Minimal personal data shown; access logged.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Admission letters, statements of results and certificates carry a QR code and verification code. The public verification page is rate-limited and shows the document type, name, programme and status with minimal personal data; superseded and revoked documents are shown as such.</w:t>
      </w:r>
    </w:p>
    <w:p>
      <w:pPr>
        <w:pStyle w:val="Heading1"/>
      </w:pPr>
      <w:r>
        <w:rPr>
          <w:rFonts w:ascii="Calibri" w:cs="Calibri" w:eastAsia="Calibri" w:hAnsi="Calibri"/>
        </w:rPr>
        <w:t xml:space="preserve">8. Process Controls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Control</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Where applied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entry vs approval; invoice creation vs waiver approval; selection proposal vs committee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workflows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selection, results, status changes, waivers/refunds above thresholds, results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validation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requirements, capacity, clearance gates, grading rules, bed allocation uniqueness.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trail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All create/update/approve actions on applications, marks, invoices, payments, statuses and allocations.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Reconciliation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GePG reconciliation; NACTVET submission outcome tracking.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students informed at each key event, reducing enquiries and disputes.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segregation of duties is enforced in the software (fee structure preparer vs approver, selection proposer vs approver, curriculum preparer vs approver, recommender vs Board confirmation, amendment requester vs approver, waiver requester vs approvers, own appeals and modules excluded). Database rules back the most important controls: one active allocation per bed, unique registration numbers that never change, confirmed results locked, invoices and payments never deleted, and an append-only audit trail. Every SMS is sent from an outbox only after the work commits.</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04: Business Process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0cad81f1fc88c5eafe6c99c53dc031047ff43f7b.png"/><Relationship Id="rId12" Type="http://schemas.openxmlformats.org/officeDocument/2006/relationships/image" Target="media/a9ef0c35207391ef4e6eb85eefa163ad527afd0a.png"/><Relationship Id="rId13" Type="http://schemas.openxmlformats.org/officeDocument/2006/relationships/image" Target="media/ad263bb453f3e6375546cc2c8f08d313c7aa639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04: Business Process Document</dc:title>
  <dc:creator>Msingi Technologies Ltd</dc:creator>
  <cp:lastModifiedBy>Un-named</cp:lastModifiedBy>
  <cp:revision>1</cp:revision>
  <dcterms:created xsi:type="dcterms:W3CDTF">2026-10-06T09:59:03.093Z</dcterms:created>
  <dcterms:modified xsi:type="dcterms:W3CDTF">2026-10-06T09:59:03.093Z</dcterms:modified>
</cp:coreProperties>
</file>

<file path=docProps/custom.xml><?xml version="1.0" encoding="utf-8"?>
<Properties xmlns="http://schemas.openxmlformats.org/officeDocument/2006/custom-properties" xmlns:vt="http://schemas.openxmlformats.org/officeDocument/2006/docPropsVTypes"/>
</file>