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Architecture as built (section 13) and the delivery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including the frontend upgrade to Vite 8 and React Router 7. The version 2.0 design stays the target.</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r>
        <w:rPr>
          <w:rFonts w:ascii="Calibri" w:cs="Calibri" w:eastAsia="Calibri" w:hAnsi="Calibri"/>
        </w:rPr>
        <w:t xml:space="preserve">1.1 Architecture principles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CIMS is a modular monolith (one Spring Boot application, modules as Java packages); every request, query and message is tenant-aware with row-level security in the database; institution differences are configuration (regulations, fees, templates wording, entry rules, clearance gates, thresholds); outside systems sit behind ports with simulated and live adapters. Section 13 records where the build differs from this design.</w:t>
      </w:r>
    </w:p>
    <w:p>
      <w:pPr>
        <w:pStyle w:val="Heading1"/>
      </w:pPr>
      <w:r>
        <w:rPr>
          <w:rFonts w:ascii="Calibri" w:cs="Calibri" w:eastAsia="Calibri" w:hAnsi="Calibri"/>
        </w:rPr>
        <w:t xml:space="preserve">2. System Context</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r>
        <w:rPr>
          <w:rFonts w:ascii="Calibri" w:cs="Calibri" w:eastAsia="Calibri" w:hAnsi="Calibri"/>
        </w:rPr>
        <w:t xml:space="preserve">3. Logical Architecture</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r>
        <w:rPr>
          <w:rFonts w:ascii="Calibri" w:cs="Calibri" w:eastAsia="Calibri" w:hAnsi="Calibri"/>
        </w:rPr>
        <w:t xml:space="preserve">3.1 Presentation tier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r>
        <w:rPr>
          <w:rFonts w:ascii="Calibri" w:cs="Calibri" w:eastAsia="Calibri" w:hAnsi="Calibri"/>
        </w:rPr>
        <w:t xml:space="preserve">3.2 Application tier</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r>
        <w:rPr>
          <w:rFonts w:ascii="Calibri" w:cs="Calibri" w:eastAsia="Calibri" w:hAnsi="Calibri"/>
        </w:rPr>
        <w:t xml:space="preserve">3.3 Background processing</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there is no separate worker or message broker yet. Bulk work (billing runs, result computation, bulk SMS, file generation) runs in the request or in seven scheduled jobs inside the application, and SMS leave through a database outbox. This is sufficient for pilot volumes; workers and a broker are added when load requires (section 13.4).</w:t>
      </w:r>
    </w:p>
    <w:p>
      <w:pPr>
        <w:pStyle w:val="Heading1"/>
      </w:pPr>
      <w:r>
        <w:rPr>
          <w:rFonts w:ascii="Calibri" w:cs="Calibri" w:eastAsia="Calibri" w:hAnsi="Calibri"/>
        </w:rPr>
        <w:t xml:space="preserve">4.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r>
        <w:rPr>
          <w:rFonts w:ascii="Calibri" w:cs="Calibri" w:eastAsia="Calibri" w:hAnsi="Calibri"/>
        </w:rPr>
        <w:t xml:space="preserve">5. Multi-Tenancy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tenant comes from the host name (tenant_domains) or, for the single-page application, the X-Tenant header; it must match the tenant in the user's token. One token issuer serves all institutions instead of a Keycloak realm per institution. Data isolation is by forced row-level security; there is no file store to partition. Onboarding is one step in the platform console (institution, addresses, programmes from the NACTVET catalogue, first administrator).</w:t>
      </w:r>
    </w:p>
    <w:p>
      <w:pPr>
        <w:pStyle w:val="Heading1"/>
      </w:pPr>
      <w:r>
        <w:rPr>
          <w:rFonts w:ascii="Calibri" w:cs="Calibri" w:eastAsia="Calibri" w:hAnsi="Calibri"/>
        </w:rPr>
        <w:t xml:space="preserve">6. Security Architecture</w:t>
      </w:r>
    </w:p>
    <w:p>
      <w:pPr>
        <w:pStyle w:val="Heading2"/>
      </w:pPr>
      <w:r>
        <w:rPr>
          <w:rFonts w:ascii="Calibri" w:cs="Calibri" w:eastAsia="Calibri" w:hAnsi="Calibri"/>
        </w:rPr>
        <w:t xml:space="preserve">6.1 Identity and access</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r>
        <w:rPr>
          <w:rFonts w:ascii="Calibri" w:cs="Calibri" w:eastAsia="Calibri" w:hAnsi="Calibri"/>
        </w:rPr>
        <w:t xml:space="preserve">6.2 Data protection</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r>
        <w:rPr>
          <w:rFonts w:ascii="Calibri" w:cs="Calibri" w:eastAsia="Calibri" w:hAnsi="Calibri"/>
        </w:rPr>
        <w:t xml:space="preserve">6.3 Application and infrastructure security</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r>
        <w:rPr>
          <w:rFonts w:ascii="Calibri" w:cs="Calibri" w:eastAsia="Calibri" w:hAnsi="Calibri"/>
        </w:rPr>
        <w:t xml:space="preserve">6.4 Compliance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(security):</w:t>
      </w:r>
      <w:r>
        <w:rPr>
          <w:rFonts w:ascii="Calibri" w:cs="Calibri" w:eastAsia="Calibri" w:hAnsi="Calibri"/>
        </w:rPr>
        <w:t xml:space="preserve"> role and scope checks on every request; segregation of duties in the software; account lock-out after 5 failed sign-ins; strong password rules; forced change of temporary passwords; sessions ended when roles change or an account is disabled; rate limits on public look-ups, OTP and verification; HSTS and a strict content security policy; personal data masked in logs and exports audited; a start-up guard that refuses a database role able to bypass row-level security. Not yet in place: MFA, secrets vault, file upload scanning (there are no uploads besides images checked by content), penetration test, network segmentation (comes with hosting).</w:t>
      </w:r>
    </w:p>
    <w:p>
      <w:pPr>
        <w:pStyle w:val="Heading1"/>
      </w:pPr>
      <w:r>
        <w:rPr>
          <w:rFonts w:ascii="Calibri" w:cs="Calibri" w:eastAsia="Calibri" w:hAnsi="Calibri"/>
        </w:rPr>
        <w:t xml:space="preserve">7. Integration Architecture</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each external system is a Java port with a simulated and a live adapter chosen by configuration; every call is recorded (operation, outcome, duration, reference only) in the integration call log shown in the platform console and to each institution's Auditor. Section 13.3 lists the adapters.</w:t>
      </w:r>
    </w:p>
    <w:p>
      <w:pPr>
        <w:pStyle w:val="Heading1"/>
      </w:pPr>
      <w:r>
        <w:rPr>
          <w:rFonts w:ascii="Calibri" w:cs="Calibri" w:eastAsia="Calibri" w:hAnsi="Calibri"/>
        </w:rPr>
        <w:t xml:space="preserve">8. Deployment Architecture</w:t>
      </w:r>
    </w:p>
    <w:p>
      <w:pPr>
        <w:pStyle w:val="Heading2"/>
      </w:pPr>
      <w:r>
        <w:rPr>
          <w:rFonts w:ascii="Calibri" w:cs="Calibri" w:eastAsia="Calibri" w:hAnsi="Calibri"/>
        </w:rPr>
        <w:t xml:space="preserve">8.1 Cloud service (Option A)</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r>
        <w:rPr>
          <w:rFonts w:ascii="Calibri" w:cs="Calibri" w:eastAsia="Calibri" w:hAnsi="Calibri"/>
        </w:rPr>
        <w:t xml:space="preserve">8.2 Dedicated installation (Option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r>
        <w:rPr>
          <w:rFonts w:ascii="Calibri" w:cs="Calibri" w:eastAsia="Calibri" w:hAnsi="Calibri"/>
        </w:rPr>
        <w:t xml:space="preserve">8.3 Environments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r>
        <w:rPr>
          <w:rFonts w:ascii="Calibri" w:cs="Calibri" w:eastAsia="Calibri" w:hAnsi="Calibri"/>
        </w:rPr>
        <w:t xml:space="preserve">8.4 Delivery pipeline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GitHub Actions runs the backend tests against PostgreSQL and the frontend type check, unit tests and build on every change, with a separate load-test workflow (k6). A production Docker Compose stack runs PostgreSQL with WAL archiving, the backend, and the frontend behind an Nginx TLS proxy, with an encrypted backup service (daily backups kept 35 days, monthly for 12 months) whose restore is tested; the backend refuses to start in production with development settings. Kubernetes, image signing and scanning, and the test and staging environments are set up with production hosting.</w:t>
      </w:r>
    </w:p>
    <w:p>
      <w:pPr>
        <w:pStyle w:val="Heading1"/>
      </w:pPr>
      <w:r>
        <w:rPr>
          <w:rFonts w:ascii="Calibri" w:cs="Calibri" w:eastAsia="Calibri" w:hAnsi="Calibri"/>
        </w:rPr>
        <w:t xml:space="preserve">9. Performance, Scalability and Availability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r>
        <w:rPr>
          <w:rFonts w:ascii="Calibri" w:cs="Calibri" w:eastAsia="Calibri" w:hAnsi="Calibri"/>
        </w:rPr>
        <w:t xml:space="preserve">10. Operations and Support</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r>
        <w:rPr>
          <w:rFonts w:ascii="Calibri" w:cs="Calibri" w:eastAsia="Calibri" w:hAnsi="Calibri"/>
        </w:rPr>
        <w:t xml:space="preserve">11. Architecture Decision Records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ADRs 01–04, 06, 08 and 09 hold as decided. ADR-05 is deferred: the build uses its own token issuer (custom JWT authentication, with two-step sign-in) behind a standard OAuth2 resource server, so Keycloak can be introduced without changing the modules. ADR-07 is applied to SMS and email (outboxes); calls to NECTA, NACTVET, GePG, HESLB, NIDA, MUSE and TAMISEMI are made directly with timeouts and logged, and GePG callbacks are idempotent.</w:t>
      </w:r>
    </w:p>
    <w:p>
      <w:pPr>
        <w:pStyle w:val="Heading1"/>
      </w:pPr>
      <w:r>
        <w:rPr>
          <w:rFonts w:ascii="Calibri" w:cs="Calibri" w:eastAsia="Calibri" w:hAnsi="Calibri"/>
        </w:rPr>
        <w:t xml:space="preserve">13. Architecture As Built (October 2026)</w:t>
      </w:r>
    </w:p>
    <w:p>
      <w:pPr>
        <w:spacing w:after="120" w:line="276"/>
        <w:jc w:val="both"/>
      </w:pPr>
      <w:r>
        <w:rPr>
          <w:rFonts w:ascii="Calibri" w:cs="Calibri" w:eastAsia="Calibri" w:hAnsi="Calibri"/>
        </w:rPr>
        <w:t xml:space="preserve">This section records the architecture of the development build for version 3.1. The design above remains the target; the differences are deliberate simplifications for the build and pilot phase, each with a path to the target.</w:t>
      </w:r>
    </w:p>
    <w:p>
      <w:pPr>
        <w:pStyle w:val="Heading2"/>
      </w:pPr>
      <w:r>
        <w:rPr>
          <w:rFonts w:ascii="Calibri" w:cs="Calibri" w:eastAsia="Calibri" w:hAnsi="Calibri"/>
        </w:rPr>
        <w:t xml:space="preserve">13.1 Technology stack 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2437"/>
        <w:gridCol w:w="5236"/>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Layer</w:t>
            </w:r>
          </w:p>
        </w:tc>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(section 4)</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Frontend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 TypeScript, Vite, MUI, React Query, i18next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18.3, TypeScript 5, Vite 8, MUI 6, TanStack Query 5, React Router 7, i18next. The admission and student portals use i18next; the staff back-office is translated as it renders by a JSX runtime of its own with a dictionary of about 4,000 entries, so every screen is in English and Kiswahili. One application serves the admission portal, student portal, staff back-office, platform console and verification page; served by Nginx. Installable, with a service worker that keeps the app shell (never personal data) available offline.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Backend</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 Spring Modulith, Spring Security, Spring Data JPA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3.3.4, Spring Security (OAuth2 resource server), Spring Data JPA and JdbcTemplate, Bean Validation, Actuator. Modules are Java packages talking through services and Spring application events; Spring Modulith is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Database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RLS, pg_trgm; Flyway</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forced row-level security; Flyway V1–V49. pg_trgm is not used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Identity</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(OIDC, MFA)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 issues its own signed JWT access tokens (60 minutes, configurable) for staff, applicants, students and platform staff; Keycloak-ready because the backend is a standard OAuth2 resource server. Two-step sign-in with an authenticator app (recovery codes, SMS fall-back) for the roles each institution chooses; idle sign-out per user type; connected systems receive OAuth2 client-credential tokens.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Caching</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Redis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Rate limits and OTP state are held in the application and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 and jobs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RabbitMQ, ShedLock</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SMS and email go through transactional outbox tables sent after commit with retries; eleven scheduled jobs run inside the application (check-in closing, SMS retries, email retries, window closing, offer expiry, hostel release, status changes, fee reminders and penalties, scheduled reports, retention, integration log clean-up). ShedLock is needed before running more than one instance.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File storage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MinIO (S3)</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Generated documents are rendered on request from stored data; photos and uploaded application documents (size-limited, checked by content) are kept in the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Documents and reports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JasperReports, Apache POI, ZXing</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openhtmltopdf (HTML templates to PDF) for letters, receipts, statements, certificates, ID cards and class lists; Apache POI for Excel; ZXing for QR codes.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Rules</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 rule documents and internal engine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for entry requirements (JSON on window programmes); regulations are relational (grade and classification bands).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Resilience</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Resilience4j, transactional outbox</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Outboxes for SMS and email; timeouts on outside calls; simulated and live adapters per integration, each call logged. Resilience4j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OpenAPI 3, OAuth2 client credentials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(springdoc, Swagger UI); RFC 7807 error responses. Connected systems use OAuth2 client credentials with scopes on a read-only integration API (programmes, students, results, payments).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Containers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 Kubernetes; Docker Compose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Dockerfiles for the backend, the frontend and the two simulators (nactvet-mock, gov-mocks); a development Compose stack and a production Compose stack with TLS proxy, WAL archiving and backups. Kubernetes manifests not written yet.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Ingress, observability, CI/CD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Nginx Ingress, cert-manager; Prometheus, Grafana, Loki; GitLab CI or GitHub Actions; SonarQube, Trivy, ZAP</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GitHub Actions for continuous integration and load tests; Nginx TLS proxy in the production stack; Actuator health and Prometheus metrics, reachable inside the network only. Grafana, Loki, SonarQube, Trivy and ZAP come with production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Testcontainers, Playwright, k6</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with Spring Boot tests against a real PostgreSQL database (239 tests) and Vitest unit tests for the frontend; screens checked with Playwright scripts; simulators of NACTVET (nactvet-mock) and of GePG, HESLB, NIDA, MUSE and TAMISEMI (gov-mocks); k6 and Locust load tests (100 users on the development machine: no errors, p95 37 ms, p99 1.0 s).</w:t>
            </w:r>
          </w:p>
        </w:tc>
      </w:tr>
    </w:tbl>
    <w:p>
      <w:pPr>
        <w:spacing w:after="120"/>
      </w:pPr>
    </w:p>
    <w:p>
      <w:pPr>
        <w:pStyle w:val="Heading2"/>
      </w:pPr>
      <w:r>
        <w:rPr>
          <w:rFonts w:ascii="Calibri" w:cs="Calibri" w:eastAsia="Calibri" w:hAnsi="Calibri"/>
        </w:rPr>
        <w:t xml:space="preserve">13.2 Modules</w:t>
      </w:r>
    </w:p>
    <w:p>
      <w:pPr>
        <w:spacing w:after="120" w:line="276"/>
        <w:jc w:val="both"/>
      </w:pPr>
      <w:r>
        <w:rPr>
          <w:rFonts w:ascii="Calibri" w:cs="Calibri" w:eastAsia="Calibri" w:hAnsi="Calibri"/>
        </w:rPr>
        <w:t xml:space="preserve">The backend has 507 Java source files (about 55,000 lines) in these packages; the frontend has 106 TypeScript files (about 26,000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Package</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Responsibility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Tenancy (host or X-Tenant header), security and sign-in, users and roles, branding, audit trail, numbering; two-step sign-in, API clients, personal-data requests and retention, letter templates.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institutions, NACTVET catalogue, platform users, integration health.</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Years, intakes, departments, programmes, modules, curricula, calendar; campuses, faculties, student categories.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applications, eligibility, selection, NACTVET verification, offers, letters; document uploads, external selections.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students, first and semester registration, status changes, ID cards; programme and campus transfers, National Identification Numbers, NACTVET registration, data import.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attendance, self check-in, eligibility, My teaching.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marks, moderation, result sheets, resits, amendments, appeals, transcripts, NVA competence; approval stages, results from before CIMS.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 billing, GePG, payments, reconciliation, accounts and clearance, sponsors, adjustments, finance overview; instalment reminders and penalties, discount schemes, HESLB, MUSE postings.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graduation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and repairs; industrial practical training; clearance, graduations and certificates; alumni and tracer surveys.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portal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 services, notices, change requests, next steps.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notification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 templates, outbox, dispatcher, bulk campaigns, SMS bundles; email outbox.</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reporting, approvals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 catalogue and exports, dashboards and overviews; the approvals list; scheduled reports.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 reference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NACTVET, HESLB, NIDA, MUSE and TAMISEMI clients, the institution's integration settings, integration call log; administrative areas and school lists.</w:t>
            </w:r>
          </w:p>
        </w:tc>
      </w:tr>
    </w:tbl>
    <w:p>
      <w:pPr>
        <w:spacing w:after="120"/>
      </w:pPr>
    </w:p>
    <w:p>
      <w:pPr>
        <w:pStyle w:val="Heading2"/>
      </w:pPr>
      <w:r>
        <w:rPr>
          <w:rFonts w:ascii="Calibri" w:cs="Calibri" w:eastAsia="Calibri" w:hAnsi="Calibri"/>
        </w:rPr>
        <w:t xml:space="preserve">13.3 Integration adapters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707"/>
        <w:gridCol w:w="4695"/>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Mode setting</w:t>
            </w:r>
          </w:p>
        </w:tc>
        <w:tc>
          <w:tcPr>
            <w:tcW w:type="dxa" w:w="46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Adapter</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CIMS_NECTA_MODE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SimulatedNectaClient / LiveNectaClient (NECTA results API, key NECTA_API_KEY).</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CIMS_NACTVET_AWARDS_MODE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as in NOAS (NACTE_AUTHORIZATION, NACTE_API_CODE).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catalogue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CIMS_NACTVET_CATALOGUE_MODE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institutionprogrammeall service for the platform console.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verification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SimulatedNactvetGateway / LiveNactvetGateway (NOAS-style JSON POST; endpoint paths configurable; tested against nactvet-mock). File channel always available.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CIMS_GEPG_MODE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SimulatedGepgGateway / live adapter with GePG's signed XML (bills, control numbers by callback, payments, reconciliation requests), tested against the gov-mocks GePG simulator with test keys; reconciliation files can still be imported. Each institution's SP code, sub SP code, system id and GFS code are on its Integrations page.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CIMS_SMS_MODE = simulated</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SimulatedSmsGateway behind the SmsGateway port; outbox, retries, signed delivery reports.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registration and results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CIMS_NACTVET_SUBMISSION_MODE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and results submission with status follow-up; endpoint paths configurable until NACTVET issues them; tested against nactvet-mock.</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CIMS_HESLB_MODE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data out, beneficiaries in as capped sponsorships, disbursements recorded; placeholder endpoints until HESLB issues its interface.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CIMS_NIDA_MODE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checked against name and date of birth; the number is stored encrypted.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CIMS_MUSE_MODE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per period by GFS code, each period once; postings CSV for other systems.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TAMISEMI</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CIMS_TAMISEMI_MODE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Selections fetched into the checked import, then verified and offered like other applicants.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Collections outside GePG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CIMS_COLLECTION_MODE = simulated | statement</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references for private and faith-based institutions, confirmed by a signed collector callback or by importing the day's mobile money or bank statement.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CIMS_EMAIL_MODE = simulated | smtp</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with retries and attachments, sent by SMTP (Mailpit in development).</w:t>
            </w:r>
          </w:p>
        </w:tc>
      </w:tr>
    </w:tbl>
    <w:p>
      <w:pPr>
        <w:spacing w:after="120"/>
      </w:pPr>
    </w:p>
    <w:p>
      <w:pPr>
        <w:pStyle w:val="Heading2"/>
      </w:pPr>
      <w:r>
        <w:rPr>
          <w:rFonts w:ascii="Calibri" w:cs="Calibri" w:eastAsia="Calibri" w:hAnsi="Calibri"/>
        </w:rPr>
        <w:t xml:space="preserve">13.4 Path to the target architecture</w:t>
      </w:r>
    </w:p>
    <w:p>
      <w:pPr>
        <w:pStyle w:val="ListParagraph"/>
        <w:numPr>
          <w:ilvl w:val="0"/>
          <w:numId w:val="2"/>
        </w:numPr>
        <w:spacing w:after="60" w:line="264"/>
      </w:pPr>
      <w:r>
        <w:rPr>
          <w:rFonts w:ascii="Calibri" w:cs="Calibri" w:eastAsia="Calibri" w:hAnsi="Calibri"/>
          <w:b/>
          <w:bCs/>
        </w:rPr>
        <w:t xml:space="preserve">Identity: introduce Keycloak (one realm per institution) if single sign-on is needed; two-step sign-in is already built into CIMS's own issuer and the backend validates standard OAuth2 tokens.</w:t>
      </w:r>
    </w:p>
    <w:p>
      <w:pPr>
        <w:pStyle w:val="ListParagraph"/>
        <w:numPr>
          <w:ilvl w:val="0"/>
          <w:numId w:val="2"/>
        </w:numPr>
        <w:spacing w:after="60" w:line="264"/>
      </w:pPr>
      <w:r>
        <w:rPr>
          <w:rFonts w:ascii="Calibri" w:cs="Calibri" w:eastAsia="Calibri" w:hAnsi="Calibri"/>
          <w:b/>
          <w:bCs/>
        </w:rPr>
        <w:t xml:space="preserve">Scale-out:</w:t>
      </w:r>
      <w:r>
        <w:rPr>
          <w:rFonts w:ascii="Calibri" w:cs="Calibri" w:eastAsia="Calibri" w:hAnsi="Calibri"/>
        </w:rPr>
        <w:t xml:space="preserve"> add ShedLock to the scheduled jobs, then run several backend instances behind the ingress; move bulk work to workers with a broker when volumes require.</w:t>
      </w:r>
    </w:p>
    <w:p>
      <w:pPr>
        <w:pStyle w:val="ListParagraph"/>
        <w:numPr>
          <w:ilvl w:val="0"/>
          <w:numId w:val="2"/>
        </w:numPr>
        <w:spacing w:after="60" w:line="264"/>
      </w:pPr>
      <w:r>
        <w:rPr>
          <w:rFonts w:ascii="Calibri" w:cs="Calibri" w:eastAsia="Calibri" w:hAnsi="Calibri"/>
          <w:b/>
          <w:bCs/>
        </w:rPr>
        <w:t xml:space="preserve">Integrations: switch GePG to live with each institution's certificates; wire the live HESLB, NIDA, MUSE, TAMISEMI and NACTVET registration and results endpoints as each body issues them; add the SMS aggregator adapter; connect to GovESB where mandated.</w:t>
      </w:r>
    </w:p>
    <w:p>
      <w:pPr>
        <w:pStyle w:val="ListParagraph"/>
        <w:numPr>
          <w:ilvl w:val="0"/>
          <w:numId w:val="2"/>
        </w:numPr>
        <w:spacing w:after="60" w:line="264"/>
      </w:pPr>
      <w:r>
        <w:rPr>
          <w:rFonts w:ascii="Calibri" w:cs="Calibri" w:eastAsia="Calibri" w:hAnsi="Calibri"/>
          <w:b/>
          <w:bCs/>
        </w:rPr>
        <w:t xml:space="preserve">Operations: Kubernetes manifests, ingress with automatic certificates, Grafana and Loki on the existing metrics and logs, image and dependency scanning, the peak load test on staging hardware and an independent penetration test before go-live. Continuous integration, backups with point-in-time recovery and load-test scripts are in place.</w:t>
      </w:r>
    </w:p>
    <w:p>
      <w:pPr>
        <w:pStyle w:val="ListParagraph"/>
        <w:numPr>
          <w:ilvl w:val="0"/>
          <w:numId w:val="2"/>
        </w:numPr>
        <w:spacing w:after="60" w:line="264"/>
      </w:pPr>
      <w:r>
        <w:rPr>
          <w:rFonts w:ascii="Calibri" w:cs="Calibri" w:eastAsia="Calibri" w:hAnsi="Calibri"/>
          <w:b/>
          <w:bCs/>
        </w:rPr>
        <w:t xml:space="preserve">Documents: move uploaded documents to object storage if volumes require; today they are kept in the database, size-limited.</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