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3.4 — updated to the system as built after the October 2026 completion batches,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p>
      <w:pPr>
        <w:spacing w:after="300"/>
      </w:pPr>
      <w:r>
        <w:rPr>
          <w:i/>
          <w:rFonts w:ascii="Calibri" w:cs="Calibri" w:eastAsia="Calibri" w:hAnsi="Calibri"/>
          <w:color w:val="595959"/>
          <w:sz w:val="22"/>
          <w:szCs w:val="22"/>
        </w:rPr>
        <w:t xml:space="preserve">This section records the versions of this System Requirements Specification, who prepared each one and what changed, so that readers know they are working from the current approved text.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(section 11) brought up to date after the completion batches (campuses and transfers; instalments, penalties and discounts; email; two-step sign-in, API clients and personal-data requests; data import and document uploads; configurable approval stages; alumni and tracer surveys; government adapters, deployment and load tests; the staff back-office in Kiswahili). The version 2.0 requirements stay the acceptance baseline.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Non-functional status updated after Batch 9 (go-live hardening): passwords of at least 10 characters; scheduled jobs run once across several instances; the web app split into bundles loaded on demand; WCAG accessibility fixes; end-to-end tests in three browsers and security scans (Trivy, OWASP ZAP baseline, npm audit) in CI.</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As-built status updated after Batch 10: late-registration fee, application-fee reminders, waivers proposed when a status change takes effect, hostel bed changes with the fee difference, refunds of fees paid (hostel check-out and cancellation), and the entry-rule test tool. Abbreviations and glossary table added (section 1.3).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FR-TCH-05 and FR-EXM-15 added and the as-built status updated after Batch 11: timetabling. Teaching venues, the weekly class timetable with clash checks, the examination timetable with venues and invigilators, publishing to students (with SMS), and personal timetables for lecturers and students.</w:t>
            </w:r>
          </w:p>
        </w:tc>
      </w:tr>
    </w:tbl>
    <w:p>
      <w:pPr>
        <w:pStyle w:val="Heading2"/>
        <w:spacing w:before="200"/>
      </w:pPr>
      <w:r>
        <w:rPr>
          <w:rFonts w:ascii="Calibri" w:cs="Calibri" w:eastAsia="Calibri" w:hAnsi="Calibri"/>
        </w:rPr>
        <w:t xml:space="preserve">Review and Approval</w:t>
      </w:r>
    </w:p>
    <w:p>
      <w:pPr>
        <w:spacing w:after="300"/>
      </w:pPr>
      <w:r>
        <w:rPr>
          <w:i/>
          <w:rFonts w:ascii="Calibri" w:cs="Calibri" w:eastAsia="Calibri" w:hAnsi="Calibri"/>
          <w:color w:val="595959"/>
          <w:sz w:val="22"/>
          <w:szCs w:val="22"/>
        </w:rPr>
        <w:t xml:space="preserve">The people listed below review this System Requirements Specification and confirm, by signing, that it is accepted as the basis for the work that follows.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p>
      <w:pPr>
        <w:spacing w:after="300"/>
      </w:pPr>
      <w:r>
        <w:rPr>
          <w:i/>
          <w:rFonts w:ascii="Calibri" w:cs="Calibri" w:eastAsia="Calibri" w:hAnsi="Calibri"/>
          <w:color w:val="595959"/>
          <w:sz w:val="22"/>
          <w:szCs w:val="22"/>
        </w:rPr>
        <w:t xml:space="preserve">CIMS is described in a set of eight documents, each written for a different purpose and audience. This table shows where each topic is covered, so a reader can go straight to the document that answers their question.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9020"/>
            </w:tabs>
            <w:spacing w:before="120" w:after="20"/>
            <w:ind w:left="0"/>
          </w:pPr>
          <w:hyperlink w:anchor="_TocV11_1" w:history="1">
            <w:r>
              <w:rPr>
                <w:rFonts w:ascii="Calibri" w:cs="Calibri" w:eastAsia="Calibri" w:hAnsi="Calibri"/>
                <w:b/>
                <w:bCs/>
                <w:color w:val="1F3864"/>
                <w:sz w:val="21"/>
                <w:szCs w:val="21"/>
              </w:rPr>
              <w:t xml:space="preserve">1. Introduction</w:t>
            </w:r>
            <w:r>
              <w:rPr>
                <w:rFonts w:ascii="Calibri" w:cs="Calibri" w:eastAsia="Calibri" w:hAnsi="Calibri"/>
                <w:b/>
                <w:bCs/>
                <w:color w:val="1F3864"/>
                <w:sz w:val="21"/>
                <w:szCs w:val="21"/>
              </w:rPr>
              <w:tab/>
              <w:t>5</w:t>
            </w:r>
          </w:hyperlink>
        </w:p>
        <w:p>
          <w:pPr>
            <w:tabs>
              <w:tab w:val="right" w:leader="dot" w:pos="9020"/>
            </w:tabs>
            <w:spacing w:before="20" w:after="20"/>
            <w:ind w:left="360"/>
          </w:pPr>
          <w:hyperlink w:anchor="_TocV11_2" w:history="1">
            <w:r>
              <w:rPr>
                <w:rFonts w:ascii="Calibri" w:cs="Calibri" w:eastAsia="Calibri" w:hAnsi="Calibri"/>
                <w:sz w:val="20"/>
                <w:szCs w:val="20"/>
              </w:rPr>
              <w:t xml:space="preserve">1.1 Purpose and scope</w:t>
            </w:r>
            <w:r>
              <w:rPr>
                <w:rFonts w:ascii="Calibri" w:cs="Calibri" w:eastAsia="Calibri" w:hAnsi="Calibri"/>
                <w:sz w:val="20"/>
                <w:szCs w:val="20"/>
              </w:rPr>
              <w:tab/>
              <w:t>5</w:t>
            </w:r>
          </w:hyperlink>
        </w:p>
        <w:p>
          <w:pPr>
            <w:tabs>
              <w:tab w:val="right" w:leader="dot" w:pos="9020"/>
            </w:tabs>
            <w:spacing w:before="20" w:after="20"/>
            <w:ind w:left="360"/>
          </w:pPr>
          <w:hyperlink w:anchor="_TocV11_3" w:history="1">
            <w:r>
              <w:rPr>
                <w:rFonts w:ascii="Calibri" w:cs="Calibri" w:eastAsia="Calibri" w:hAnsi="Calibri"/>
                <w:sz w:val="20"/>
                <w:szCs w:val="20"/>
              </w:rPr>
              <w:t xml:space="preserve">1.2 Conventions</w:t>
            </w:r>
            <w:r>
              <w:rPr>
                <w:rFonts w:ascii="Calibri" w:cs="Calibri" w:eastAsia="Calibri" w:hAnsi="Calibri"/>
                <w:sz w:val="20"/>
                <w:szCs w:val="20"/>
              </w:rPr>
              <w:tab/>
              <w:t>5</w:t>
            </w:r>
          </w:hyperlink>
        </w:p>
        <w:p>
          <w:pPr>
            <w:tabs>
              <w:tab w:val="right" w:leader="dot" w:pos="9020"/>
            </w:tabs>
            <w:spacing w:before="20" w:after="20"/>
            <w:ind w:left="360"/>
          </w:pPr>
          <w:hyperlink w:anchor="_TocV11_36" w:history="1">
            <w:r>
              <w:rPr>
                <w:rFonts w:ascii="Calibri" w:cs="Calibri" w:eastAsia="Calibri" w:hAnsi="Calibri"/>
                <w:sz w:val="20"/>
                <w:szCs w:val="20"/>
              </w:rPr>
              <w:t xml:space="preserve">1.3 Abbreviations and glossary</w:t>
            </w:r>
            <w:r>
              <w:rPr>
                <w:rFonts w:ascii="Calibri" w:cs="Calibri" w:eastAsia="Calibri" w:hAnsi="Calibri"/>
                <w:sz w:val="20"/>
                <w:szCs w:val="20"/>
              </w:rPr>
              <w:tab/>
              <w:t>5</w:t>
            </w:r>
          </w:hyperlink>
        </w:p>
        <w:p>
          <w:pPr>
            <w:tabs>
              <w:tab w:val="right" w:leader="dot" w:pos="9020"/>
            </w:tabs>
            <w:spacing w:before="120" w:after="20"/>
            <w:ind w:left="0"/>
          </w:pPr>
          <w:hyperlink w:anchor="_TocV11_4" w:history="1">
            <w:r>
              <w:rPr>
                <w:rFonts w:ascii="Calibri" w:cs="Calibri" w:eastAsia="Calibri" w:hAnsi="Calibri"/>
                <w:b/>
                <w:bCs/>
                <w:color w:val="1F3864"/>
                <w:sz w:val="21"/>
                <w:szCs w:val="21"/>
              </w:rPr>
              <w:t xml:space="preserve">2. System Overview</w:t>
            </w:r>
            <w:r>
              <w:rPr>
                <w:rFonts w:ascii="Calibri" w:cs="Calibri" w:eastAsia="Calibri" w:hAnsi="Calibri"/>
                <w:b/>
                <w:bCs/>
                <w:color w:val="1F3864"/>
                <w:sz w:val="21"/>
                <w:szCs w:val="21"/>
              </w:rPr>
              <w:tab/>
              <w:t>8</w:t>
            </w:r>
          </w:hyperlink>
        </w:p>
        <w:p>
          <w:pPr>
            <w:tabs>
              <w:tab w:val="right" w:leader="dot" w:pos="9020"/>
            </w:tabs>
            <w:spacing w:before="120" w:after="20"/>
            <w:ind w:left="0"/>
          </w:pPr>
          <w:hyperlink w:anchor="_TocV11_5" w:history="1">
            <w:r>
              <w:rPr>
                <w:rFonts w:ascii="Calibri" w:cs="Calibri" w:eastAsia="Calibri" w:hAnsi="Calibri"/>
                <w:b/>
                <w:bCs/>
                <w:color w:val="1F3864"/>
                <w:sz w:val="21"/>
                <w:szCs w:val="21"/>
              </w:rPr>
              <w:t xml:space="preserve">3. User Roles and Access</w:t>
            </w:r>
            <w:r>
              <w:rPr>
                <w:rFonts w:ascii="Calibri" w:cs="Calibri" w:eastAsia="Calibri" w:hAnsi="Calibri"/>
                <w:b/>
                <w:bCs/>
                <w:color w:val="1F3864"/>
                <w:sz w:val="21"/>
                <w:szCs w:val="21"/>
              </w:rPr>
              <w:tab/>
              <w:t>8</w:t>
            </w:r>
          </w:hyperlink>
        </w:p>
        <w:p>
          <w:pPr>
            <w:tabs>
              <w:tab w:val="right" w:leader="dot" w:pos="9020"/>
            </w:tabs>
            <w:spacing w:before="20" w:after="20"/>
            <w:ind w:left="360"/>
          </w:pPr>
          <w:hyperlink w:anchor="_TocV11_6" w:history="1">
            <w:r>
              <w:rPr>
                <w:rFonts w:ascii="Calibri" w:cs="Calibri" w:eastAsia="Calibri" w:hAnsi="Calibri"/>
                <w:sz w:val="20"/>
                <w:szCs w:val="20"/>
              </w:rPr>
              <w:t xml:space="preserve">3.1 Roles</w:t>
            </w:r>
            <w:r>
              <w:rPr>
                <w:rFonts w:ascii="Calibri" w:cs="Calibri" w:eastAsia="Calibri" w:hAnsi="Calibri"/>
                <w:sz w:val="20"/>
                <w:szCs w:val="20"/>
              </w:rPr>
              <w:tab/>
              <w:t>8</w:t>
            </w:r>
          </w:hyperlink>
        </w:p>
        <w:p>
          <w:pPr>
            <w:tabs>
              <w:tab w:val="right" w:leader="dot" w:pos="9020"/>
            </w:tabs>
            <w:spacing w:before="20" w:after="20"/>
            <w:ind w:left="360"/>
          </w:pPr>
          <w:hyperlink w:anchor="_TocV11_7" w:history="1">
            <w:r>
              <w:rPr>
                <w:rFonts w:ascii="Calibri" w:cs="Calibri" w:eastAsia="Calibri" w:hAnsi="Calibri"/>
                <w:sz w:val="20"/>
                <w:szCs w:val="20"/>
              </w:rPr>
              <w:t xml:space="preserve">3.2 Permission matrix (summary)</w:t>
            </w:r>
            <w:r>
              <w:rPr>
                <w:rFonts w:ascii="Calibri" w:cs="Calibri" w:eastAsia="Calibri" w:hAnsi="Calibri"/>
                <w:sz w:val="20"/>
                <w:szCs w:val="20"/>
              </w:rPr>
              <w:tab/>
              <w:t>9</w:t>
            </w:r>
          </w:hyperlink>
        </w:p>
        <w:p>
          <w:pPr>
            <w:tabs>
              <w:tab w:val="right" w:leader="dot" w:pos="9020"/>
            </w:tabs>
            <w:spacing w:before="20" w:after="20"/>
            <w:ind w:left="360"/>
          </w:pPr>
          <w:hyperlink w:anchor="_TocV11_8" w:history="1">
            <w:r>
              <w:rPr>
                <w:rFonts w:ascii="Calibri" w:cs="Calibri" w:eastAsia="Calibri" w:hAnsi="Calibri"/>
                <w:sz w:val="20"/>
                <w:szCs w:val="20"/>
              </w:rPr>
              <w:t xml:space="preserve">3.3 Roles as built (October 2026)</w:t>
            </w:r>
            <w:r>
              <w:rPr>
                <w:rFonts w:ascii="Calibri" w:cs="Calibri" w:eastAsia="Calibri" w:hAnsi="Calibri"/>
                <w:sz w:val="20"/>
                <w:szCs w:val="20"/>
              </w:rPr>
              <w:tab/>
              <w:t>10</w:t>
            </w:r>
          </w:hyperlink>
        </w:p>
        <w:p>
          <w:pPr>
            <w:tabs>
              <w:tab w:val="right" w:leader="dot" w:pos="9020"/>
            </w:tabs>
            <w:spacing w:before="120" w:after="20"/>
            <w:ind w:left="0"/>
          </w:pPr>
          <w:hyperlink w:anchor="_TocV11_9" w:history="1">
            <w:r>
              <w:rPr>
                <w:rFonts w:ascii="Calibri" w:cs="Calibri" w:eastAsia="Calibri" w:hAnsi="Calibri"/>
                <w:b/>
                <w:bCs/>
                <w:color w:val="1F3864"/>
                <w:sz w:val="21"/>
                <w:szCs w:val="21"/>
              </w:rPr>
              <w:t xml:space="preserve">4. Functional Requirements</w:t>
            </w:r>
            <w:r>
              <w:rPr>
                <w:rFonts w:ascii="Calibri" w:cs="Calibri" w:eastAsia="Calibri" w:hAnsi="Calibri"/>
                <w:b/>
                <w:bCs/>
                <w:color w:val="1F3864"/>
                <w:sz w:val="21"/>
                <w:szCs w:val="21"/>
              </w:rPr>
              <w:tab/>
              <w:t>11</w:t>
            </w:r>
          </w:hyperlink>
        </w:p>
        <w:p>
          <w:pPr>
            <w:tabs>
              <w:tab w:val="right" w:leader="dot" w:pos="9020"/>
            </w:tabs>
            <w:spacing w:before="20" w:after="20"/>
            <w:ind w:left="360"/>
          </w:pPr>
          <w:hyperlink w:anchor="_TocV11_10" w:history="1">
            <w:r>
              <w:rPr>
                <w:rFonts w:ascii="Calibri" w:cs="Calibri" w:eastAsia="Calibri" w:hAnsi="Calibri"/>
                <w:sz w:val="20"/>
                <w:szCs w:val="20"/>
              </w:rPr>
              <w:t xml:space="preserve">4.1 M01 — Online Admission Portal</w:t>
            </w:r>
            <w:r>
              <w:rPr>
                <w:rFonts w:ascii="Calibri" w:cs="Calibri" w:eastAsia="Calibri" w:hAnsi="Calibri"/>
                <w:sz w:val="20"/>
                <w:szCs w:val="20"/>
              </w:rPr>
              <w:tab/>
              <w:t>11</w:t>
            </w:r>
          </w:hyperlink>
        </w:p>
        <w:p>
          <w:pPr>
            <w:tabs>
              <w:tab w:val="right" w:leader="dot" w:pos="9020"/>
            </w:tabs>
            <w:spacing w:before="20" w:after="20"/>
            <w:ind w:left="360"/>
          </w:pPr>
          <w:hyperlink w:anchor="_TocV11_11" w:history="1">
            <w:r>
              <w:rPr>
                <w:rFonts w:ascii="Calibri" w:cs="Calibri" w:eastAsia="Calibri" w:hAnsi="Calibri"/>
                <w:sz w:val="20"/>
                <w:szCs w:val="20"/>
              </w:rPr>
              <w:t xml:space="preserve">4.2 M02 — Student Registry</w:t>
            </w:r>
            <w:r>
              <w:rPr>
                <w:rFonts w:ascii="Calibri" w:cs="Calibri" w:eastAsia="Calibri" w:hAnsi="Calibri"/>
                <w:sz w:val="20"/>
                <w:szCs w:val="20"/>
              </w:rPr>
              <w:tab/>
              <w:t>12</w:t>
            </w:r>
          </w:hyperlink>
        </w:p>
        <w:p>
          <w:pPr>
            <w:tabs>
              <w:tab w:val="right" w:leader="dot" w:pos="9020"/>
            </w:tabs>
            <w:spacing w:before="20" w:after="20"/>
            <w:ind w:left="360"/>
          </w:pPr>
          <w:hyperlink w:anchor="_TocV11_12" w:history="1">
            <w:r>
              <w:rPr>
                <w:rFonts w:ascii="Calibri" w:cs="Calibri" w:eastAsia="Calibri" w:hAnsi="Calibri"/>
                <w:sz w:val="20"/>
                <w:szCs w:val="20"/>
              </w:rPr>
              <w:t xml:space="preserve">4.3 M03 — Academic Structure</w:t>
            </w:r>
            <w:r>
              <w:rPr>
                <w:rFonts w:ascii="Calibri" w:cs="Calibri" w:eastAsia="Calibri" w:hAnsi="Calibri"/>
                <w:sz w:val="20"/>
                <w:szCs w:val="20"/>
              </w:rPr>
              <w:tab/>
              <w:t>13</w:t>
            </w:r>
          </w:hyperlink>
        </w:p>
        <w:p>
          <w:pPr>
            <w:tabs>
              <w:tab w:val="right" w:leader="dot" w:pos="9020"/>
            </w:tabs>
            <w:spacing w:before="20" w:after="20"/>
            <w:ind w:left="360"/>
          </w:pPr>
          <w:hyperlink w:anchor="_TocV11_13" w:history="1">
            <w:r>
              <w:rPr>
                <w:rFonts w:ascii="Calibri" w:cs="Calibri" w:eastAsia="Calibri" w:hAnsi="Calibri"/>
                <w:sz w:val="20"/>
                <w:szCs w:val="20"/>
              </w:rPr>
              <w:t xml:space="preserve">4.4 M04 — Teaching &amp; Attendance</w:t>
            </w:r>
            <w:r>
              <w:rPr>
                <w:rFonts w:ascii="Calibri" w:cs="Calibri" w:eastAsia="Calibri" w:hAnsi="Calibri"/>
                <w:sz w:val="20"/>
                <w:szCs w:val="20"/>
              </w:rPr>
              <w:tab/>
              <w:t>13</w:t>
            </w:r>
          </w:hyperlink>
        </w:p>
        <w:p>
          <w:pPr>
            <w:tabs>
              <w:tab w:val="right" w:leader="dot" w:pos="9020"/>
            </w:tabs>
            <w:spacing w:before="20" w:after="20"/>
            <w:ind w:left="360"/>
          </w:pPr>
          <w:hyperlink w:anchor="_TocV11_14" w:history="1">
            <w:r>
              <w:rPr>
                <w:rFonts w:ascii="Calibri" w:cs="Calibri" w:eastAsia="Calibri" w:hAnsi="Calibri"/>
                <w:sz w:val="20"/>
                <w:szCs w:val="20"/>
              </w:rPr>
              <w:t xml:space="preserve">4.5 M05 — Assessment &amp; Examination</w:t>
            </w:r>
            <w:r>
              <w:rPr>
                <w:rFonts w:ascii="Calibri" w:cs="Calibri" w:eastAsia="Calibri" w:hAnsi="Calibri"/>
                <w:sz w:val="20"/>
                <w:szCs w:val="20"/>
              </w:rPr>
              <w:tab/>
              <w:t>14</w:t>
            </w:r>
          </w:hyperlink>
        </w:p>
        <w:p>
          <w:pPr>
            <w:tabs>
              <w:tab w:val="right" w:leader="dot" w:pos="9020"/>
            </w:tabs>
            <w:spacing w:before="20" w:after="20"/>
            <w:ind w:left="360"/>
          </w:pPr>
          <w:hyperlink w:anchor="_TocV11_15" w:history="1">
            <w:r>
              <w:rPr>
                <w:rFonts w:ascii="Calibri" w:cs="Calibri" w:eastAsia="Calibri" w:hAnsi="Calibri"/>
                <w:sz w:val="20"/>
                <w:szCs w:val="20"/>
              </w:rPr>
              <w:t xml:space="preserve">4.6 M06 — Finance &amp; Fees</w:t>
            </w:r>
            <w:r>
              <w:rPr>
                <w:rFonts w:ascii="Calibri" w:cs="Calibri" w:eastAsia="Calibri" w:hAnsi="Calibri"/>
                <w:sz w:val="20"/>
                <w:szCs w:val="20"/>
              </w:rPr>
              <w:tab/>
              <w:t>14</w:t>
            </w:r>
          </w:hyperlink>
        </w:p>
        <w:p>
          <w:pPr>
            <w:tabs>
              <w:tab w:val="right" w:leader="dot" w:pos="9020"/>
            </w:tabs>
            <w:spacing w:before="20" w:after="20"/>
            <w:ind w:left="360"/>
          </w:pPr>
          <w:hyperlink w:anchor="_TocV11_16" w:history="1">
            <w:r>
              <w:rPr>
                <w:rFonts w:ascii="Calibri" w:cs="Calibri" w:eastAsia="Calibri" w:hAnsi="Calibri"/>
                <w:sz w:val="20"/>
                <w:szCs w:val="20"/>
              </w:rPr>
              <w:t xml:space="preserve">4.7 M07 — Hostel &amp; Accommodation</w:t>
            </w:r>
            <w:r>
              <w:rPr>
                <w:rFonts w:ascii="Calibri" w:cs="Calibri" w:eastAsia="Calibri" w:hAnsi="Calibri"/>
                <w:sz w:val="20"/>
                <w:szCs w:val="20"/>
              </w:rPr>
              <w:tab/>
              <w:t>15</w:t>
            </w:r>
          </w:hyperlink>
        </w:p>
        <w:p>
          <w:pPr>
            <w:tabs>
              <w:tab w:val="right" w:leader="dot" w:pos="9020"/>
            </w:tabs>
            <w:spacing w:before="20" w:after="20"/>
            <w:ind w:left="360"/>
          </w:pPr>
          <w:hyperlink w:anchor="_TocV11_17" w:history="1">
            <w:r>
              <w:rPr>
                <w:rFonts w:ascii="Calibri" w:cs="Calibri" w:eastAsia="Calibri" w:hAnsi="Calibri"/>
                <w:sz w:val="20"/>
                <w:szCs w:val="20"/>
              </w:rPr>
              <w:t xml:space="preserve">4.8 M08 — Industrial Practical Training</w:t>
            </w:r>
            <w:r>
              <w:rPr>
                <w:rFonts w:ascii="Calibri" w:cs="Calibri" w:eastAsia="Calibri" w:hAnsi="Calibri"/>
                <w:sz w:val="20"/>
                <w:szCs w:val="20"/>
              </w:rPr>
              <w:tab/>
              <w:t>16</w:t>
            </w:r>
          </w:hyperlink>
        </w:p>
        <w:p>
          <w:pPr>
            <w:tabs>
              <w:tab w:val="right" w:leader="dot" w:pos="9020"/>
            </w:tabs>
            <w:spacing w:before="20" w:after="20"/>
            <w:ind w:left="360"/>
          </w:pPr>
          <w:hyperlink w:anchor="_TocV11_18" w:history="1">
            <w:r>
              <w:rPr>
                <w:rFonts w:ascii="Calibri" w:cs="Calibri" w:eastAsia="Calibri" w:hAnsi="Calibri"/>
                <w:sz w:val="20"/>
                <w:szCs w:val="20"/>
              </w:rPr>
              <w:t xml:space="preserve">4.9 M09 — Clearance, Graduation &amp; Alumni</w:t>
            </w:r>
            <w:r>
              <w:rPr>
                <w:rFonts w:ascii="Calibri" w:cs="Calibri" w:eastAsia="Calibri" w:hAnsi="Calibri"/>
                <w:sz w:val="20"/>
                <w:szCs w:val="20"/>
              </w:rPr>
              <w:tab/>
              <w:t>16</w:t>
            </w:r>
          </w:hyperlink>
        </w:p>
        <w:p>
          <w:pPr>
            <w:tabs>
              <w:tab w:val="right" w:leader="dot" w:pos="9020"/>
            </w:tabs>
            <w:spacing w:before="20" w:after="20"/>
            <w:ind w:left="360"/>
          </w:pPr>
          <w:hyperlink w:anchor="_TocV11_19" w:history="1">
            <w:r>
              <w:rPr>
                <w:rFonts w:ascii="Calibri" w:cs="Calibri" w:eastAsia="Calibri" w:hAnsi="Calibri"/>
                <w:sz w:val="20"/>
                <w:szCs w:val="20"/>
              </w:rPr>
              <w:t xml:space="preserve">4.10 M10 — Student Self-Service</w:t>
            </w:r>
            <w:r>
              <w:rPr>
                <w:rFonts w:ascii="Calibri" w:cs="Calibri" w:eastAsia="Calibri" w:hAnsi="Calibri"/>
                <w:sz w:val="20"/>
                <w:szCs w:val="20"/>
              </w:rPr>
              <w:tab/>
              <w:t>16</w:t>
            </w:r>
          </w:hyperlink>
        </w:p>
        <w:p>
          <w:pPr>
            <w:tabs>
              <w:tab w:val="right" w:leader="dot" w:pos="9020"/>
            </w:tabs>
            <w:spacing w:before="20" w:after="20"/>
            <w:ind w:left="360"/>
          </w:pPr>
          <w:hyperlink w:anchor="_TocV11_20" w:history="1">
            <w:r>
              <w:rPr>
                <w:rFonts w:ascii="Calibri" w:cs="Calibri" w:eastAsia="Calibri" w:hAnsi="Calibri"/>
                <w:sz w:val="20"/>
                <w:szCs w:val="20"/>
              </w:rPr>
              <w:t xml:space="preserve">4.11 M11 — Reports &amp; Dashboards</w:t>
            </w:r>
            <w:r>
              <w:rPr>
                <w:rFonts w:ascii="Calibri" w:cs="Calibri" w:eastAsia="Calibri" w:hAnsi="Calibri"/>
                <w:sz w:val="20"/>
                <w:szCs w:val="20"/>
              </w:rPr>
              <w:tab/>
              <w:t>17</w:t>
            </w:r>
          </w:hyperlink>
        </w:p>
        <w:p>
          <w:pPr>
            <w:tabs>
              <w:tab w:val="right" w:leader="dot" w:pos="9020"/>
            </w:tabs>
            <w:spacing w:before="20" w:after="20"/>
            <w:ind w:left="360"/>
          </w:pPr>
          <w:hyperlink w:anchor="_TocV11_21" w:history="1">
            <w:r>
              <w:rPr>
                <w:rFonts w:ascii="Calibri" w:cs="Calibri" w:eastAsia="Calibri" w:hAnsi="Calibri"/>
                <w:sz w:val="20"/>
                <w:szCs w:val="20"/>
              </w:rPr>
              <w:t xml:space="preserve">4.12 M12 — Communication</w:t>
            </w:r>
            <w:r>
              <w:rPr>
                <w:rFonts w:ascii="Calibri" w:cs="Calibri" w:eastAsia="Calibri" w:hAnsi="Calibri"/>
                <w:sz w:val="20"/>
                <w:szCs w:val="20"/>
              </w:rPr>
              <w:tab/>
              <w:t>17</w:t>
            </w:r>
          </w:hyperlink>
        </w:p>
        <w:p>
          <w:pPr>
            <w:tabs>
              <w:tab w:val="right" w:leader="dot" w:pos="9020"/>
            </w:tabs>
            <w:spacing w:before="20" w:after="20"/>
            <w:ind w:left="360"/>
          </w:pPr>
          <w:hyperlink w:anchor="_TocV11_22" w:history="1">
            <w:r>
              <w:rPr>
                <w:rFonts w:ascii="Calibri" w:cs="Calibri" w:eastAsia="Calibri" w:hAnsi="Calibri"/>
                <w:sz w:val="20"/>
                <w:szCs w:val="20"/>
              </w:rPr>
              <w:t xml:space="preserve">4.13 M13 — Administration &amp; Security</w:t>
            </w:r>
            <w:r>
              <w:rPr>
                <w:rFonts w:ascii="Calibri" w:cs="Calibri" w:eastAsia="Calibri" w:hAnsi="Calibri"/>
                <w:sz w:val="20"/>
                <w:szCs w:val="20"/>
              </w:rPr>
              <w:tab/>
              <w:t>17</w:t>
            </w:r>
          </w:hyperlink>
        </w:p>
        <w:p>
          <w:pPr>
            <w:tabs>
              <w:tab w:val="right" w:leader="dot" w:pos="9020"/>
            </w:tabs>
            <w:spacing w:before="20" w:after="20"/>
            <w:ind w:left="360"/>
          </w:pPr>
          <w:hyperlink w:anchor="_TocV11_23" w:history="1">
            <w:r>
              <w:rPr>
                <w:rFonts w:ascii="Calibri" w:cs="Calibri" w:eastAsia="Calibri" w:hAnsi="Calibri"/>
                <w:sz w:val="20"/>
                <w:szCs w:val="20"/>
              </w:rPr>
              <w:t xml:space="preserve">4.14 M14 — Integration Hub</w:t>
            </w:r>
            <w:r>
              <w:rPr>
                <w:rFonts w:ascii="Calibri" w:cs="Calibri" w:eastAsia="Calibri" w:hAnsi="Calibri"/>
                <w:sz w:val="20"/>
                <w:szCs w:val="20"/>
              </w:rPr>
              <w:tab/>
              <w:t>18</w:t>
            </w:r>
          </w:hyperlink>
        </w:p>
        <w:p>
          <w:pPr>
            <w:tabs>
              <w:tab w:val="right" w:leader="dot" w:pos="9020"/>
            </w:tabs>
            <w:spacing w:before="120" w:after="20"/>
            <w:ind w:left="0"/>
          </w:pPr>
          <w:hyperlink w:anchor="_TocV11_24" w:history="1">
            <w:r>
              <w:rPr>
                <w:rFonts w:ascii="Calibri" w:cs="Calibri" w:eastAsia="Calibri" w:hAnsi="Calibri"/>
                <w:b/>
                <w:bCs/>
                <w:color w:val="1F3864"/>
                <w:sz w:val="21"/>
                <w:szCs w:val="21"/>
              </w:rPr>
              <w:t xml:space="preserve">5. Grading and Regulations Configuration</w:t>
            </w:r>
            <w:r>
              <w:rPr>
                <w:rFonts w:ascii="Calibri" w:cs="Calibri" w:eastAsia="Calibri" w:hAnsi="Calibri"/>
                <w:b/>
                <w:bCs/>
                <w:color w:val="1F3864"/>
                <w:sz w:val="21"/>
                <w:szCs w:val="21"/>
              </w:rPr>
              <w:tab/>
              <w:t>18</w:t>
            </w:r>
          </w:hyperlink>
        </w:p>
        <w:p>
          <w:pPr>
            <w:tabs>
              <w:tab w:val="right" w:leader="dot" w:pos="9020"/>
            </w:tabs>
            <w:spacing w:before="120" w:after="20"/>
            <w:ind w:left="0"/>
          </w:pPr>
          <w:hyperlink w:anchor="_TocV11_25" w:history="1">
            <w:r>
              <w:rPr>
                <w:rFonts w:ascii="Calibri" w:cs="Calibri" w:eastAsia="Calibri" w:hAnsi="Calibri"/>
                <w:b/>
                <w:bCs/>
                <w:color w:val="1F3864"/>
                <w:sz w:val="21"/>
                <w:szCs w:val="21"/>
              </w:rPr>
              <w:t xml:space="preserve">6. Key Use Cases</w:t>
            </w:r>
            <w:r>
              <w:rPr>
                <w:rFonts w:ascii="Calibri" w:cs="Calibri" w:eastAsia="Calibri" w:hAnsi="Calibri"/>
                <w:b/>
                <w:bCs/>
                <w:color w:val="1F3864"/>
                <w:sz w:val="21"/>
                <w:szCs w:val="21"/>
              </w:rPr>
              <w:tab/>
              <w:t>20</w:t>
            </w:r>
          </w:hyperlink>
        </w:p>
        <w:p>
          <w:pPr>
            <w:tabs>
              <w:tab w:val="right" w:leader="dot" w:pos="9020"/>
            </w:tabs>
            <w:spacing w:before="120" w:after="20"/>
            <w:ind w:left="0"/>
          </w:pPr>
          <w:hyperlink w:anchor="_TocV11_26" w:history="1">
            <w:r>
              <w:rPr>
                <w:rFonts w:ascii="Calibri" w:cs="Calibri" w:eastAsia="Calibri" w:hAnsi="Calibri"/>
                <w:b/>
                <w:bCs/>
                <w:color w:val="1F3864"/>
                <w:sz w:val="21"/>
                <w:szCs w:val="21"/>
              </w:rPr>
              <w:t xml:space="preserve">7. Standard Report Catalogue</w:t>
            </w:r>
            <w:r>
              <w:rPr>
                <w:rFonts w:ascii="Calibri" w:cs="Calibri" w:eastAsia="Calibri" w:hAnsi="Calibri"/>
                <w:b/>
                <w:bCs/>
                <w:color w:val="1F3864"/>
                <w:sz w:val="21"/>
                <w:szCs w:val="21"/>
              </w:rPr>
              <w:tab/>
              <w:t>21</w:t>
            </w:r>
          </w:hyperlink>
        </w:p>
        <w:p>
          <w:pPr>
            <w:tabs>
              <w:tab w:val="right" w:leader="dot" w:pos="9020"/>
            </w:tabs>
            <w:spacing w:before="120" w:after="20"/>
            <w:ind w:left="0"/>
          </w:pPr>
          <w:hyperlink w:anchor="_TocV11_27" w:history="1">
            <w:r>
              <w:rPr>
                <w:rFonts w:ascii="Calibri" w:cs="Calibri" w:eastAsia="Calibri" w:hAnsi="Calibri"/>
                <w:b/>
                <w:bCs/>
                <w:color w:val="1F3864"/>
                <w:sz w:val="21"/>
                <w:szCs w:val="21"/>
              </w:rPr>
              <w:t xml:space="preserve">8. Non-Functional Requirements</w:t>
            </w:r>
            <w:r>
              <w:rPr>
                <w:rFonts w:ascii="Calibri" w:cs="Calibri" w:eastAsia="Calibri" w:hAnsi="Calibri"/>
                <w:b/>
                <w:bCs/>
                <w:color w:val="1F3864"/>
                <w:sz w:val="21"/>
                <w:szCs w:val="21"/>
              </w:rPr>
              <w:tab/>
              <w:t>22</w:t>
            </w:r>
          </w:hyperlink>
        </w:p>
        <w:p>
          <w:pPr>
            <w:tabs>
              <w:tab w:val="right" w:leader="dot" w:pos="9020"/>
            </w:tabs>
            <w:spacing w:before="120" w:after="20"/>
            <w:ind w:left="0"/>
          </w:pPr>
          <w:hyperlink w:anchor="_TocV11_28" w:history="1">
            <w:r>
              <w:rPr>
                <w:rFonts w:ascii="Calibri" w:cs="Calibri" w:eastAsia="Calibri" w:hAnsi="Calibri"/>
                <w:b/>
                <w:bCs/>
                <w:color w:val="1F3864"/>
                <w:sz w:val="21"/>
                <w:szCs w:val="21"/>
              </w:rPr>
              <w:t xml:space="preserve">9. Requirements Traceability Matrix</w:t>
            </w:r>
            <w:r>
              <w:rPr>
                <w:rFonts w:ascii="Calibri" w:cs="Calibri" w:eastAsia="Calibri" w:hAnsi="Calibri"/>
                <w:b/>
                <w:bCs/>
                <w:color w:val="1F3864"/>
                <w:sz w:val="21"/>
                <w:szCs w:val="21"/>
              </w:rPr>
              <w:tab/>
              <w:t>23</w:t>
            </w:r>
          </w:hyperlink>
        </w:p>
        <w:p>
          <w:pPr>
            <w:tabs>
              <w:tab w:val="right" w:leader="dot" w:pos="9020"/>
            </w:tabs>
            <w:spacing w:before="120" w:after="20"/>
            <w:ind w:left="0"/>
          </w:pPr>
          <w:hyperlink w:anchor="_TocV11_29" w:history="1">
            <w:r>
              <w:rPr>
                <w:rFonts w:ascii="Calibri" w:cs="Calibri" w:eastAsia="Calibri" w:hAnsi="Calibri"/>
                <w:b/>
                <w:bCs/>
                <w:color w:val="1F3864"/>
                <w:sz w:val="21"/>
                <w:szCs w:val="21"/>
              </w:rPr>
              <w:t xml:space="preserve">10. Acceptance Criteria</w:t>
            </w:r>
            <w:r>
              <w:rPr>
                <w:rFonts w:ascii="Calibri" w:cs="Calibri" w:eastAsia="Calibri" w:hAnsi="Calibri"/>
                <w:b/>
                <w:bCs/>
                <w:color w:val="1F3864"/>
                <w:sz w:val="21"/>
                <w:szCs w:val="21"/>
              </w:rPr>
              <w:tab/>
              <w:t>24</w:t>
            </w:r>
          </w:hyperlink>
        </w:p>
        <w:p>
          <w:pPr>
            <w:tabs>
              <w:tab w:val="right" w:leader="dot" w:pos="9020"/>
            </w:tabs>
            <w:spacing w:before="120" w:after="20"/>
            <w:ind w:left="0"/>
          </w:pPr>
          <w:hyperlink w:anchor="_TocV11_30" w:history="1">
            <w:r>
              <w:rPr>
                <w:rFonts w:ascii="Calibri" w:cs="Calibri" w:eastAsia="Calibri" w:hAnsi="Calibri"/>
                <w:b/>
                <w:bCs/>
                <w:color w:val="1F3864"/>
                <w:sz w:val="21"/>
                <w:szCs w:val="21"/>
              </w:rPr>
              <w:t xml:space="preserve">11. As-Built Status (October 2026)</w:t>
            </w:r>
            <w:r>
              <w:rPr>
                <w:rFonts w:ascii="Calibri" w:cs="Calibri" w:eastAsia="Calibri" w:hAnsi="Calibri"/>
                <w:b/>
                <w:bCs/>
                <w:color w:val="1F3864"/>
                <w:sz w:val="21"/>
                <w:szCs w:val="21"/>
              </w:rPr>
              <w:tab/>
              <w:t>24</w:t>
            </w:r>
          </w:hyperlink>
        </w:p>
        <w:p>
          <w:pPr>
            <w:tabs>
              <w:tab w:val="right" w:leader="dot" w:pos="9020"/>
            </w:tabs>
            <w:spacing w:before="20" w:after="20"/>
            <w:ind w:left="360"/>
          </w:pPr>
          <w:hyperlink w:anchor="_TocV11_31" w:history="1">
            <w:r>
              <w:rPr>
                <w:rFonts w:ascii="Calibri" w:cs="Calibri" w:eastAsia="Calibri" w:hAnsi="Calibri"/>
                <w:sz w:val="20"/>
                <w:szCs w:val="20"/>
              </w:rPr>
              <w:t xml:space="preserve">11.1 Functional requirements</w:t>
            </w:r>
            <w:r>
              <w:rPr>
                <w:rFonts w:ascii="Calibri" w:cs="Calibri" w:eastAsia="Calibri" w:hAnsi="Calibri"/>
                <w:sz w:val="20"/>
                <w:szCs w:val="20"/>
              </w:rPr>
              <w:tab/>
              <w:t>24</w:t>
            </w:r>
          </w:hyperlink>
        </w:p>
        <w:p>
          <w:pPr>
            <w:tabs>
              <w:tab w:val="right" w:leader="dot" w:pos="9020"/>
            </w:tabs>
            <w:spacing w:before="20" w:after="20"/>
            <w:ind w:left="360"/>
          </w:pPr>
          <w:hyperlink w:anchor="_TocV11_32" w:history="1">
            <w:r>
              <w:rPr>
                <w:rFonts w:ascii="Calibri" w:cs="Calibri" w:eastAsia="Calibri" w:hAnsi="Calibri"/>
                <w:sz w:val="20"/>
                <w:szCs w:val="20"/>
              </w:rPr>
              <w:t xml:space="preserve">11.2 Non-functional requirements</w:t>
            </w:r>
            <w:r>
              <w:rPr>
                <w:rFonts w:ascii="Calibri" w:cs="Calibri" w:eastAsia="Calibri" w:hAnsi="Calibri"/>
                <w:sz w:val="20"/>
                <w:szCs w:val="20"/>
              </w:rPr>
              <w:tab/>
              <w:t>28</w:t>
            </w:r>
          </w:hyperlink>
        </w:p>
        <w:p>
          <w:pPr>
            <w:tabs>
              <w:tab w:val="right" w:leader="dot" w:pos="9020"/>
            </w:tabs>
            <w:spacing w:before="20" w:after="20"/>
            <w:ind w:left="360"/>
          </w:pPr>
          <w:hyperlink w:anchor="_TocV11_33" w:history="1">
            <w:r>
              <w:rPr>
                <w:rFonts w:ascii="Calibri" w:cs="Calibri" w:eastAsia="Calibri" w:hAnsi="Calibri"/>
                <w:sz w:val="20"/>
                <w:szCs w:val="20"/>
              </w:rPr>
              <w:t xml:space="preserve">11.3 Standard reports as built</w:t>
            </w:r>
            <w:r>
              <w:rPr>
                <w:rFonts w:ascii="Calibri" w:cs="Calibri" w:eastAsia="Calibri" w:hAnsi="Calibri"/>
                <w:sz w:val="20"/>
                <w:szCs w:val="20"/>
              </w:rPr>
              <w:tab/>
              <w:t>29</w:t>
            </w:r>
          </w:hyperlink>
        </w:p>
        <w:p>
          <w:pPr>
            <w:tabs>
              <w:tab w:val="right" w:leader="dot" w:pos="9020"/>
            </w:tabs>
            <w:spacing w:before="20" w:after="20"/>
            <w:ind w:left="360"/>
          </w:pPr>
          <w:hyperlink w:anchor="_TocV11_34" w:history="1">
            <w:r>
              <w:rPr>
                <w:rFonts w:ascii="Calibri" w:cs="Calibri" w:eastAsia="Calibri" w:hAnsi="Calibri"/>
                <w:sz w:val="20"/>
                <w:szCs w:val="20"/>
              </w:rPr>
              <w:t xml:space="preserve">11.4 Regulations as configured</w:t>
            </w:r>
            <w:r>
              <w:rPr>
                <w:rFonts w:ascii="Calibri" w:cs="Calibri" w:eastAsia="Calibri" w:hAnsi="Calibri"/>
                <w:sz w:val="20"/>
                <w:szCs w:val="20"/>
              </w:rPr>
              <w:tab/>
              <w:t>30</w:t>
            </w:r>
          </w:hyperlink>
        </w:p>
        <w:p>
          <w:pPr>
            <w:tabs>
              <w:tab w:val="right" w:leader="dot" w:pos="9020"/>
            </w:tabs>
            <w:spacing w:before="20" w:after="20"/>
            <w:ind w:left="360"/>
          </w:pPr>
          <w:hyperlink w:anchor="_TocV11_35" w:history="1">
            <w:r>
              <w:rPr>
                <w:rFonts w:ascii="Calibri" w:cs="Calibri" w:eastAsia="Calibri" w:hAnsi="Calibri"/>
                <w:sz w:val="20"/>
                <w:szCs w:val="20"/>
              </w:rPr>
              <w:t xml:space="preserve">11.5 Integration test server</w:t>
            </w:r>
            <w:r>
              <w:rPr>
                <w:rFonts w:ascii="Calibri" w:cs="Calibri" w:eastAsia="Calibri" w:hAnsi="Calibri"/>
                <w:sz w:val="20"/>
                <w:szCs w:val="20"/>
              </w:rPr>
              <w:tab/>
              <w:t>30</w:t>
            </w:r>
          </w:hyperlink>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bookmarkStart w:id="1" w:name="_TocV11_1"/>
      <w:r>
        <w:rPr>
          <w:rFonts w:ascii="Calibri" w:cs="Calibri" w:eastAsia="Calibri" w:hAnsi="Calibri"/>
        </w:rPr>
        <w:t xml:space="preserve">1. Introduction</w:t>
      </w:r>
      <w:bookmarkEnd w:id="1"/>
    </w:p>
    <w:p>
      <w:pPr>
        <w:spacing w:after="300"/>
      </w:pPr>
      <w:r>
        <w:rPr>
          <w:i/>
          <w:rFonts w:ascii="Calibri" w:cs="Calibri" w:eastAsia="Calibri" w:hAnsi="Calibri"/>
          <w:color w:val="595959"/>
          <w:sz w:val="22"/>
          <w:szCs w:val="22"/>
        </w:rPr>
        <w:t xml:space="preserve">This section explains what this specification is for, what it covers and how its requirements are written, so that readers can interpret every requirement in the same way.</w:t>
      </w:r>
    </w:p>
    <w:p>
      <w:pPr>
        <w:pStyle w:val="Heading2"/>
      </w:pPr>
      <w:bookmarkStart w:id="2" w:name="_TocV11_2"/>
      <w:r>
        <w:rPr>
          <w:rFonts w:ascii="Calibri" w:cs="Calibri" w:eastAsia="Calibri" w:hAnsi="Calibri"/>
        </w:rPr>
        <w:t xml:space="preserve">1.1 Purpose and scope</w:t>
      </w:r>
      <w:bookmarkEnd w:id="2"/>
    </w:p>
    <w:p>
      <w:pPr>
        <w:spacing w:after="300"/>
      </w:pPr>
      <w:r>
        <w:rPr>
          <w:i/>
          <w:rFonts w:ascii="Calibri" w:cs="Calibri" w:eastAsia="Calibri" w:hAnsi="Calibri"/>
          <w:color w:val="595959"/>
          <w:sz w:val="22"/>
          <w:szCs w:val="22"/>
        </w:rPr>
        <w:t xml:space="preserve">The purpose and scope explain how this document turns the business needs agreed in Document 02 into requirements precise enough to design, build and test against.</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bookmarkStart w:id="3" w:name="_TocV11_3"/>
      <w:r>
        <w:rPr>
          <w:rFonts w:ascii="Calibri" w:cs="Calibri" w:eastAsia="Calibri" w:hAnsi="Calibri"/>
        </w:rPr>
        <w:t xml:space="preserve">1.2 Conventions</w:t>
      </w:r>
      <w:bookmarkEnd w:id="3"/>
    </w:p>
    <w:p>
      <w:pPr>
        <w:spacing w:after="300"/>
      </w:pPr>
      <w:r>
        <w:rPr>
          <w:i/>
          <w:rFonts w:ascii="Calibri" w:cs="Calibri" w:eastAsia="Calibri" w:hAnsi="Calibri"/>
          <w:color w:val="595959"/>
          <w:sz w:val="22"/>
          <w:szCs w:val="22"/>
        </w:rPr>
        <w:t xml:space="preserve">Requirements follow a few naming and priority conventions. Knowing them makes the tables in this document quick to read.</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2"/>
      </w:pPr>
      <w:bookmarkStart w:id="36" w:name="_TocV11_36"/>
      <w:r>
        <w:rPr>
          <w:rFonts w:ascii="Calibri" w:cs="Calibri" w:eastAsia="Calibri" w:hAnsi="Calibri"/>
        </w:rPr>
        <w:t xml:space="preserve">1.3 Abbreviations and glossary</w:t>
      </w:r>
      <w:bookmarkEnd w:id="36"/>
    </w:p>
    <w:p>
      <w:pPr>
        <w:spacing w:after="300"/>
      </w:pPr>
      <w:r>
        <w:rPr>
          <w:i/>
          <w:rFonts w:ascii="Calibri" w:cs="Calibri" w:eastAsia="Calibri" w:hAnsi="Calibri"/>
          <w:color w:val="595959"/>
          <w:sz w:val="22"/>
          <w:szCs w:val="22"/>
        </w:rPr>
        <w:t xml:space="preserve">This table explains the abbreviations and specialised terms used in this document, so that readers from any office can follow it. Only terms that appear in this document are listed.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Term</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Meaning</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Advanced Certificate of Secondary Education Examination (Form Six),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window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period, for one academic year and intake, during which applicants can apply for the programmes offered.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Programming Interface: the way two systems exchange data automatically.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ASVS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Application Security Verification Standard (OWASP): a checklist of security requirements used for review.</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Award Verification Number issued by NACTVET for NTA awards, used to verify prior qualifications.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identifier in Document 04 (for example BP-02 Online Application and Fee Payment).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 identifier in Document 02 (for example BR-03).</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BRU</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rule identifier in Document 02 (for example BRU-06).</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CA / 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assessment (coursework, tests, practicals) / semester examination.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Cumulative grade point average over all semesters of a programme.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 / CD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Continuous integration / continuous delivery: every change is built and tested automatically, and released by an automated pipeline.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CIMS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College/Institution Management System, the system these documents describe.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Clearance gate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fees rule that must be met before registration, examinations, results, hostel or graduation.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Control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GePG number used to pay an invoice through a bank or mobile money.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Credit note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document that reduces an invoice, used for approved waivers, discounts, scholarships and refunds of fees paid.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CSEE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Certificate of Secondary Education Examination (Form Four), results from NECTA.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CSV</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Comma-separated values: a plain spreadsheet file that most systems can import and export.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Docker / Kubernetes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Software that packages and runs CIMS and its parts on servers (Docker), and runs them across many servers (Kubernetes).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East Africa Time (UTC+3), the time zone CIMS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Entry level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level an applicant may apply at, set by their highest verified qualification (as in NOAS).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ERP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Enterprise resource planning system, for example the government MUSE financial system.</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tool that applies database migrations in order when CIMS starts.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 / NFR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 non-functional requirement identifier in Document 03 (for example FR-ADM-01, NFR-SEC-01).</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GePG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electronic Payment Gateway: issues control numbers and confirms payments for public institutions.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GFS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Government Finance Statistics code: the revenue classification of a fee item used by GePG and MUSE.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GPA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Grade point average for a semester or year, computed under the regulations of the award level.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Hand-over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Registry turning an accepted applicant into a student: record, registration number and portal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HESLB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Higher Education Students' Loans Board: funds eligible students in eligible programmes.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HSTS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HTTP Strict Transport Security: tells browsers to use only encrypted (HTTPS) connections.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ICT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Information and communication technology.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card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identity card, printed from CIMS with a verification code.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Invigilator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member of staff who supervises candidates during an examination paper.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IPT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Industrial practical training: assessed field attachment in a workplace.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JSON / JSONB</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JavaScript Object Notation: a text format for structured data; JSONB is PostgreSQL's stored form of it.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Keycloak</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open-source sign-in server that could provide single sign-on across systems in future.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MFA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Multi-factor authentication: signing in with a password and a second proof, such as a code from an authenticator app (two-step sign-in).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numbered script that changes the database structure; applied in order by Flyway and never edited once applied.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MoSCoW</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Priority scale used for requirements: Must, Should, Could (and Won't this time).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Multiple admission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applicant admitted by more than one institution; NACTVET sends a confirmation code to choose one.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MUSE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government financial management (ERP) system to which public institutions post revenue.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NACTVET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Council for Technical and Vocational Education and Training: the regulator of TVET institutions and awards.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NECTA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Examinations Council of Tanzania: source of CSEE and ACSEE results.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NIDA / NIN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Identification Authority / National Identification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NTA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Technical Award, Levels 4–8 (Basic Technician Certificate to Bachelor Degree).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NVA</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National Vocational Award, Levels I–III (certificates of competence, awarded through VETA).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One-time password: a short code sent by SMS to verify a phone number.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Open Worldwide Application Security Project, which publishes security standards such as the Top 10 and ASVS.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Payment reference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number a private institution's payer quotes when paying into its own bank or mobile-money account.</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PDF</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Portable Document Format, used for letters, statements, certificates and reports.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PostgreSQL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open-source database CIMS stores its data in.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QR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square barcode printed on documents; scanning it opens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Registration number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student's permanent number, generated at hand-over and never changed or reused.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common style of web API that CIMS uses to exchange data with other systems.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Row-level security: the database rule that each institution sees only its own rows.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Simulator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 stand-in for an outside system (for example NACTVET or GePG) used for testing until the live interface is available.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Short message service: text messages to mobile phones.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SMTP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Simple Mail Transfer Protocol, used to send email.</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SRS / BRD</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 (Document 03) / Business Requirements Document (Document 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TAMISEMI</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President's Office – Regional Administration and Local Government, which selects some students centrally.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institution's isolated space within the shared CIMS platform, with its own branding, users, data and settings.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TLS</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Transport Layer Security: the encryption behind HTTPS.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UC</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 case identifier in Document 03 (for example UC-02).</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code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The code printed (with a QR code) on letters, statements, certificates and ID cards, checked on the verification page.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Waiver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 approved reduction of what a student owes on an invoice.</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WAL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Write-ahead log: PostgreSQL's change log, archived for point-in-time recovery.</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WCAG</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Web Content Accessibility Guidelines; CIMS targets version 2.1, levels A and AA.</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XML</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Extensible Markup Language, the message format GePG uses.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ZAP</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OWASP Zed Attack Proxy: the tool that scans the running web app in continuous integration.</w:t>
            </w:r>
          </w:p>
        </w:tc>
      </w:tr>
    </w:tbl>
    <w:p>
      <w:pPr>
        <w:spacing w:after="300"/>
      </w:pPr>
      <w:r>
        <w:rPr>
          <w:i/>
          <w:rFonts w:ascii="Calibri" w:cs="Calibri" w:eastAsia="Calibri" w:hAnsi="Calibri"/>
          <w:color w:val="595959"/>
          <w:sz w:val="22"/>
          <w:szCs w:val="22"/>
        </w:rPr>
        <w:t xml:space="preserve"/>
      </w:r>
    </w:p>
    <w:p>
      <w:pPr>
        <w:pStyle w:val="Heading1"/>
      </w:pPr>
      <w:bookmarkStart w:id="4" w:name="_TocV11_4"/>
      <w:r>
        <w:rPr>
          <w:rFonts w:ascii="Calibri" w:cs="Calibri" w:eastAsia="Calibri" w:hAnsi="Calibri"/>
        </w:rPr>
        <w:t xml:space="preserve">2. System Overview</w:t>
      </w:r>
      <w:bookmarkEnd w:id="4"/>
    </w:p>
    <w:p>
      <w:pPr>
        <w:spacing w:after="300"/>
      </w:pPr>
      <w:r>
        <w:rPr>
          <w:i/>
          <w:rFonts w:ascii="Calibri" w:cs="Calibri" w:eastAsia="Calibri" w:hAnsi="Calibri"/>
          <w:color w:val="595959"/>
          <w:sz w:val="22"/>
          <w:szCs w:val="22"/>
        </w:rPr>
        <w:t xml:space="preserve">This section gives a short picture of CIMS as a whole: who uses it, how institutions share one platform safely, and which outside systems it connects to. It is the context for the detailed requirements that follow.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bookmarkStart w:id="5" w:name="_TocV11_5"/>
      <w:r>
        <w:rPr>
          <w:rFonts w:ascii="Calibri" w:cs="Calibri" w:eastAsia="Calibri" w:hAnsi="Calibri"/>
        </w:rPr>
        <w:t xml:space="preserve">3. User Roles and Access</w:t>
      </w:r>
      <w:bookmarkEnd w:id="5"/>
    </w:p>
    <w:p>
      <w:pPr>
        <w:spacing w:after="300"/>
      </w:pPr>
      <w:r>
        <w:rPr>
          <w:i/>
          <w:rFonts w:ascii="Calibri" w:cs="Calibri" w:eastAsia="Calibri" w:hAnsi="Calibri"/>
          <w:color w:val="595959"/>
          <w:sz w:val="22"/>
          <w:szCs w:val="22"/>
        </w:rPr>
        <w:t xml:space="preserve">Different people at an institution need different things from CIMS and must see only the data their job requires. This section defines the user roles and what each may do.</w:t>
      </w:r>
    </w:p>
    <w:p>
      <w:pPr>
        <w:pStyle w:val="Heading2"/>
      </w:pPr>
      <w:bookmarkStart w:id="6" w:name="_TocV11_6"/>
      <w:r>
        <w:rPr>
          <w:rFonts w:ascii="Calibri" w:cs="Calibri" w:eastAsia="Calibri" w:hAnsi="Calibri"/>
        </w:rPr>
        <w:t xml:space="preserve">3.1 Roles</w:t>
      </w:r>
      <w:bookmarkEnd w:id="6"/>
    </w:p>
    <w:p>
      <w:pPr>
        <w:spacing w:after="300"/>
      </w:pPr>
      <w:r>
        <w:rPr>
          <w:i/>
          <w:rFonts w:ascii="Calibri" w:cs="Calibri" w:eastAsia="Calibri" w:hAnsi="Calibri"/>
          <w:color w:val="595959"/>
          <w:sz w:val="22"/>
          <w:szCs w:val="22"/>
        </w:rPr>
        <w:t xml:space="preserve">The table names each role, its main responsibilities and the range of data it can see by default (for example one department or the whole institution).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bookmarkStart w:id="7" w:name="_TocV11_7"/>
      <w:r>
        <w:rPr>
          <w:rFonts w:ascii="Calibri" w:cs="Calibri" w:eastAsia="Calibri" w:hAnsi="Calibri"/>
        </w:rPr>
        <w:t xml:space="preserve">3.2 Permission matrix (summary)</w:t>
      </w:r>
      <w:bookmarkEnd w:id="7"/>
    </w:p>
    <w:p>
      <w:pPr>
        <w:spacing w:after="300"/>
      </w:pPr>
      <w:r>
        <w:rPr>
          <w:i/>
          <w:rFonts w:ascii="Calibri" w:cs="Calibri" w:eastAsia="Calibri" w:hAnsi="Calibri"/>
          <w:color w:val="595959"/>
          <w:sz w:val="22"/>
          <w:szCs w:val="22"/>
        </w:rPr>
        <w:t xml:space="preserve">The permission matrix shows, for each area of work, which roles may create, approve or only read records. It lets offices confirm that duties are separated correctly.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bookmarkStart w:id="8" w:name="_TocV11_8"/>
      <w:r>
        <w:rPr>
          <w:rFonts w:ascii="Calibri" w:cs="Calibri" w:eastAsia="Calibri" w:hAnsi="Calibri"/>
        </w:rPr>
        <w:t xml:space="preserve">3.3 Roles as built (October 2026)</w:t>
      </w:r>
      <w:bookmarkEnd w:id="8"/>
    </w:p>
    <w:p>
      <w:pPr>
        <w:spacing w:after="300"/>
      </w:pPr>
      <w:r>
        <w:rPr>
          <w:i/>
          <w:rFonts w:ascii="Calibri" w:cs="Calibri" w:eastAsia="Calibri" w:hAnsi="Calibri"/>
          <w:color w:val="595959"/>
          <w:sz w:val="22"/>
          <w:szCs w:val="22"/>
        </w:rPr>
        <w:t xml:space="preserve">This sub-section describes the roles as they exist in the system built in October 2026, including where they differ from the plan above.</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bookmarkStart w:id="9" w:name="_TocV11_9"/>
      <w:r>
        <w:rPr>
          <w:rFonts w:ascii="Calibri" w:cs="Calibri" w:eastAsia="Calibri" w:hAnsi="Calibri"/>
        </w:rPr>
        <w:t xml:space="preserve">4. Functional Requirements</w:t>
      </w:r>
      <w:bookmarkEnd w:id="9"/>
    </w:p>
    <w:p>
      <w:pPr>
        <w:spacing w:after="300"/>
      </w:pPr>
      <w:r>
        <w:rPr>
          <w:i/>
          <w:rFonts w:ascii="Calibri" w:cs="Calibri" w:eastAsia="Calibri" w:hAnsi="Calibri"/>
          <w:color w:val="595959"/>
          <w:sz w:val="22"/>
          <w:szCs w:val="22"/>
        </w:rPr>
        <w:t xml:space="preserve">This section is the core of the specification: what the system shall do, module by module. Each module matches an area of the institution's work, and together they cover the full student lifecycle from application to graduation.</w:t>
      </w:r>
    </w:p>
    <w:p>
      <w:pPr>
        <w:pStyle w:val="Heading2"/>
      </w:pPr>
      <w:bookmarkStart w:id="10" w:name="_TocV11_10"/>
      <w:r>
        <w:rPr>
          <w:rFonts w:ascii="Calibri" w:cs="Calibri" w:eastAsia="Calibri" w:hAnsi="Calibri"/>
        </w:rPr>
        <w:t xml:space="preserve">4.1 M01 — Online Admission Portal</w:t>
      </w:r>
      <w:bookmarkEnd w:id="10"/>
    </w:p>
    <w:p>
      <w:pPr>
        <w:spacing w:after="300"/>
      </w:pPr>
      <w:r>
        <w:rPr>
          <w:i/>
          <w:rFonts w:ascii="Calibri" w:cs="Calibri" w:eastAsia="Calibri" w:hAnsi="Calibri"/>
          <w:color w:val="595959"/>
          <w:sz w:val="22"/>
          <w:szCs w:val="22"/>
        </w:rPr>
        <w:t xml:space="preserve">This sub-section lists what the system shall do for the online admission portal: applicant accounts, applications, eligibility checks, selection, offers and verification by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1" w:name="_TocV11_11"/>
      <w:r>
        <w:rPr>
          <w:rFonts w:ascii="Calibri" w:cs="Calibri" w:eastAsia="Calibri" w:hAnsi="Calibri"/>
        </w:rPr>
        <w:t xml:space="preserve">4.2 M02 — Student Registry</w:t>
      </w:r>
      <w:bookmarkEnd w:id="11"/>
    </w:p>
    <w:p>
      <w:pPr>
        <w:spacing w:after="300"/>
      </w:pPr>
      <w:r>
        <w:rPr>
          <w:i/>
          <w:rFonts w:ascii="Calibri" w:cs="Calibri" w:eastAsia="Calibri" w:hAnsi="Calibri"/>
          <w:color w:val="595959"/>
          <w:sz w:val="22"/>
          <w:szCs w:val="22"/>
        </w:rPr>
        <w:t xml:space="preserve">This sub-section lists what the system shall do for the student registry: creating the student record, registration numbers, semester registration and changes of status.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2" w:name="_TocV11_12"/>
      <w:r>
        <w:rPr>
          <w:rFonts w:ascii="Calibri" w:cs="Calibri" w:eastAsia="Calibri" w:hAnsi="Calibri"/>
        </w:rPr>
        <w:t xml:space="preserve">4.3 M03 — Academic Structure</w:t>
      </w:r>
      <w:bookmarkEnd w:id="12"/>
    </w:p>
    <w:p>
      <w:pPr>
        <w:spacing w:after="300"/>
      </w:pPr>
      <w:r>
        <w:rPr>
          <w:i/>
          <w:rFonts w:ascii="Calibri" w:cs="Calibri" w:eastAsia="Calibri" w:hAnsi="Calibri"/>
          <w:color w:val="595959"/>
          <w:sz w:val="22"/>
          <w:szCs w:val="22"/>
        </w:rPr>
        <w:t xml:space="preserve">This sub-section lists what the system shall do for the academic structure: campuses, departments, programmes, curricula, modules and academic calendars.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3" w:name="_TocV11_13"/>
      <w:r>
        <w:rPr>
          <w:rFonts w:ascii="Calibri" w:cs="Calibri" w:eastAsia="Calibri" w:hAnsi="Calibri"/>
        </w:rPr>
        <w:t xml:space="preserve">4.4 M04 — Teaching &amp; Attendance</w:t>
      </w:r>
      <w:bookmarkEnd w:id="13"/>
    </w:p>
    <w:p>
      <w:pPr>
        <w:spacing w:after="300"/>
      </w:pPr>
      <w:r>
        <w:rPr>
          <w:i/>
          <w:rFonts w:ascii="Calibri" w:cs="Calibri" w:eastAsia="Calibri" w:hAnsi="Calibri"/>
          <w:color w:val="595959"/>
          <w:sz w:val="22"/>
          <w:szCs w:val="22"/>
        </w:rPr>
        <w:t xml:space="preserve">This sub-section lists what the system shall do for teaching and attendance: module offerings, lecturer allocation, class lists and attendance records.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weekly class timetable of each semester: classes per module offering with day, time, venue, lecturer and group; refuse a venue or lecturer in two places at once; show clashes for planned classes (programme and year) and registered students, and rooms too small; publish to students with an optional SMS; print to Excel.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4" w:name="_TocV11_14"/>
      <w:r>
        <w:rPr>
          <w:rFonts w:ascii="Calibri" w:cs="Calibri" w:eastAsia="Calibri" w:hAnsi="Calibri"/>
        </w:rPr>
        <w:t xml:space="preserve">4.5 M05 — Assessment &amp; Examination</w:t>
      </w:r>
      <w:bookmarkEnd w:id="14"/>
    </w:p>
    <w:p>
      <w:pPr>
        <w:spacing w:after="300"/>
      </w:pPr>
      <w:r>
        <w:rPr>
          <w:i/>
          <w:rFonts w:ascii="Calibri" w:cs="Calibri" w:eastAsia="Calibri" w:hAnsi="Calibri"/>
          <w:color w:val="595959"/>
          <w:sz w:val="22"/>
          <w:szCs w:val="22"/>
        </w:rPr>
        <w:t xml:space="preserve">This sub-section lists what the system shall do for assessment and examinations: assessment plans, marks entry, moderation, results approval, supplementary examinations and submission to NACTVET.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FR-EXM-15</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the examination timetable of each semester: papers per module offering with date, time, venues and invigilators; refuse a registered student or an invigilator in two papers at once; show seats against candidates; publish to students with an optional SMS.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BR-43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bookmarkStart w:id="15" w:name="_TocV11_15"/>
      <w:r>
        <w:rPr>
          <w:rFonts w:ascii="Calibri" w:cs="Calibri" w:eastAsia="Calibri" w:hAnsi="Calibri"/>
        </w:rPr>
        <w:t xml:space="preserve">4.6 M06 — Finance &amp; Fees</w:t>
      </w:r>
      <w:bookmarkEnd w:id="15"/>
    </w:p>
    <w:p>
      <w:pPr>
        <w:spacing w:after="300"/>
      </w:pPr>
      <w:r>
        <w:rPr>
          <w:i/>
          <w:rFonts w:ascii="Calibri" w:cs="Calibri" w:eastAsia="Calibri" w:hAnsi="Calibri"/>
          <w:color w:val="595959"/>
          <w:sz w:val="22"/>
          <w:szCs w:val="22"/>
        </w:rPr>
        <w:t xml:space="preserve">This sub-section lists what the system shall do for finance and fees: fee structures, invoices, control numbers, payments, sponsors, waivers and refunds.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16" w:name="_TocV11_16"/>
      <w:r>
        <w:rPr>
          <w:rFonts w:ascii="Calibri" w:cs="Calibri" w:eastAsia="Calibri" w:hAnsi="Calibri"/>
        </w:rPr>
        <w:t xml:space="preserve">4.7 M07 — Hostel &amp; Accommodation</w:t>
      </w:r>
      <w:bookmarkEnd w:id="16"/>
    </w:p>
    <w:p>
      <w:pPr>
        <w:spacing w:after="300"/>
      </w:pPr>
      <w:r>
        <w:rPr>
          <w:i/>
          <w:rFonts w:ascii="Calibri" w:cs="Calibri" w:eastAsia="Calibri" w:hAnsi="Calibri"/>
          <w:color w:val="595959"/>
          <w:sz w:val="22"/>
          <w:szCs w:val="22"/>
        </w:rPr>
        <w:t xml:space="preserve">This sub-section lists what the system shall do for hostels and accommodation: rooms and beds, applications, allocation, check-in and charges.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7" w:name="_TocV11_17"/>
      <w:r>
        <w:rPr>
          <w:rFonts w:ascii="Calibri" w:cs="Calibri" w:eastAsia="Calibri" w:hAnsi="Calibri"/>
        </w:rPr>
        <w:t xml:space="preserve">4.8 M08 — Industrial Practical Training</w:t>
      </w:r>
      <w:bookmarkEnd w:id="17"/>
    </w:p>
    <w:p>
      <w:pPr>
        <w:spacing w:after="300"/>
      </w:pPr>
      <w:r>
        <w:rPr>
          <w:i/>
          <w:rFonts w:ascii="Calibri" w:cs="Calibri" w:eastAsia="Calibri" w:hAnsi="Calibri"/>
          <w:color w:val="595959"/>
          <w:sz w:val="22"/>
          <w:szCs w:val="22"/>
        </w:rPr>
        <w:t xml:space="preserve">This sub-section lists what the system shall do for industrial practical training: placements, supervisors, logbooks and assessment of field work.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8" w:name="_TocV11_18"/>
      <w:r>
        <w:rPr>
          <w:rFonts w:ascii="Calibri" w:cs="Calibri" w:eastAsia="Calibri" w:hAnsi="Calibri"/>
        </w:rPr>
        <w:t xml:space="preserve">4.9 M09 — Clearance, Graduation &amp; Alumni</w:t>
      </w:r>
      <w:bookmarkEnd w:id="18"/>
    </w:p>
    <w:p>
      <w:pPr>
        <w:spacing w:after="300"/>
      </w:pPr>
      <w:r>
        <w:rPr>
          <w:i/>
          <w:rFonts w:ascii="Calibri" w:cs="Calibri" w:eastAsia="Calibri" w:hAnsi="Calibri"/>
          <w:color w:val="595959"/>
          <w:sz w:val="22"/>
          <w:szCs w:val="22"/>
        </w:rPr>
        <w:t xml:space="preserve">This sub-section lists what the system shall do for clearance, graduation and alumni: clearance by each office, graduand lists, transcripts and certificates.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19" w:name="_TocV11_19"/>
      <w:r>
        <w:rPr>
          <w:rFonts w:ascii="Calibri" w:cs="Calibri" w:eastAsia="Calibri" w:hAnsi="Calibri"/>
        </w:rPr>
        <w:t xml:space="preserve">4.10 M10 — Student Self-Service</w:t>
      </w:r>
      <w:bookmarkEnd w:id="19"/>
    </w:p>
    <w:p>
      <w:pPr>
        <w:spacing w:after="300"/>
      </w:pPr>
      <w:r>
        <w:rPr>
          <w:i/>
          <w:rFonts w:ascii="Calibri" w:cs="Calibri" w:eastAsia="Calibri" w:hAnsi="Calibri"/>
          <w:color w:val="595959"/>
          <w:sz w:val="22"/>
          <w:szCs w:val="22"/>
        </w:rPr>
        <w:t xml:space="preserve">This sub-section lists what the system shall do for student self-service: the portal where students register, pay, see results and make requests themselves.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0" w:name="_TocV11_20"/>
      <w:r>
        <w:rPr>
          <w:rFonts w:ascii="Calibri" w:cs="Calibri" w:eastAsia="Calibri" w:hAnsi="Calibri"/>
        </w:rPr>
        <w:t xml:space="preserve">4.11 M11 — Reports &amp; Dashboards</w:t>
      </w:r>
      <w:bookmarkEnd w:id="20"/>
    </w:p>
    <w:p>
      <w:pPr>
        <w:spacing w:after="300"/>
      </w:pPr>
      <w:r>
        <w:rPr>
          <w:i/>
          <w:rFonts w:ascii="Calibri" w:cs="Calibri" w:eastAsia="Calibri" w:hAnsi="Calibri"/>
          <w:color w:val="595959"/>
          <w:sz w:val="22"/>
          <w:szCs w:val="22"/>
        </w:rPr>
        <w:t xml:space="preserve">This sub-section lists what the system shall do for reports and dashboards: the figures management and offices need, on screen and for export.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bookmarkStart w:id="21" w:name="_TocV11_21"/>
      <w:r>
        <w:rPr>
          <w:rFonts w:ascii="Calibri" w:cs="Calibri" w:eastAsia="Calibri" w:hAnsi="Calibri"/>
        </w:rPr>
        <w:t xml:space="preserve">4.12 M12 — Communication</w:t>
      </w:r>
      <w:bookmarkEnd w:id="21"/>
    </w:p>
    <w:p>
      <w:pPr>
        <w:spacing w:after="300"/>
      </w:pPr>
      <w:r>
        <w:rPr>
          <w:i/>
          <w:rFonts w:ascii="Calibri" w:cs="Calibri" w:eastAsia="Calibri" w:hAnsi="Calibri"/>
          <w:color w:val="595959"/>
          <w:sz w:val="22"/>
          <w:szCs w:val="22"/>
        </w:rPr>
        <w:t xml:space="preserve">This sub-section lists what the system shall do for communication: SMS, email and in-app messages, both automatic and sent in bulk.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FR-COM-04</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a helpdesk for applicants, students, staff and people without an account: requests in categories routed to the office that answers them, a conversation with attachments, notes only staff see, assignment, moving a request to another office, and SMS/email updates to the requester.</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Set a first-reply and a resolution target per category; stop the resolution clock while waiting for the requester; escalate overdue requests to the office and then the administrators; close resolved requests after 7 days; report performance by category, including whether the answer helped.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FR-COM-06</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Keep a knowledge base of answers by audience (applicants, students, staff, the public help page), searchable on the help pages, with read and helpful counts.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Let institution administrators raise support tickets to Msingi Technologies, answered in the platform console with priority-based targets, notes the institution does not see, and escalation.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2" w:name="_TocV11_22"/>
      <w:r>
        <w:rPr>
          <w:rFonts w:ascii="Calibri" w:cs="Calibri" w:eastAsia="Calibri" w:hAnsi="Calibri"/>
        </w:rPr>
        <w:t xml:space="preserve">4.13 M13 — Administration &amp; Security</w:t>
      </w:r>
      <w:bookmarkEnd w:id="22"/>
    </w:p>
    <w:p>
      <w:pPr>
        <w:spacing w:after="300"/>
      </w:pPr>
      <w:r>
        <w:rPr>
          <w:i/>
          <w:rFonts w:ascii="Calibri" w:cs="Calibri" w:eastAsia="Calibri" w:hAnsi="Calibri"/>
          <w:color w:val="595959"/>
          <w:sz w:val="22"/>
          <w:szCs w:val="22"/>
        </w:rPr>
        <w:t xml:space="preserve">This sub-section lists what the system shall do for administration and security: onboarding institutions, users, roles, sign-in protection and the audit trail. Each requirement has an identifier used in testing and tracing, a priority (Must, Should or Could), the business requirement it serves and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bookmarkStart w:id="23" w:name="_TocV11_23"/>
      <w:r>
        <w:rPr>
          <w:rFonts w:ascii="Calibri" w:cs="Calibri" w:eastAsia="Calibri" w:hAnsi="Calibri"/>
        </w:rPr>
        <w:t xml:space="preserve">4.14 M14 — Integration Hub</w:t>
      </w:r>
      <w:bookmarkEnd w:id="23"/>
    </w:p>
    <w:p>
      <w:pPr>
        <w:spacing w:after="300"/>
      </w:pPr>
      <w:r>
        <w:rPr>
          <w:i/>
          <w:rFonts w:ascii="Calibri" w:cs="Calibri" w:eastAsia="Calibri" w:hAnsi="Calibri"/>
          <w:color w:val="595959"/>
          <w:sz w:val="22"/>
          <w:szCs w:val="22"/>
        </w:rPr>
        <w:t xml:space="preserve">This sub-section lists each national or outside system CIMS must exchange data with, what is exchanged and why, with the priority and release of each connection.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FR-INT-10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NHIF health insurance</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Students' health insurance with NHIF: check students' own NHIF cards, bill NHIF's student contribution to students without cover, register them with NHIF in batches and record the card issued; optionally require cover before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1"/>
      </w:pPr>
      <w:bookmarkStart w:id="24" w:name="_TocV11_24"/>
      <w:r>
        <w:rPr>
          <w:rFonts w:ascii="Calibri" w:cs="Calibri" w:eastAsia="Calibri" w:hAnsi="Calibri"/>
        </w:rPr>
        <w:t xml:space="preserve">5. Grading and Regulations Configuration</w:t>
      </w:r>
      <w:bookmarkEnd w:id="24"/>
    </w:p>
    <w:p>
      <w:pPr>
        <w:spacing w:after="300"/>
      </w:pPr>
      <w:r>
        <w:rPr>
          <w:i/>
          <w:rFonts w:ascii="Calibri" w:cs="Calibri" w:eastAsia="Calibri" w:hAnsi="Calibri"/>
          <w:color w:val="595959"/>
          <w:sz w:val="22"/>
          <w:szCs w:val="22"/>
        </w:rPr>
        <w:t xml:space="preserve">Grading, pass marks and progression rules differ between award levels and can be changed by NACTVET or the institution. This section explains how CIMS keeps them as settings rather than fixed in the software, with examples.</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p>
      <w:pPr>
        <w:spacing w:after="300"/>
      </w:pPr>
      <w:r>
        <w:rPr>
          <w:i/>
          <w:rFonts w:ascii="Calibri" w:cs="Calibri" w:eastAsia="Calibri" w:hAnsi="Calibri"/>
          <w:color w:val="595959"/>
          <w:sz w:val="22"/>
          <w:szCs w:val="22"/>
        </w:rPr>
        <w:t xml:space="preserve">This example shows how marks convert to grades and grade points for NTA Levels 4 and 5. Institutions confirm their own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p>
      <w:pPr>
        <w:spacing w:after="300"/>
      </w:pPr>
      <w:r>
        <w:rPr>
          <w:i/>
          <w:rFonts w:ascii="Calibri" w:cs="Calibri" w:eastAsia="Calibri" w:hAnsi="Calibri"/>
          <w:color w:val="595959"/>
          <w:sz w:val="22"/>
          <w:szCs w:val="22"/>
        </w:rPr>
        <w:t xml:space="preserve">This example shows the grading scale for NTA Level 6, which uses five grade points and a B+ grade.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p>
      <w:pPr>
        <w:spacing w:after="300"/>
      </w:pPr>
      <w:r>
        <w:rPr>
          <w:i/>
          <w:rFonts w:ascii="Calibri" w:cs="Calibri" w:eastAsia="Calibri" w:hAnsi="Calibri"/>
          <w:color w:val="595959"/>
          <w:sz w:val="22"/>
          <w:szCs w:val="22"/>
        </w:rPr>
        <w:t xml:space="preserve">This example shows how a final grade point average (GPA) translates into the class of award printed on the certificate.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spacing w:after="300"/>
      </w:pPr>
      <w:r>
        <w:rPr>
          <w:i/>
          <w:rFonts w:ascii="Calibri" w:cs="Calibri" w:eastAsia="Calibri" w:hAnsi="Calibri"/>
          <w:color w:val="595959"/>
          <w:sz w:val="22"/>
          <w:szCs w:val="22"/>
        </w:rPr>
        <w:t xml:space="preserve">Beyond the grading scale, other rules can also be set per institution and award level, such as attendance limits and supplementary examination rules. They are listed here.</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bookmarkStart w:id="25" w:name="_TocV11_25"/>
      <w:r>
        <w:rPr>
          <w:rFonts w:ascii="Calibri" w:cs="Calibri" w:eastAsia="Calibri" w:hAnsi="Calibri"/>
        </w:rPr>
        <w:t xml:space="preserve">6. Key Use Cases</w:t>
      </w:r>
      <w:bookmarkEnd w:id="25"/>
    </w:p>
    <w:p>
      <w:pPr>
        <w:spacing w:after="300"/>
      </w:pPr>
      <w:r>
        <w:rPr>
          <w:i/>
          <w:rFonts w:ascii="Calibri" w:cs="Calibri" w:eastAsia="Calibri" w:hAnsi="Calibri"/>
          <w:color w:val="595959"/>
          <w:sz w:val="22"/>
          <w:szCs w:val="22"/>
        </w:rPr>
        <w:t xml:space="preserve">A use case describes, from the user's point of view, one task the system supports from start to finish. This section lists the key use cases with the person who performs each and the outcome expected.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p>
      <w:pPr>
        <w:spacing w:after="300"/>
      </w:pPr>
      <w:r>
        <w:rPr>
          <w:i/>
          <w:rFonts w:ascii="Calibri" w:cs="Calibri" w:eastAsia="Calibri" w:hAnsi="Calibri"/>
          <w:color w:val="595959"/>
          <w:sz w:val="22"/>
          <w:szCs w:val="22"/>
        </w:rPr>
        <w:t xml:space="preserve">This example sets out one use case in full: conditions before it starts, the steps, alternative paths and the result, as a model for how every use case is tested.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bookmarkStart w:id="26" w:name="_TocV11_26"/>
      <w:r>
        <w:rPr>
          <w:rFonts w:ascii="Calibri" w:cs="Calibri" w:eastAsia="Calibri" w:hAnsi="Calibri"/>
        </w:rPr>
        <w:t xml:space="preserve">7. Standard Report Catalogue</w:t>
      </w:r>
      <w:bookmarkEnd w:id="26"/>
    </w:p>
    <w:p>
      <w:pPr>
        <w:spacing w:after="300"/>
      </w:pPr>
      <w:r>
        <w:rPr>
          <w:i/>
          <w:rFonts w:ascii="Calibri" w:cs="Calibri" w:eastAsia="Calibri" w:hAnsi="Calibri"/>
          <w:color w:val="595959"/>
          <w:sz w:val="22"/>
          <w:szCs w:val="22"/>
        </w:rPr>
        <w:t xml:space="preserve">This section lists the standard reports the system must produce for each office, so that each office can confirm that the information it needs will be available.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bookmarkStart w:id="27" w:name="_TocV11_27"/>
      <w:r>
        <w:rPr>
          <w:rFonts w:ascii="Calibri" w:cs="Calibri" w:eastAsia="Calibri" w:hAnsi="Calibri"/>
        </w:rPr>
        <w:t xml:space="preserve">8. Non-Functional Requirements</w:t>
      </w:r>
      <w:bookmarkEnd w:id="27"/>
    </w:p>
    <w:p>
      <w:pPr>
        <w:spacing w:after="300"/>
      </w:pPr>
      <w:r>
        <w:rPr>
          <w:i/>
          <w:rFonts w:ascii="Calibri" w:cs="Calibri" w:eastAsia="Calibri" w:hAnsi="Calibri"/>
          <w:color w:val="595959"/>
          <w:sz w:val="22"/>
          <w:szCs w:val="22"/>
        </w:rPr>
        <w:t xml:space="preserve">Non-functional requirements describe how well the system must work rather than what it does: speed, availability, security, privacy, usability and ease of operation. They are as important to acceptance as the functions.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bookmarkStart w:id="28" w:name="_TocV11_28"/>
      <w:r>
        <w:rPr>
          <w:rFonts w:ascii="Calibri" w:cs="Calibri" w:eastAsia="Calibri" w:hAnsi="Calibri"/>
        </w:rPr>
        <w:t xml:space="preserve">9. Requirements Traceability Matrix</w:t>
      </w:r>
      <w:bookmarkEnd w:id="28"/>
    </w:p>
    <w:p>
      <w:pPr>
        <w:spacing w:after="300"/>
      </w:pPr>
      <w:r>
        <w:rPr>
          <w:i/>
          <w:rFonts w:ascii="Calibri" w:cs="Calibri" w:eastAsia="Calibri" w:hAnsi="Calibri"/>
          <w:color w:val="595959"/>
          <w:sz w:val="22"/>
          <w:szCs w:val="22"/>
        </w:rPr>
        <w:t xml:space="preserve">The traceability matrix links each business requirement to the system requirements, use cases and business processes that satisfy it. It shows that nothing agreed in Document 02 has been missed.</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 43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 43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 15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bookmarkStart w:id="29" w:name="_TocV11_29"/>
      <w:r>
        <w:rPr>
          <w:rFonts w:ascii="Calibri" w:cs="Calibri" w:eastAsia="Calibri" w:hAnsi="Calibri"/>
        </w:rPr>
        <w:t xml:space="preserve">10. Acceptance Criteria</w:t>
      </w:r>
      <w:bookmarkEnd w:id="29"/>
    </w:p>
    <w:p>
      <w:pPr>
        <w:spacing w:after="300"/>
      </w:pPr>
      <w:r>
        <w:rPr>
          <w:i/>
          <w:rFonts w:ascii="Calibri" w:cs="Calibri" w:eastAsia="Calibri" w:hAnsi="Calibri"/>
          <w:color w:val="595959"/>
          <w:sz w:val="22"/>
          <w:szCs w:val="22"/>
        </w:rPr>
        <w:t xml:space="preserve">This section states the conditions under which each release is accepted by the institution, so that everyone knows in advance what 'finished' means.</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bookmarkStart w:id="30" w:name="_TocV11_30"/>
      <w:r>
        <w:rPr>
          <w:rFonts w:ascii="Calibri" w:cs="Calibri" w:eastAsia="Calibri" w:hAnsi="Calibri"/>
        </w:rPr>
        <w:t xml:space="preserve">11. As-Built Status (October 2026)</w:t>
      </w:r>
      <w:bookmarkEnd w:id="30"/>
    </w:p>
    <w:p>
      <w:pPr>
        <w:spacing w:after="300"/>
      </w:pPr>
      <w:r>
        <w:rPr>
          <w:i/>
          <w:rFonts w:ascii="Calibri" w:cs="Calibri" w:eastAsia="Calibri" w:hAnsi="Calibri"/>
          <w:color w:val="595959"/>
          <w:sz w:val="22"/>
          <w:szCs w:val="22"/>
        </w:rPr>
        <w:t xml:space="preserve">This section reports, requirement by requirement, how far the system built by October 2026 meets this specification. It tells stakeholders exactly what is ready, what is partly ready and what remains, and why.</w:t>
      </w:r>
    </w:p>
    <w:p>
      <w:pPr>
        <w:spacing w:after="120" w:line="276"/>
        <w:jc w:val="both"/>
      </w:pPr>
      <w:r>
        <w:rPr>
          <w:rFonts w:ascii="Calibri" w:cs="Calibri" w:eastAsia="Calibri" w:hAnsi="Calibri"/>
        </w:rPr>
        <w:t xml:space="preserve">This section records, for version 3.1, how far the system as built meets each requirement in this specification. The requirements above remain the acceptance baseline. Built: in the system and covered by automated tests. Partly built: usable, with the gap stated. Not yet built: planned, not in the system. For outside bodies, an exchange counts as built when its interface is published and the adapter is tested against it (GePG, NECTA, NACTVET verification and awards); where the body has not yet issued its interface, the exchange runs against a simulator and is partly built until the live interface is wired.</w:t>
      </w:r>
    </w:p>
    <w:p>
      <w:pPr>
        <w:pStyle w:val="Heading2"/>
      </w:pPr>
      <w:bookmarkStart w:id="31" w:name="_TocV11_31"/>
      <w:r>
        <w:rPr>
          <w:rFonts w:ascii="Calibri" w:cs="Calibri" w:eastAsia="Calibri" w:hAnsi="Calibri"/>
        </w:rPr>
        <w:t xml:space="preserve">11.1 Functional requirements</w:t>
      </w:r>
      <w:bookmarkEnd w:id="31"/>
    </w:p>
    <w:p>
      <w:pPr>
        <w:spacing w:after="300"/>
      </w:pPr>
      <w:r>
        <w:rPr>
          <w:i/>
          <w:rFonts w:ascii="Calibri" w:cs="Calibri" w:eastAsia="Calibri" w:hAnsi="Calibri"/>
          <w:color w:val="595959"/>
          <w:sz w:val="22"/>
          <w:szCs w:val="22"/>
        </w:rPr>
        <w:t xml:space="preserve">The table gives the status of each functional requirement (built, partly built or not built) and a short description of what was built.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an email address can be added and is confirmed with a code before messages are sent to it.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 the Admissions Office tests sample results against every programme of a window, and tries changed rules before saving them.</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document uploads per window (PDF, JPEG, PNG; size-limited; checked by content), accepted or sent back by the office with an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(live GePG adapter built, simulated until certificates are issued). Applicants who got a control number but have not paid are reminded by SMS after two days and again three days before the window closes (each window can switch this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wording editable per institution, SMS notice and email with the PDF attached.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Externally selected students (TAMISEMI or another body) imported from a file or fetched from TAMISEMI into the window as selected, then verified and offered like other applicants.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 registering in the late period bills the semester's late-registration fee once, cancelled with the registration if unpaid.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 when one takes effect, waivers of the unpaid fees are proposed to the bursary (postponement, discontinuation, withdrawal, death), an unpaid hostel bed is released, and a resumed student is billed for the year.</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 asked by Registry or the student, recommended by the receiving Head of Department, decided by the Deputy Principal (Academic), with history.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sent to NACTVET by API, with status follow-up; runs against a simulator until NACTVET issues the live interface.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(one main campus) and faculties; departments and programmes with award family, level, duration, NACTVET code, entry level and the campuses they are offered at.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or from the approved curricula before students register;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grid by day and hour with filters by class, venue and lecturer; venue, lecturer and module clashes refused; planned-class, registered-student and capacity checks; copy from another semester; publish and withdraw; Excel; personal timetables for lecturers and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entry dates per assessment item (coursework and examination can open at different times); entry on screen or validated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module results and class result sheets set by the institution (up to six), each able to return with comments; lock on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submission record, and submission to NACTVET by API with status follow-up (simulated); NACTVET's official template and live interface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results compared across years, including results from before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Papers with date, time, one or more venues and invigilators; student and invigilator clashes refused and checked again on publishing; seats against candidates; publish and withdraw;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academic year, intake and student category, local and foreign.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(live GePG adapter built; simulated until certificates are issued); outside GePG, the institution's payment reference with its mobile money and bank accounts.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of the GePG file or GePG's reconciliation request, and of mobile money, collector or bank statements,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 due dates with SMS reminders before, on and after the day; late-payment penalties once per instalment after a grace period.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 and scholarship schemes granted through the waiver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the HESLB exchange turns beneficiaries into capped sponsorships and records disbursements on the HESLB invoice.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of credit, or of fees paid on an invoice (the invoice is reduced by a credit note), with vouchers and two-level approval; waivers posted as credit notes. Requests raised by CIMS after a status change or a hostel event show where they came from and wait for the same approval.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each period posted once; postings CSV for any date range.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 moves to another bed with the fee difference for the rest of the occupancy period (charged, waived or refunded); refunds of the unused part at early check-out and of what was paid when a paid bed is cancelled.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 rates the student through a personal link (no account) and the rating becomes the workplace mark.</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records; tracer surveys sent by SMS link, answers update the alumni record.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37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Reports emailed to staff on a schedule (daily, weekly or monthly) as Excel or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email, and in-app notices.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Help pages in the admission portal (with or without an account), the student portal and the back-office; Helpdesk queue by office with assignment, notes, routing and attachments; SMS and email updates.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Targets per category, clock stopped while waiting, escalation job every ten minutes, automatic closing, Performance tab.</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Answers by audience with search, views and helpful votes; starter answers created with the first categories.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support tab for administrators and escalation of a helpdesk request; Support page in the platform console.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campuses, programmes from the catalogue and first administrator; GePG and other integration settings entered by the institution on its Integrations page.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two-step sign-in with an authenticator app (recovery codes, SMS fall-back) required for the roles the administrator chooses, and reset by another administrator.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stages for results set per institution; finance thresholds configurable; admission and status-change approvals follow the regulations 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admission and IPT letter wording editable with placeholders and a sample preview; issued letters keep their wording.</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Personal-data requests (copy, correction, erasure, objection) answered within 30 days; download of one's own data; retention periods with a preview and a monthly job.</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students, earlier results, opening balances and external selections from CSV or Excel templates, checked row by row and applied after a second person signs off.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results, graduand and NVA files; NTA award look-up live; student registration and results submission by API. Verification follows NOAS's integration with NACTVET (uploads by programme with the payment reference of the verification fee; outcomes from NACTVET's verification feedback). Verification, registration and results run against a simulator until NACTVET opens them to CIMS.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Live GePG adapter with signed XML: bills, control numbers by callback, payments and reconciliation; tested against a GePG simulator with test keys; switched on with the institution's certificates.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Email by SMTP with an outbox and retries is built. SMS outbox and delivery reports run against a simulated gateway until the SMS provider is chosen.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exchange (registration data out, beneficiaries in as capped sponsorships, disbursements recorded) built and tested against a simulator; the live interface is wired when HESLB issues it.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 Identification Number recorded encrypted and checked against name and date of birth; runs against a simulator until NIDA access is granted.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to MUSE per period by GFS code and a postings CSV; MUSE runs against a simulator until the Treasury grants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 fetched into the checked import; runs against a simulator until TAMISEMI issues its interface (file import works now).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with scopes for a read-only integration API; secrets shown once; clients switched off at once.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cards checked with NHIF, contribution billing, registration batches with the card returned, cover before semester registration and reports; runs against a simulator until NHIF issues its interface (the file for NHIF's portal works now).</w:t>
            </w:r>
          </w:p>
        </w:tc>
      </w:tr>
    </w:tbl>
    <w:p>
      <w:pPr>
        <w:spacing w:after="120"/>
      </w:pPr>
    </w:p>
    <w:p>
      <w:pPr>
        <w:spacing w:after="120" w:line="276"/>
        <w:jc w:val="both"/>
      </w:pPr>
      <w:r>
        <w:rPr>
          <w:rFonts w:ascii="Calibri" w:cs="Calibri" w:eastAsia="Calibri" w:hAnsi="Calibri"/>
        </w:rPr>
        <w:t xml:space="preserve">Of the 104 functional requirements, 95 are built and 9 partly built. All nine wait on an outside body's live interface (NACTVET registration and results, HESLB, NIDA, MUSE, TAMISEMI, NHIF) or on the choice of SMS provider; the adapters are built and tested against simulators.</w:t>
      </w:r>
    </w:p>
    <w:p>
      <w:pPr>
        <w:pStyle w:val="Heading2"/>
      </w:pPr>
      <w:bookmarkStart w:id="32" w:name="_TocV11_32"/>
      <w:r>
        <w:rPr>
          <w:rFonts w:ascii="Calibri" w:cs="Calibri" w:eastAsia="Calibri" w:hAnsi="Calibri"/>
        </w:rPr>
        <w:t xml:space="preserve">11.2 Non-functional requirements</w:t>
      </w:r>
      <w:bookmarkEnd w:id="32"/>
    </w:p>
    <w:p>
      <w:pPr>
        <w:spacing w:after="300"/>
      </w:pPr>
      <w:r>
        <w:rPr>
          <w:i/>
          <w:rFonts w:ascii="Calibri" w:cs="Calibri" w:eastAsia="Calibri" w:hAnsi="Calibri"/>
          <w:color w:val="595959"/>
          <w:sz w:val="22"/>
          <w:szCs w:val="22"/>
        </w:rPr>
        <w:t xml:space="preserve">The table gives the status of each non-functional requirement and the evidence for it, such as test and measurement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Load tests with k6 and Locust: 100 concurrent users on the development machine with no errors, p95 37 ms and p99 1.0 s. The peak run on staging hardware is due before go-live.</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stack ready: WAL archiving, encrypted backups kept 35 days (monthly for 12 months) with a tested restore, health checks; hosting and failover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10+ characters with upper and lower case, digit and special character, common passwords refused; lock-out after 5 failed sign-ins; two-step sign-in with an authenticator app for the roles each institution chooses. Remaining gap: single sign-on (OpenID Connect) waits for Keycloak.</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sign-out per user type with a minute's warning, set per institution (defaults 30 minutes for staff and 60 for students and applicants; the 15 and 30 minutes above are a setting).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TLS at the proxy of the production stack; National Identification Numbers encrypted in the database; encryption of disks comes with hosting.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Dependency, secret and Dockerfile scanning (Trivy), npm audit and an OWASP ZAP baseline scan run in continuous integration; the ASVS review and the independent penetration test are due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Privacy notice and consent at sign-up (version and time recorded); data minimisation in reports and logs; personal-data requests and retention periods with a monthly job.</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and the staff back-office in English and Kiswahili, the choice kept with the account.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Automated WCAG 2.1 A and AA checks (axe) on the main admission, student and staff screens find no serious or critical issue and run in continuous integration; a manual screen-reader review is due in acceptance testing.</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Smoke and accessibility tests run in continuous integration in Chromium, Firefox and WebKit (Safari's engine) and at phone size; real devices are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and email outboxes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scheduled jobs take a database lock so each runs once when several instances run; load-tested with 100 users on one machine, staging peak test due.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250 backend tests (integration tests against real PostgreSQL), frontend unit tests and end-to-end tests in three browsers, run by continuous integration; 52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and metrics (Prometheus) endpoints, integration health in the platform console, continuous integration and a deployment runbook; central logs and alerting come with hosting.</w:t>
            </w:r>
          </w:p>
        </w:tc>
      </w:tr>
    </w:tbl>
    <w:p>
      <w:pPr>
        <w:spacing w:after="120"/>
      </w:pPr>
    </w:p>
    <w:p>
      <w:pPr>
        <w:pStyle w:val="Heading2"/>
      </w:pPr>
      <w:bookmarkStart w:id="33" w:name="_TocV11_33"/>
      <w:r>
        <w:rPr>
          <w:rFonts w:ascii="Calibri" w:cs="Calibri" w:eastAsia="Calibri" w:hAnsi="Calibri"/>
        </w:rPr>
        <w:t xml:space="preserve">11.3 Standard reports as built</w:t>
      </w:r>
      <w:bookmarkEnd w:id="33"/>
    </w:p>
    <w:p>
      <w:pPr>
        <w:spacing w:after="300"/>
      </w:pPr>
      <w:r>
        <w:rPr>
          <w:i/>
          <w:rFonts w:ascii="Calibri" w:cs="Calibri" w:eastAsia="Calibri" w:hAnsi="Calibri"/>
          <w:color w:val="595959"/>
          <w:sz w:val="22"/>
          <w:szCs w:val="22"/>
        </w:rPr>
        <w:t xml:space="preserve">This sub-section describes the reports as built: how they are filtered, exported and protected, and which reports each office has.</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 REG-08 Health insurance (NHIF) cover; REG-09 Students without health cover</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bookmarkStart w:id="34" w:name="_TocV11_34"/>
      <w:r>
        <w:rPr>
          <w:rFonts w:ascii="Calibri" w:cs="Calibri" w:eastAsia="Calibri" w:hAnsi="Calibri"/>
        </w:rPr>
        <w:t xml:space="preserve">11.4 Regulations as configured</w:t>
      </w:r>
      <w:bookmarkEnd w:id="34"/>
    </w:p>
    <w:p>
      <w:pPr>
        <w:spacing w:after="300"/>
      </w:pPr>
      <w:r>
        <w:rPr>
          <w:i/>
          <w:rFonts w:ascii="Calibri" w:cs="Calibri" w:eastAsia="Calibri" w:hAnsi="Calibri"/>
          <w:color w:val="595959"/>
          <w:sz w:val="22"/>
          <w:szCs w:val="22"/>
        </w:rPr>
        <w:t xml:space="preserve">This sub-section describes the regulation settings that come with the system and what each institution must confirm before results are calculated.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bookmarkStart w:id="35" w:name="_TocV11_35"/>
      <w:r>
        <w:rPr>
          <w:rFonts w:ascii="Calibri" w:cs="Calibri" w:eastAsia="Calibri" w:hAnsi="Calibri"/>
        </w:rPr>
        <w:t xml:space="preserve">11.5 Integration test server</w:t>
      </w:r>
      <w:bookmarkEnd w:id="35"/>
    </w:p>
    <w:p>
      <w:pPr>
        <w:spacing w:after="300"/>
      </w:pPr>
      <w:r>
        <w:rPr>
          <w:i/>
          <w:rFonts w:ascii="Calibri" w:cs="Calibri" w:eastAsia="Calibri" w:hAnsi="Calibri"/>
          <w:color w:val="595959"/>
          <w:sz w:val="22"/>
          <w:szCs w:val="22"/>
        </w:rPr>
        <w:t xml:space="preserve">Because NACTVET's live verification service is not yet open to CIMS, a stand-in server was built for testing. This sub-section explains what it does and how it is used.</w:t>
      </w:r>
    </w:p>
    <w:p>
      <w:pPr>
        <w:spacing w:after="120" w:line="276"/>
        <w:jc w:val="both"/>
      </w:pPr>
      <w:r>
        <w:rPr>
          <w:rFonts w:ascii="Calibri" w:cs="Calibri" w:eastAsia="Calibri" w:hAnsi="Calibri"/>
        </w:rPr>
        <w:t xml:space="preserve">A stand-in NACTVET admission verification server (nactvet-mock, in the code repository) answers the endpoints the live adapter uses (NACTVET's applicant upload and verification feedback, as NOAS uses them, and a placeholder for the multiple-admission confirmation),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