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7326"/>
      </w:tblGrid>
      <w:tr>
        <w:tc>
          <w:tcPr>
            <w:tcW w:type="dxa" w:w="1700"/>
            <w:tcBorders>
              <w:top w:val="none" w:color="FFFFFF" w:sz="0"/>
              <w:left w:val="none" w:color="FFFFFF" w:sz="0"/>
              <w:bottom w:val="none" w:color="FFFFFF" w:sz="0"/>
              <w:right w:val="none" w:color="FFFFFF" w:sz="0"/>
            </w:tcBorders>
            <w:vAlign w:val="center"/>
          </w:tcPr>
          <w:p>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32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color w:val="0F1B2D"/>
                <w:spacing w:val="30"/>
                <w:sz w:val="34"/>
                <w:szCs w:val="34"/>
              </w:rPr>
              <w:t xml:space="preserve">MSINGI TECHNOLOGIES LTD</w:t>
            </w:r>
          </w:p>
          <w:p>
            <w:r>
              <w:rPr>
                <w:rFonts w:ascii="Calibri" w:cs="Calibri" w:eastAsia="Calibri" w:hAnsi="Calibri"/>
                <w:b/>
                <w:bCs/>
                <w:color w:val="12715B"/>
                <w:spacing w:val="20"/>
                <w:sz w:val="20"/>
                <w:szCs w:val="20"/>
              </w:rPr>
              <w:t xml:space="preserve">Software  •  IT Systems</w:t>
            </w:r>
          </w:p>
        </w:tc>
      </w:tr>
    </w:tbl>
    <w:p>
      <w:pPr>
        <w:pBdr>
          <w:bottom w:val="single" w:color="E3A72F" w:sz="12" w:space="1"/>
        </w:pBdr>
        <w:spacing w:after="160" w:before="120"/>
      </w:pP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60" w:before="240"/>
      </w:pPr>
      <w:r>
        <w:rPr>
          <w:rFonts w:ascii="Calibri" w:cs="Calibri" w:eastAsia="Calibri" w:hAnsi="Calibri"/>
          <w:b/>
          <w:bCs/>
          <w:color w:val="1F3864"/>
          <w:sz w:val="44"/>
          <w:szCs w:val="44"/>
        </w:rPr>
        <w:t xml:space="preserve">College/Institution Management System (CIMS)</w:t>
      </w:r>
    </w:p>
    <w:p>
      <w:pPr>
        <w:spacing w:after="60"/>
      </w:pPr>
      <w:r>
        <w:rPr>
          <w:rFonts w:ascii="Calibri" w:cs="Calibri" w:eastAsia="Calibri" w:hAnsi="Calibri"/>
          <w:i/>
          <w:iCs/>
          <w:color w:val="0E7C7B"/>
          <w:sz w:val="24"/>
          <w:szCs w:val="24"/>
        </w:rPr>
        <w:t xml:space="preserve">One platform from application to graduation for NACTVET-registered institutions</w:t>
      </w:r>
    </w:p>
    <w:p>
      <w:pPr>
        <w:pBdr>
          <w:bottom w:val="single" w:color="0E7C7B" w:sz="8" w:space="4"/>
        </w:pBdr>
        <w:spacing w:after="60" w:before="240"/>
      </w:pPr>
      <w:r>
        <w:rPr>
          <w:rFonts w:ascii="Calibri" w:cs="Calibri" w:eastAsia="Calibri" w:hAnsi="Calibri"/>
          <w:b/>
          <w:bCs/>
          <w:color w:val="1F3864"/>
          <w:sz w:val="34"/>
          <w:szCs w:val="34"/>
        </w:rPr>
        <w:t xml:space="preserve">Document 01: Concept Note</w:t>
      </w:r>
    </w:p>
    <w:p>
      <w:pPr>
        <w:spacing w:after="300"/>
      </w:pPr>
      <w:r>
        <w:rPr>
          <w:rFonts w:ascii="Calibri" w:cs="Calibri" w:eastAsia="Calibri" w:hAnsi="Calibri"/>
          <w:color w:val="595959"/>
          <w:sz w:val="22"/>
          <w:szCs w:val="22"/>
        </w:rPr>
        <w:t xml:space="preserve">Justification, vision, scope, stakeholder value and delivery model for an integrated management system for NACTVET-registered NVA and NTA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Document 01: Concept Note</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 Status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Version 3.1 — updated to the system as built after the October 2026 completion batches, for stakeholder review</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For</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Institutions registered by NACTVET to deliver NVA and NTA programmes, their governing boards and management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Scope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Online Admission, Student Registry, Academic Structure, Teaching &amp; Attendance, Assessment &amp; Examination (NTA and NVA), Finance &amp; Fees (GePG), Hostel, Industrial Practical Training, Clearance &amp; Graduation, Student Portal, Reports and Integrations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By</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Msingi Technologies Ltd</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Date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October 2026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Classification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Confidential — For Stakeholder Review</w:t>
            </w:r>
          </w:p>
        </w:tc>
      </w:tr>
    </w:tbl>
    <w:p>
      <w:r>
        <w:br w:type="page"/>
      </w:r>
    </w:p>
    <w:p>
      <w:pPr>
        <w:pStyle w:val="Heading1"/>
      </w:pPr>
      <w:r>
        <w:rPr>
          <w:rFonts w:ascii="Calibri" w:cs="Calibri" w:eastAsia="Calibri" w:hAnsi="Calibri"/>
        </w:rPr>
        <w:t xml:space="preserve">Document Control</w:t>
      </w:r>
    </w:p>
    <w:p>
      <w:pPr>
        <w:spacing w:after="300"/>
      </w:pPr>
      <w:r>
        <w:rPr>
          <w:i/>
          <w:rFonts w:ascii="Calibri" w:cs="Calibri" w:eastAsia="Calibri" w:hAnsi="Calibri"/>
          <w:color w:val="595959"/>
          <w:sz w:val="22"/>
          <w:szCs w:val="22"/>
        </w:rPr>
        <w:t xml:space="preserve">This section records the versions of this concept note, who prepared each one and what changed, so that readers know they are working from the current approved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624"/>
        <w:gridCol w:w="1985"/>
        <w:gridCol w:w="4334"/>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Version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Prepared By</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Team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Initial planning version (generic institution).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Re-baselined for NACTVET-registered NVA/NTA institutions, each with its own online admission system; content expanded and aligned across the document suite.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Updated to the system as built (development build, October 2026): what is built, what is partly built and what remains, with corrected technology, data model and plan. The version 2.0 requirements stay the baseline.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3.1</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Sections 5.4, 5.5 and the progress note brought up to date after the completion batches (campuses and transfers; instalments, penalties and discounts; email; two-step sign-in, API clients and personal-data requests; data import and document uploads; configurable approval stages; alumni and tracer surveys; government adapters, deployment and load tests; the staff back-office in Kiswahili). The version 2.0 vision and scope stay the baseline.</w:t>
            </w:r>
          </w:p>
        </w:tc>
      </w:tr>
    </w:tbl>
    <w:p>
      <w:pPr>
        <w:pStyle w:val="Heading2"/>
        <w:spacing w:before="200"/>
      </w:pPr>
      <w:r>
        <w:rPr>
          <w:rFonts w:ascii="Calibri" w:cs="Calibri" w:eastAsia="Calibri" w:hAnsi="Calibri"/>
        </w:rPr>
        <w:t xml:space="preserve">Review and Approval</w:t>
      </w:r>
    </w:p>
    <w:p>
      <w:pPr>
        <w:spacing w:after="300"/>
      </w:pPr>
      <w:r>
        <w:rPr>
          <w:i/>
          <w:rFonts w:ascii="Calibri" w:cs="Calibri" w:eastAsia="Calibri" w:hAnsi="Calibri"/>
          <w:color w:val="595959"/>
          <w:sz w:val="22"/>
          <w:szCs w:val="22"/>
        </w:rPr>
        <w:t xml:space="preserve">The people listed below review this document and confirm, by signing, that it is accepted as the basis for decisions on CIMS.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2707"/>
        <w:gridCol w:w="1985"/>
        <w:gridCol w:w="1988"/>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Role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Name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Signature</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Managing Director, Msingi Technologies Ltd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Manager, Msingi Technologies Ltd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Sponsor (Institution)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Head of Institution</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bl>
    <w:p>
      <w:pPr>
        <w:pStyle w:val="Heading2"/>
        <w:spacing w:before="200"/>
      </w:pPr>
      <w:r>
        <w:rPr>
          <w:rFonts w:ascii="Calibri" w:cs="Calibri" w:eastAsia="Calibri" w:hAnsi="Calibri"/>
        </w:rPr>
        <w:t xml:space="preserve">Related Documents</w:t>
      </w:r>
    </w:p>
    <w:p>
      <w:pPr>
        <w:spacing w:after="300"/>
      </w:pPr>
      <w:r>
        <w:rPr>
          <w:i/>
          <w:rFonts w:ascii="Calibri" w:cs="Calibri" w:eastAsia="Calibri" w:hAnsi="Calibri"/>
          <w:color w:val="595959"/>
          <w:sz w:val="22"/>
          <w:szCs w:val="22"/>
        </w:rPr>
        <w:t xml:space="preserve">CIMS is described in a set of eight documents, each written for a different purpose and audience. This table shows where each topic is covered, so a reader can go straight to the document that answers their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8"/>
        <w:gridCol w:w="5236"/>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Document</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01</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Concept Note (this document)</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Why the system is needed, the vision, value to stakeholders and the delivery model.</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02</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Requirements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Stakeholders, business requirements, business rules and success measures.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Requirements Specification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and non-functional requirements, roles, use cases and traceability.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04</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Process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End-to-end institutional workflows with actors, controls and service levels.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05</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Database Design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model, table catalogue, constraints, multi-tenancy and data governance.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06</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Architecture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Technology stack, components, security, integrations, deployment and operations.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07</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 Plan and Cost Estimate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plan, team, effort-based budget, pricing model and risks.</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0"/>
            </w:tabs>
            <w:spacing w:before="120" w:after="20"/>
            <w:ind w:left="0"/>
          </w:pPr>
          <w:hyperlink w:anchor="_TocV11_1" w:history="1">
            <w:r>
              <w:rPr>
                <w:rFonts w:ascii="Calibri" w:cs="Calibri" w:eastAsia="Calibri" w:hAnsi="Calibri"/>
                <w:b/>
                <w:bCs/>
                <w:color w:val="1F3864"/>
                <w:sz w:val="21"/>
                <w:szCs w:val="21"/>
              </w:rPr>
              <w:t xml:space="preserve">1. Executive Summary</w:t>
            </w:r>
            <w:r>
              <w:rPr>
                <w:rFonts w:ascii="Calibri" w:cs="Calibri" w:eastAsia="Calibri" w:hAnsi="Calibri"/>
                <w:b/>
                <w:bCs/>
                <w:color w:val="1F3864"/>
                <w:sz w:val="21"/>
                <w:szCs w:val="21"/>
              </w:rPr>
              <w:tab/>
              <w:t>5</w:t>
            </w:r>
          </w:hyperlink>
        </w:p>
        <w:p>
          <w:pPr>
            <w:tabs>
              <w:tab w:val="right" w:leader="dot" w:pos="9020"/>
            </w:tabs>
            <w:spacing w:before="120" w:after="20"/>
            <w:ind w:left="0"/>
          </w:pPr>
          <w:hyperlink w:anchor="_TocV11_2" w:history="1">
            <w:r>
              <w:rPr>
                <w:rFonts w:ascii="Calibri" w:cs="Calibri" w:eastAsia="Calibri" w:hAnsi="Calibri"/>
                <w:b/>
                <w:bCs/>
                <w:color w:val="1F3864"/>
                <w:sz w:val="21"/>
                <w:szCs w:val="21"/>
              </w:rPr>
              <w:t xml:space="preserve">2. Background and Context</w:t>
            </w:r>
            <w:r>
              <w:rPr>
                <w:rFonts w:ascii="Calibri" w:cs="Calibri" w:eastAsia="Calibri" w:hAnsi="Calibri"/>
                <w:b/>
                <w:bCs/>
                <w:color w:val="1F3864"/>
                <w:sz w:val="21"/>
                <w:szCs w:val="21"/>
              </w:rPr>
              <w:tab/>
              <w:t>6</w:t>
            </w:r>
          </w:hyperlink>
        </w:p>
        <w:p>
          <w:pPr>
            <w:tabs>
              <w:tab w:val="right" w:leader="dot" w:pos="9020"/>
            </w:tabs>
            <w:spacing w:before="20" w:after="20"/>
            <w:ind w:left="360"/>
          </w:pPr>
          <w:hyperlink w:anchor="_TocV11_3" w:history="1">
            <w:r>
              <w:rPr>
                <w:rFonts w:ascii="Calibri" w:cs="Calibri" w:eastAsia="Calibri" w:hAnsi="Calibri"/>
                <w:sz w:val="20"/>
                <w:szCs w:val="20"/>
              </w:rPr>
              <w:t xml:space="preserve">2.1 The TVET sector and NACTVET</w:t>
            </w:r>
            <w:r>
              <w:rPr>
                <w:rFonts w:ascii="Calibri" w:cs="Calibri" w:eastAsia="Calibri" w:hAnsi="Calibri"/>
                <w:sz w:val="20"/>
                <w:szCs w:val="20"/>
              </w:rPr>
              <w:tab/>
              <w:t>6</w:t>
            </w:r>
          </w:hyperlink>
        </w:p>
        <w:p>
          <w:pPr>
            <w:tabs>
              <w:tab w:val="right" w:leader="dot" w:pos="9020"/>
            </w:tabs>
            <w:spacing w:before="20" w:after="20"/>
            <w:ind w:left="360"/>
          </w:pPr>
          <w:hyperlink w:anchor="_TocV11_4" w:history="1">
            <w:r>
              <w:rPr>
                <w:rFonts w:ascii="Calibri" w:cs="Calibri" w:eastAsia="Calibri" w:hAnsi="Calibri"/>
                <w:sz w:val="20"/>
                <w:szCs w:val="20"/>
              </w:rPr>
              <w:t xml:space="preserve">2.2 How admissions work today</w:t>
            </w:r>
            <w:r>
              <w:rPr>
                <w:rFonts w:ascii="Calibri" w:cs="Calibri" w:eastAsia="Calibri" w:hAnsi="Calibri"/>
                <w:sz w:val="20"/>
                <w:szCs w:val="20"/>
              </w:rPr>
              <w:tab/>
              <w:t>6</w:t>
            </w:r>
          </w:hyperlink>
        </w:p>
        <w:p>
          <w:pPr>
            <w:tabs>
              <w:tab w:val="right" w:leader="dot" w:pos="9020"/>
            </w:tabs>
            <w:spacing w:before="120" w:after="20"/>
            <w:ind w:left="0"/>
          </w:pPr>
          <w:hyperlink w:anchor="_TocV11_5" w:history="1">
            <w:r>
              <w:rPr>
                <w:rFonts w:ascii="Calibri" w:cs="Calibri" w:eastAsia="Calibri" w:hAnsi="Calibri"/>
                <w:b/>
                <w:bCs/>
                <w:color w:val="1F3864"/>
                <w:sz w:val="21"/>
                <w:szCs w:val="21"/>
              </w:rPr>
              <w:t xml:space="preserve">3. Problem Statement</w:t>
            </w:r>
            <w:r>
              <w:rPr>
                <w:rFonts w:ascii="Calibri" w:cs="Calibri" w:eastAsia="Calibri" w:hAnsi="Calibri"/>
                <w:b/>
                <w:bCs/>
                <w:color w:val="1F3864"/>
                <w:sz w:val="21"/>
                <w:szCs w:val="21"/>
              </w:rPr>
              <w:tab/>
              <w:t>6</w:t>
            </w:r>
          </w:hyperlink>
        </w:p>
        <w:p>
          <w:pPr>
            <w:tabs>
              <w:tab w:val="right" w:leader="dot" w:pos="9020"/>
            </w:tabs>
            <w:spacing w:before="120" w:after="20"/>
            <w:ind w:left="0"/>
          </w:pPr>
          <w:hyperlink w:anchor="_TocV11_6" w:history="1">
            <w:r>
              <w:rPr>
                <w:rFonts w:ascii="Calibri" w:cs="Calibri" w:eastAsia="Calibri" w:hAnsi="Calibri"/>
                <w:b/>
                <w:bCs/>
                <w:color w:val="1F3864"/>
                <w:sz w:val="21"/>
                <w:szCs w:val="21"/>
              </w:rPr>
              <w:t xml:space="preserve">4. Vision and Objectives</w:t>
            </w:r>
            <w:r>
              <w:rPr>
                <w:rFonts w:ascii="Calibri" w:cs="Calibri" w:eastAsia="Calibri" w:hAnsi="Calibri"/>
                <w:b/>
                <w:bCs/>
                <w:color w:val="1F3864"/>
                <w:sz w:val="21"/>
                <w:szCs w:val="21"/>
              </w:rPr>
              <w:tab/>
              <w:t>7</w:t>
            </w:r>
          </w:hyperlink>
        </w:p>
        <w:p>
          <w:pPr>
            <w:tabs>
              <w:tab w:val="right" w:leader="dot" w:pos="9020"/>
            </w:tabs>
            <w:spacing w:before="120" w:after="20"/>
            <w:ind w:left="0"/>
          </w:pPr>
          <w:hyperlink w:anchor="_TocV11_7" w:history="1">
            <w:r>
              <w:rPr>
                <w:rFonts w:ascii="Calibri" w:cs="Calibri" w:eastAsia="Calibri" w:hAnsi="Calibri"/>
                <w:b/>
                <w:bCs/>
                <w:color w:val="1F3864"/>
                <w:sz w:val="21"/>
                <w:szCs w:val="21"/>
              </w:rPr>
              <w:t xml:space="preserve">5. Proposed Solution</w:t>
            </w:r>
            <w:r>
              <w:rPr>
                <w:rFonts w:ascii="Calibri" w:cs="Calibri" w:eastAsia="Calibri" w:hAnsi="Calibri"/>
                <w:b/>
                <w:bCs/>
                <w:color w:val="1F3864"/>
                <w:sz w:val="21"/>
                <w:szCs w:val="21"/>
              </w:rPr>
              <w:tab/>
              <w:t>8</w:t>
            </w:r>
          </w:hyperlink>
        </w:p>
        <w:p>
          <w:pPr>
            <w:tabs>
              <w:tab w:val="right" w:leader="dot" w:pos="9020"/>
            </w:tabs>
            <w:spacing w:before="20" w:after="20"/>
            <w:ind w:left="360"/>
          </w:pPr>
          <w:hyperlink w:anchor="_TocV11_8" w:history="1">
            <w:r>
              <w:rPr>
                <w:rFonts w:ascii="Calibri" w:cs="Calibri" w:eastAsia="Calibri" w:hAnsi="Calibri"/>
                <w:sz w:val="20"/>
                <w:szCs w:val="20"/>
              </w:rPr>
              <w:t xml:space="preserve">5.1 The student lifecycle on one platform</w:t>
            </w:r>
            <w:r>
              <w:rPr>
                <w:rFonts w:ascii="Calibri" w:cs="Calibri" w:eastAsia="Calibri" w:hAnsi="Calibri"/>
                <w:sz w:val="20"/>
                <w:szCs w:val="20"/>
              </w:rPr>
              <w:tab/>
              <w:t>8</w:t>
            </w:r>
          </w:hyperlink>
        </w:p>
        <w:p>
          <w:pPr>
            <w:tabs>
              <w:tab w:val="right" w:leader="dot" w:pos="9020"/>
            </w:tabs>
            <w:spacing w:before="20" w:after="20"/>
            <w:ind w:left="360"/>
          </w:pPr>
          <w:hyperlink w:anchor="_TocV11_9" w:history="1">
            <w:r>
              <w:rPr>
                <w:rFonts w:ascii="Calibri" w:cs="Calibri" w:eastAsia="Calibri" w:hAnsi="Calibri"/>
                <w:sz w:val="20"/>
                <w:szCs w:val="20"/>
              </w:rPr>
              <w:t xml:space="preserve">5.2 Functional modules</w:t>
            </w:r>
            <w:r>
              <w:rPr>
                <w:rFonts w:ascii="Calibri" w:cs="Calibri" w:eastAsia="Calibri" w:hAnsi="Calibri"/>
                <w:sz w:val="20"/>
                <w:szCs w:val="20"/>
              </w:rPr>
              <w:tab/>
              <w:t>8</w:t>
            </w:r>
          </w:hyperlink>
        </w:p>
        <w:p>
          <w:pPr>
            <w:tabs>
              <w:tab w:val="right" w:leader="dot" w:pos="9020"/>
            </w:tabs>
            <w:spacing w:before="20" w:after="20"/>
            <w:ind w:left="360"/>
          </w:pPr>
          <w:hyperlink w:anchor="_TocV11_10" w:history="1">
            <w:r>
              <w:rPr>
                <w:rFonts w:ascii="Calibri" w:cs="Calibri" w:eastAsia="Calibri" w:hAnsi="Calibri"/>
                <w:sz w:val="20"/>
                <w:szCs w:val="20"/>
              </w:rPr>
              <w:t xml:space="preserve">5.3 How CIMS connects to the national ecosystem</w:t>
            </w:r>
            <w:r>
              <w:rPr>
                <w:rFonts w:ascii="Calibri" w:cs="Calibri" w:eastAsia="Calibri" w:hAnsi="Calibri"/>
                <w:sz w:val="20"/>
                <w:szCs w:val="20"/>
              </w:rPr>
              <w:tab/>
              <w:t>9</w:t>
            </w:r>
          </w:hyperlink>
        </w:p>
        <w:p>
          <w:pPr>
            <w:tabs>
              <w:tab w:val="right" w:leader="dot" w:pos="9020"/>
            </w:tabs>
            <w:spacing w:before="20" w:after="20"/>
            <w:ind w:left="360"/>
          </w:pPr>
          <w:hyperlink w:anchor="_TocV11_11" w:history="1">
            <w:r>
              <w:rPr>
                <w:rFonts w:ascii="Calibri" w:cs="Calibri" w:eastAsia="Calibri" w:hAnsi="Calibri"/>
                <w:sz w:val="20"/>
                <w:szCs w:val="20"/>
              </w:rPr>
              <w:t xml:space="preserve">5.4 What has been built (October 2026)</w:t>
            </w:r>
            <w:r>
              <w:rPr>
                <w:rFonts w:ascii="Calibri" w:cs="Calibri" w:eastAsia="Calibri" w:hAnsi="Calibri"/>
                <w:sz w:val="20"/>
                <w:szCs w:val="20"/>
              </w:rPr>
              <w:tab/>
              <w:t>10</w:t>
            </w:r>
          </w:hyperlink>
        </w:p>
        <w:p>
          <w:pPr>
            <w:tabs>
              <w:tab w:val="right" w:leader="dot" w:pos="9020"/>
            </w:tabs>
            <w:spacing w:before="20" w:after="20"/>
            <w:ind w:left="360"/>
          </w:pPr>
          <w:hyperlink w:anchor="_TocV11_12" w:history="1">
            <w:r>
              <w:rPr>
                <w:rFonts w:ascii="Calibri" w:cs="Calibri" w:eastAsia="Calibri" w:hAnsi="Calibri"/>
                <w:sz w:val="20"/>
                <w:szCs w:val="20"/>
              </w:rPr>
              <w:t xml:space="preserve">5.5 Connections to national systems as built</w:t>
            </w:r>
            <w:r>
              <w:rPr>
                <w:rFonts w:ascii="Calibri" w:cs="Calibri" w:eastAsia="Calibri" w:hAnsi="Calibri"/>
                <w:sz w:val="20"/>
                <w:szCs w:val="20"/>
              </w:rPr>
              <w:tab/>
              <w:t>12</w:t>
            </w:r>
          </w:hyperlink>
        </w:p>
        <w:p>
          <w:pPr>
            <w:tabs>
              <w:tab w:val="right" w:leader="dot" w:pos="9020"/>
            </w:tabs>
            <w:spacing w:before="120" w:after="20"/>
            <w:ind w:left="0"/>
          </w:pPr>
          <w:hyperlink w:anchor="_TocV11_13" w:history="1">
            <w:r>
              <w:rPr>
                <w:rFonts w:ascii="Calibri" w:cs="Calibri" w:eastAsia="Calibri" w:hAnsi="Calibri"/>
                <w:b/>
                <w:bCs/>
                <w:color w:val="1F3864"/>
                <w:sz w:val="21"/>
                <w:szCs w:val="21"/>
              </w:rPr>
              <w:t xml:space="preserve">6. Value to Stakeholders</w:t>
            </w:r>
            <w:r>
              <w:rPr>
                <w:rFonts w:ascii="Calibri" w:cs="Calibri" w:eastAsia="Calibri" w:hAnsi="Calibri"/>
                <w:b/>
                <w:bCs/>
                <w:color w:val="1F3864"/>
                <w:sz w:val="21"/>
                <w:szCs w:val="21"/>
              </w:rPr>
              <w:tab/>
              <w:t>13</w:t>
            </w:r>
          </w:hyperlink>
        </w:p>
        <w:p>
          <w:pPr>
            <w:tabs>
              <w:tab w:val="right" w:leader="dot" w:pos="9020"/>
            </w:tabs>
            <w:spacing w:before="120" w:after="20"/>
            <w:ind w:left="0"/>
          </w:pPr>
          <w:hyperlink w:anchor="_TocV11_14" w:history="1">
            <w:r>
              <w:rPr>
                <w:rFonts w:ascii="Calibri" w:cs="Calibri" w:eastAsia="Calibri" w:hAnsi="Calibri"/>
                <w:b/>
                <w:bCs/>
                <w:color w:val="1F3864"/>
                <w:sz w:val="21"/>
                <w:szCs w:val="21"/>
              </w:rPr>
              <w:t xml:space="preserve">7. Scope</w:t>
            </w:r>
            <w:r>
              <w:rPr>
                <w:rFonts w:ascii="Calibri" w:cs="Calibri" w:eastAsia="Calibri" w:hAnsi="Calibri"/>
                <w:b/>
                <w:bCs/>
                <w:color w:val="1F3864"/>
                <w:sz w:val="21"/>
                <w:szCs w:val="21"/>
              </w:rPr>
              <w:tab/>
              <w:t>14</w:t>
            </w:r>
          </w:hyperlink>
        </w:p>
        <w:p>
          <w:pPr>
            <w:tabs>
              <w:tab w:val="right" w:leader="dot" w:pos="9020"/>
            </w:tabs>
            <w:spacing w:before="20" w:after="20"/>
            <w:ind w:left="360"/>
          </w:pPr>
          <w:hyperlink w:anchor="_TocV11_15" w:history="1">
            <w:r>
              <w:rPr>
                <w:rFonts w:ascii="Calibri" w:cs="Calibri" w:eastAsia="Calibri" w:hAnsi="Calibri"/>
                <w:sz w:val="20"/>
                <w:szCs w:val="20"/>
              </w:rPr>
              <w:t xml:space="preserve">7.1 In scope</w:t>
            </w:r>
            <w:r>
              <w:rPr>
                <w:rFonts w:ascii="Calibri" w:cs="Calibri" w:eastAsia="Calibri" w:hAnsi="Calibri"/>
                <w:sz w:val="20"/>
                <w:szCs w:val="20"/>
              </w:rPr>
              <w:tab/>
              <w:t>14</w:t>
            </w:r>
          </w:hyperlink>
        </w:p>
        <w:p>
          <w:pPr>
            <w:tabs>
              <w:tab w:val="right" w:leader="dot" w:pos="9020"/>
            </w:tabs>
            <w:spacing w:before="20" w:after="20"/>
            <w:ind w:left="360"/>
          </w:pPr>
          <w:hyperlink w:anchor="_TocV11_16" w:history="1">
            <w:r>
              <w:rPr>
                <w:rFonts w:ascii="Calibri" w:cs="Calibri" w:eastAsia="Calibri" w:hAnsi="Calibri"/>
                <w:sz w:val="20"/>
                <w:szCs w:val="20"/>
              </w:rPr>
              <w:t xml:space="preserve">7.2 Out of scope (initial version)</w:t>
            </w:r>
            <w:r>
              <w:rPr>
                <w:rFonts w:ascii="Calibri" w:cs="Calibri" w:eastAsia="Calibri" w:hAnsi="Calibri"/>
                <w:sz w:val="20"/>
                <w:szCs w:val="20"/>
              </w:rPr>
              <w:tab/>
              <w:t>14</w:t>
            </w:r>
          </w:hyperlink>
        </w:p>
        <w:p>
          <w:pPr>
            <w:tabs>
              <w:tab w:val="right" w:leader="dot" w:pos="9020"/>
            </w:tabs>
            <w:spacing w:before="120" w:after="20"/>
            <w:ind w:left="0"/>
          </w:pPr>
          <w:hyperlink w:anchor="_TocV11_17" w:history="1">
            <w:r>
              <w:rPr>
                <w:rFonts w:ascii="Calibri" w:cs="Calibri" w:eastAsia="Calibri" w:hAnsi="Calibri"/>
                <w:b/>
                <w:bCs/>
                <w:color w:val="1F3864"/>
                <w:sz w:val="21"/>
                <w:szCs w:val="21"/>
              </w:rPr>
              <w:t xml:space="preserve">8. Delivery and Commercial Model</w:t>
            </w:r>
            <w:r>
              <w:rPr>
                <w:rFonts w:ascii="Calibri" w:cs="Calibri" w:eastAsia="Calibri" w:hAnsi="Calibri"/>
                <w:b/>
                <w:bCs/>
                <w:color w:val="1F3864"/>
                <w:sz w:val="21"/>
                <w:szCs w:val="21"/>
              </w:rPr>
              <w:tab/>
              <w:t>14</w:t>
            </w:r>
          </w:hyperlink>
        </w:p>
        <w:p>
          <w:pPr>
            <w:tabs>
              <w:tab w:val="right" w:leader="dot" w:pos="9020"/>
            </w:tabs>
            <w:spacing w:before="20" w:after="20"/>
            <w:ind w:left="360"/>
          </w:pPr>
          <w:hyperlink w:anchor="_TocV11_18" w:history="1">
            <w:r>
              <w:rPr>
                <w:rFonts w:ascii="Calibri" w:cs="Calibri" w:eastAsia="Calibri" w:hAnsi="Calibri"/>
                <w:sz w:val="20"/>
                <w:szCs w:val="20"/>
              </w:rPr>
              <w:t xml:space="preserve">8.1 Deployment options</w:t>
            </w:r>
            <w:r>
              <w:rPr>
                <w:rFonts w:ascii="Calibri" w:cs="Calibri" w:eastAsia="Calibri" w:hAnsi="Calibri"/>
                <w:sz w:val="20"/>
                <w:szCs w:val="20"/>
              </w:rPr>
              <w:tab/>
              <w:t>15</w:t>
            </w:r>
          </w:hyperlink>
        </w:p>
        <w:p>
          <w:pPr>
            <w:tabs>
              <w:tab w:val="right" w:leader="dot" w:pos="9020"/>
            </w:tabs>
            <w:spacing w:before="20" w:after="20"/>
            <w:ind w:left="360"/>
          </w:pPr>
          <w:hyperlink w:anchor="_TocV11_19" w:history="1">
            <w:r>
              <w:rPr>
                <w:rFonts w:ascii="Calibri" w:cs="Calibri" w:eastAsia="Calibri" w:hAnsi="Calibri"/>
                <w:sz w:val="20"/>
                <w:szCs w:val="20"/>
              </w:rPr>
              <w:t xml:space="preserve">8.2 Why a shared platform works for the sector</w:t>
            </w:r>
            <w:r>
              <w:rPr>
                <w:rFonts w:ascii="Calibri" w:cs="Calibri" w:eastAsia="Calibri" w:hAnsi="Calibri"/>
                <w:sz w:val="20"/>
                <w:szCs w:val="20"/>
              </w:rPr>
              <w:tab/>
              <w:t>15</w:t>
            </w:r>
          </w:hyperlink>
        </w:p>
        <w:p>
          <w:pPr>
            <w:tabs>
              <w:tab w:val="right" w:leader="dot" w:pos="9020"/>
            </w:tabs>
            <w:spacing w:before="120" w:after="20"/>
            <w:ind w:left="0"/>
          </w:pPr>
          <w:hyperlink w:anchor="_TocV11_20" w:history="1">
            <w:r>
              <w:rPr>
                <w:rFonts w:ascii="Calibri" w:cs="Calibri" w:eastAsia="Calibri" w:hAnsi="Calibri"/>
                <w:b/>
                <w:bCs/>
                <w:color w:val="1F3864"/>
                <w:sz w:val="21"/>
                <w:szCs w:val="21"/>
              </w:rPr>
              <w:t xml:space="preserve">9. Implementation Approach</w:t>
            </w:r>
            <w:r>
              <w:rPr>
                <w:rFonts w:ascii="Calibri" w:cs="Calibri" w:eastAsia="Calibri" w:hAnsi="Calibri"/>
                <w:b/>
                <w:bCs/>
                <w:color w:val="1F3864"/>
                <w:sz w:val="21"/>
                <w:szCs w:val="21"/>
              </w:rPr>
              <w:tab/>
              <w:t>15</w:t>
            </w:r>
          </w:hyperlink>
        </w:p>
        <w:p>
          <w:pPr>
            <w:tabs>
              <w:tab w:val="right" w:leader="dot" w:pos="9020"/>
            </w:tabs>
            <w:spacing w:before="120" w:after="20"/>
            <w:ind w:left="0"/>
          </w:pPr>
          <w:hyperlink w:anchor="_TocV11_21" w:history="1">
            <w:r>
              <w:rPr>
                <w:rFonts w:ascii="Calibri" w:cs="Calibri" w:eastAsia="Calibri" w:hAnsi="Calibri"/>
                <w:b/>
                <w:bCs/>
                <w:color w:val="1F3864"/>
                <w:sz w:val="21"/>
                <w:szCs w:val="21"/>
              </w:rPr>
              <w:t xml:space="preserve">10. Expected Benefits</w:t>
            </w:r>
            <w:r>
              <w:rPr>
                <w:rFonts w:ascii="Calibri" w:cs="Calibri" w:eastAsia="Calibri" w:hAnsi="Calibri"/>
                <w:b/>
                <w:bCs/>
                <w:color w:val="1F3864"/>
                <w:sz w:val="21"/>
                <w:szCs w:val="21"/>
              </w:rPr>
              <w:tab/>
              <w:t>16</w:t>
            </w:r>
          </w:hyperlink>
        </w:p>
        <w:p>
          <w:pPr>
            <w:tabs>
              <w:tab w:val="right" w:leader="dot" w:pos="9020"/>
            </w:tabs>
            <w:spacing w:before="120" w:after="20"/>
            <w:ind w:left="0"/>
          </w:pPr>
          <w:hyperlink w:anchor="_TocV11_22" w:history="1">
            <w:r>
              <w:rPr>
                <w:rFonts w:ascii="Calibri" w:cs="Calibri" w:eastAsia="Calibri" w:hAnsi="Calibri"/>
                <w:b/>
                <w:bCs/>
                <w:color w:val="1F3864"/>
                <w:sz w:val="21"/>
                <w:szCs w:val="21"/>
              </w:rPr>
              <w:t xml:space="preserve">11. Key Risks</w:t>
            </w:r>
            <w:r>
              <w:rPr>
                <w:rFonts w:ascii="Calibri" w:cs="Calibri" w:eastAsia="Calibri" w:hAnsi="Calibri"/>
                <w:b/>
                <w:bCs/>
                <w:color w:val="1F3864"/>
                <w:sz w:val="21"/>
                <w:szCs w:val="21"/>
              </w:rPr>
              <w:tab/>
              <w:t>16</w:t>
            </w:r>
          </w:hyperlink>
        </w:p>
        <w:p>
          <w:pPr>
            <w:tabs>
              <w:tab w:val="right" w:leader="dot" w:pos="9020"/>
            </w:tabs>
            <w:spacing w:before="120" w:after="20"/>
            <w:ind w:left="0"/>
          </w:pPr>
          <w:hyperlink w:anchor="_TocV11_23" w:history="1">
            <w:r>
              <w:rPr>
                <w:rFonts w:ascii="Calibri" w:cs="Calibri" w:eastAsia="Calibri" w:hAnsi="Calibri"/>
                <w:b/>
                <w:bCs/>
                <w:color w:val="1F3864"/>
                <w:sz w:val="21"/>
                <w:szCs w:val="21"/>
              </w:rPr>
              <w:t xml:space="preserve">12. Recommendation and Next Steps</w:t>
            </w:r>
            <w:r>
              <w:rPr>
                <w:rFonts w:ascii="Calibri" w:cs="Calibri" w:eastAsia="Calibri" w:hAnsi="Calibri"/>
                <w:b/>
                <w:bCs/>
                <w:color w:val="1F3864"/>
                <w:sz w:val="21"/>
                <w:szCs w:val="21"/>
              </w:rPr>
              <w:tab/>
              <w:t>17</w:t>
            </w:r>
          </w:hyperlink>
        </w:p>
        <w:p>
          <w:r>
            <w:fldChar w:fldCharType="end"/>
          </w:r>
        </w:p>
      </w:sdtContent>
    </w:sdt>
    <w:p>
      <w:pPr>
        <w:spacing w:before="120"/>
      </w:pPr>
      <w:r>
        <w:rPr>
          <w:rFonts w:ascii="Calibri" w:cs="Calibri" w:eastAsia="Calibri" w:hAnsi="Calibri"/>
          <w:i/>
          <w:iCs/>
          <w:color w:val="595959"/>
          <w:sz w:val="16"/>
          <w:szCs w:val="16"/>
        </w:rPr>
        <w:t xml:space="preserve">If page numbers are not shown, right-click the table and choose Update Field.</w:t>
      </w:r>
    </w:p>
    <w:p>
      <w:r>
        <w:br w:type="page"/>
      </w:r>
    </w:p>
    <w:p>
      <w:pPr>
        <w:pStyle w:val="Heading1"/>
      </w:pPr>
      <w:bookmarkStart w:id="1" w:name="_TocV11_1"/>
      <w:r>
        <w:rPr>
          <w:rFonts w:ascii="Calibri" w:cs="Calibri" w:eastAsia="Calibri" w:hAnsi="Calibri"/>
        </w:rPr>
        <w:t xml:space="preserve">1. Executive Summary</w:t>
      </w:r>
      <w:bookmarkEnd w:id="1"/>
    </w:p>
    <w:p>
      <w:pPr>
        <w:spacing w:after="300"/>
      </w:pPr>
      <w:r>
        <w:rPr>
          <w:i/>
          <w:rFonts w:ascii="Calibri" w:cs="Calibri" w:eastAsia="Calibri" w:hAnsi="Calibri"/>
          <w:color w:val="595959"/>
          <w:sz w:val="22"/>
          <w:szCs w:val="22"/>
        </w:rPr>
        <w:t xml:space="preserve">This summary gives decision makers the whole case for CIMS on one page: the problem institutions face, what CIMS does about it, what has been built and what is asked of stakeholders. The sections that follow give the detail.</w:t>
      </w:r>
    </w:p>
    <w:p>
      <w:pPr>
        <w:spacing w:after="120" w:line="276"/>
        <w:jc w:val="both"/>
      </w:pPr>
      <w:r>
        <w:rPr>
          <w:rFonts w:ascii="Calibri" w:cs="Calibri" w:eastAsia="Calibri" w:hAnsi="Calibri"/>
        </w:rPr>
        <w:t xml:space="preserve">Technical and vocational institutions registered by the National Council for Technical and Vocational Education and Training (NACTVET) are central to Tanzania's skills agenda. They deliver National Vocational Award (NVA) Levels I–III and National Technical Award (NTA) Levels 4–8 programmes, compete for applicants every intake, and must report admissions, registrations and examination results to NACTVET to tight deadlines. Many still manage these duties with spreadsheets, stand-alone tools and paper files. The result is slow admissions, repeated data entry, revenue leakage, disputed results and late reports.</w:t>
      </w:r>
    </w:p>
    <w:p>
      <w:pPr>
        <w:spacing w:after="120" w:line="276"/>
        <w:jc w:val="both"/>
      </w:pPr>
      <w:r>
        <w:rPr>
          <w:rFonts w:ascii="Calibri" w:cs="Calibri" w:eastAsia="Calibri" w:hAnsi="Calibri"/>
        </w:rPr>
        <w:t xml:space="preserve">This Concept Note, prepared by </w:t>
      </w:r>
      <w:r>
        <w:rPr>
          <w:rFonts w:ascii="Calibri" w:cs="Calibri" w:eastAsia="Calibri" w:hAnsi="Calibri"/>
          <w:b/>
          <w:bCs/>
        </w:rPr>
        <w:t xml:space="preserve">Msingi Technologies Ltd</w:t>
      </w:r>
      <w:r>
        <w:rPr>
          <w:rFonts w:ascii="Calibri" w:cs="Calibri" w:eastAsia="Calibri" w:hAnsi="Calibri"/>
        </w:rPr>
        <w:t xml:space="preserve">, proposes the </w:t>
      </w:r>
      <w:r>
        <w:rPr>
          <w:rFonts w:ascii="Calibri" w:cs="Calibri" w:eastAsia="Calibri" w:hAnsi="Calibri"/>
          <w:b/>
          <w:bCs/>
        </w:rPr>
        <w:t xml:space="preserve">College/Institution Management System (CIMS)</w:t>
      </w:r>
      <w:r>
        <w:rPr>
          <w:rFonts w:ascii="Calibri" w:cs="Calibri" w:eastAsia="Calibri" w:hAnsi="Calibri"/>
        </w:rPr>
        <w:t xml:space="preserve">: one secure, web-based platform that runs the full student lifecycle from online application to graduation. Each institution gets </w:t>
      </w:r>
      <w:r>
        <w:rPr>
          <w:rFonts w:ascii="Calibri" w:cs="Calibri" w:eastAsia="Calibri" w:hAnsi="Calibri"/>
          <w:b/>
          <w:bCs/>
        </w:rPr>
        <w:t xml:space="preserve">its own branded online admission portal</w:t>
      </w:r>
      <w:r>
        <w:rPr>
          <w:rFonts w:ascii="Calibri" w:cs="Calibri" w:eastAsia="Calibri" w:hAnsi="Calibri"/>
        </w:rPr>
        <w:t xml:space="preserve"> on its own web address, its own fee structures and its own examination regulations, while sharing a common, professionally maintained platform. CIMS links directly to the national systems institutions already depend on — NACTVET, NECTA, GePG, HESLB and SMS/email gateways — so data is captured once and reused everywhere.</w:t>
      </w:r>
    </w:p>
    <w:p>
      <w:pPr>
        <w:pBdr>
          <w:left w:val="single" w:color="0E7C7B" w:sz="24" w:space="8"/>
        </w:pBdr>
        <w:shd w:fill="E8F4F3" w:color="auto" w:val="clear"/>
        <w:spacing w:after="160" w:before="120" w:line="276"/>
        <w:ind w:left="200" w:right="200"/>
      </w:pPr>
      <w:r>
        <w:rPr>
          <w:rFonts w:ascii="Calibri" w:cs="Calibri" w:eastAsia="Calibri" w:hAnsi="Calibri"/>
          <w:b/>
          <w:bCs/>
          <w:color w:val="1D3B3A"/>
        </w:rPr>
        <w:t xml:space="preserve">The proposition in one sentence:</w:t>
      </w:r>
      <w:r>
        <w:rPr>
          <w:rFonts w:ascii="Calibri" w:cs="Calibri" w:eastAsia="Calibri" w:hAnsi="Calibri"/>
          <w:color w:val="1D3B3A"/>
        </w:rPr>
        <w:t xml:space="preserve"> CIMS gives every NACTVET-registered institution a modern, compliant digital campus — online admissions, records, examinations, fees, hostels and reports — at a predictable annual cost, without the institution having to build or run its own software team.</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Status in October 2026 (version 3.0):</w:t>
      </w:r>
      <w:r>
        <w:rPr>
          <w:rFonts w:ascii="Calibri" w:cs="Calibri" w:eastAsia="Calibri" w:hAnsi="Calibri"/>
        </w:rPr>
        <w:t xml:space="preserve"> CIMS has been built. The development build covers the core scope of all three planned releases: online admission with NECTA and NACTVET look-ups, selection, NACTVET verification and offers, admission letters, registry, fees with GePG control numbers and reconciliation, sponsors, waivers and refunds, teaching and attendance, NTA examinations and NVA competence assessment, results, resits, appeals and transcripts, hostels, industrial practical training, clearance and graduation, the student portal, messaging, reports and the Msingi platform console. GePG, SMS and NACTVET verification run against simulators until live access is granted. Section 5.4 lists what is built and what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At a glance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Target institutions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Public and private institutions registered by NACTVET to deliver NVA and/or NTA programmes (certificate and diploma level, and higher where accredited).</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Core outcome</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A single source of truth for applicants, students, programmes, results, payments and hostels, with regulator-ready reporting.</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Admission model</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Each institution runs its own online admission system (no central admission), with built-in submission of admitted applicants to NACTVET for verification.</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Delivery model</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Cloud subscription (multi-tenant, hosted in Tanzania) as the default; dedicated installation on institution or government infrastructure as an option.</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Delivery timeline</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 build of the core scope of all three releases completed in October 2026, ahead of the November 2026 start assumed in version 2.0. Next: live integrations, hardening, pilots and go-live before the 2027/28 application window.</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Technology</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Java 21 / Spring Boot 3.3, React 18 with TypeScript and MUI, PostgreSQL 16 with row-level security, Flyway, Docker — open source, no per-user licence fees. The build signs in users with its own token issuer; Keycloak is planned for single sign-on and multi-factor authentication.</w:t>
            </w:r>
          </w:p>
        </w:tc>
      </w:tr>
    </w:tbl>
    <w:p>
      <w:pPr>
        <w:spacing w:after="120"/>
      </w:pPr>
    </w:p>
    <w:p>
      <w:pPr>
        <w:pStyle w:val="Heading1"/>
      </w:pPr>
      <w:bookmarkStart w:id="2" w:name="_TocV11_2"/>
      <w:r>
        <w:rPr>
          <w:rFonts w:ascii="Calibri" w:cs="Calibri" w:eastAsia="Calibri" w:hAnsi="Calibri"/>
        </w:rPr>
        <w:t xml:space="preserve">2. Background and Context</w:t>
      </w:r>
      <w:bookmarkEnd w:id="2"/>
    </w:p>
    <w:p>
      <w:pPr>
        <w:spacing w:after="300"/>
      </w:pPr>
      <w:r>
        <w:rPr>
          <w:i/>
          <w:rFonts w:ascii="Calibri" w:cs="Calibri" w:eastAsia="Calibri" w:hAnsi="Calibri"/>
          <w:color w:val="595959"/>
          <w:sz w:val="22"/>
          <w:szCs w:val="22"/>
        </w:rPr>
        <w:t xml:space="preserve">This section sets out the environment in which CIMS will operate: how the technical and vocational education sector is regulated and how admissions and student records are handled today. It explains why the system is designed the way it is.</w:t>
      </w:r>
    </w:p>
    <w:p>
      <w:pPr>
        <w:pStyle w:val="Heading2"/>
      </w:pPr>
      <w:bookmarkStart w:id="3" w:name="_TocV11_3"/>
      <w:r>
        <w:rPr>
          <w:rFonts w:ascii="Calibri" w:cs="Calibri" w:eastAsia="Calibri" w:hAnsi="Calibri"/>
        </w:rPr>
        <w:t xml:space="preserve">2.1 The TVET sector and NACTVET</w:t>
      </w:r>
      <w:bookmarkEnd w:id="3"/>
    </w:p>
    <w:p>
      <w:pPr>
        <w:spacing w:after="300"/>
      </w:pPr>
      <w:r>
        <w:rPr>
          <w:i/>
          <w:rFonts w:ascii="Calibri" w:cs="Calibri" w:eastAsia="Calibri" w:hAnsi="Calibri"/>
          <w:color w:val="595959"/>
          <w:sz w:val="22"/>
          <w:szCs w:val="22"/>
        </w:rPr>
        <w:t xml:space="preserve">Readers new to the sector will find here the role of NACTVET and the award levels CIMS must support. These rules drive much of the system's design, from entry requirements to grading and regulator submissions.</w:t>
      </w:r>
    </w:p>
    <w:p>
      <w:pPr>
        <w:spacing w:after="120" w:line="276"/>
        <w:jc w:val="both"/>
      </w:pPr>
      <w:r>
        <w:rPr>
          <w:rFonts w:ascii="Calibri" w:cs="Calibri" w:eastAsia="Calibri" w:hAnsi="Calibri"/>
        </w:rPr>
        <w:t xml:space="preserve">NACTVET regulates technical and vocational education and training in Tanzania. It registers and accredits institutions, approves curricula, sets minimum entry requirements, verifies admitted applicants, registers students and awards qualifications within the TVET Qualifications Framework. Two award families are relevant to CIMS: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3159"/>
        <w:gridCol w:w="4062"/>
      </w:tblGrid>
      <w:tr>
        <w:trPr>
          <w:tblHeader/>
        </w:trPr>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Award family</w:t>
            </w:r>
          </w:p>
        </w:tc>
        <w:tc>
          <w:tcPr>
            <w:tcW w:type="dxa" w:w="315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Levels</w:t>
            </w:r>
          </w:p>
        </w:tc>
        <w:tc>
          <w:tcPr>
            <w:tcW w:type="dxa" w:w="406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Assessment character</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NVA — National Vocational Award</w:t>
            </w:r>
          </w:p>
        </w:tc>
        <w:tc>
          <w:tcPr>
            <w:tcW w:type="dxa" w:w="315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Level I, Level II, Level III (Certificate of Competence)</w:t>
            </w:r>
          </w:p>
        </w:tc>
        <w:tc>
          <w:tcPr>
            <w:tcW w:type="dxa" w:w="406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Competence-based: practical tasks, workplace assessment and trade tests; results recorded as competent / not yet competent per unit, plus theory scores where applicable.</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NTA — National Technical Award</w:t>
            </w:r>
          </w:p>
        </w:tc>
        <w:tc>
          <w:tcPr>
            <w:tcW w:type="dxa" w:w="315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NTA 4 Basic Technician Certificate; NTA 5 Technician Certificate; NTA 6 Ordinary Diploma; NTA 7 Higher Diploma; NTA 8 Bachelor Degree</w:t>
            </w:r>
          </w:p>
        </w:tc>
        <w:tc>
          <w:tcPr>
            <w:tcW w:type="dxa" w:w="406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Competence-based modular curricula with credits; continuous assessment (CA) and semester examination (SE); grade points, GPA and award classification set by examination regulations.</w:t>
            </w:r>
          </w:p>
        </w:tc>
      </w:tr>
    </w:tbl>
    <w:p>
      <w:pPr>
        <w:spacing w:after="200" w:before="60"/>
        <w:jc w:val="center"/>
      </w:pPr>
      <w:r>
        <w:rPr>
          <w:rFonts w:ascii="Calibri" w:cs="Calibri" w:eastAsia="Calibri" w:hAnsi="Calibri"/>
          <w:i/>
          <w:iCs/>
          <w:color w:val="595959"/>
          <w:sz w:val="18"/>
          <w:szCs w:val="18"/>
        </w:rPr>
        <w:t xml:space="preserve">Table 1: TVET awards that CIMS must support</w:t>
      </w:r>
    </w:p>
    <w:p>
      <w:pPr>
        <w:pStyle w:val="Heading2"/>
      </w:pPr>
      <w:bookmarkStart w:id="4" w:name="_TocV11_4"/>
      <w:r>
        <w:rPr>
          <w:rFonts w:ascii="Calibri" w:cs="Calibri" w:eastAsia="Calibri" w:hAnsi="Calibri"/>
        </w:rPr>
        <w:t xml:space="preserve">2.2 How admissions work today</w:t>
      </w:r>
      <w:bookmarkEnd w:id="4"/>
    </w:p>
    <w:p>
      <w:pPr>
        <w:spacing w:after="300"/>
      </w:pPr>
      <w:r>
        <w:rPr>
          <w:i/>
          <w:rFonts w:ascii="Calibri" w:cs="Calibri" w:eastAsia="Calibri" w:hAnsi="Calibri"/>
          <w:color w:val="595959"/>
          <w:sz w:val="22"/>
          <w:szCs w:val="22"/>
        </w:rPr>
        <w:t xml:space="preserve">This sub-section describes the current admission process from application to NACTVET verification. Understanding today's steps shows where time is lost and errors occur, which CIMS is designed to remove.</w:t>
      </w:r>
    </w:p>
    <w:p>
      <w:pPr>
        <w:spacing w:after="120" w:line="276"/>
        <w:jc w:val="both"/>
      </w:pPr>
      <w:r>
        <w:rPr>
          <w:rFonts w:ascii="Calibri" w:cs="Calibri" w:eastAsia="Calibri" w:hAnsi="Calibri"/>
        </w:rPr>
        <w:t xml:space="preserve">For most non-health programmes, applicants apply </w:t>
      </w:r>
      <w:r>
        <w:rPr>
          <w:rFonts w:ascii="Calibri" w:cs="Calibri" w:eastAsia="Calibri" w:hAnsi="Calibri"/>
          <w:b/>
          <w:bCs/>
        </w:rPr>
        <w:t xml:space="preserve">directly to each institution</w:t>
      </w:r>
      <w:r>
        <w:rPr>
          <w:rFonts w:ascii="Calibri" w:cs="Calibri" w:eastAsia="Calibri" w:hAnsi="Calibri"/>
        </w:rPr>
        <w:t xml:space="preserve">. The institution screens applicants against NACTVET minimum entry requirements, selects within its approved capacity and forwards the selected applicants to NACTVET for verification. Verified applicants receive a confirmation code that proves admission, and applicants admitted by more than one institution must confirm one. Institutions then register students, collect fees through the Government electronic Payment Gateway (GePG) where applicable, teach, examine and submit results.</w:t>
      </w:r>
    </w:p>
    <w:p>
      <w:pPr>
        <w:spacing w:after="120" w:line="276"/>
        <w:jc w:val="both"/>
      </w:pPr>
      <w:r>
        <w:rPr>
          <w:rFonts w:ascii="Calibri" w:cs="Calibri" w:eastAsia="Calibri" w:hAnsi="Calibri"/>
        </w:rPr>
        <w:t xml:space="preserve">Every one of these steps has a deadline and a data format set by someone outside the institution. An institution that cannot produce clean, verified data on time risks losing applicants, delaying student registration, or facing compliance issues with the regulator.</w:t>
      </w:r>
    </w:p>
    <w:p>
      <w:pPr>
        <w:pStyle w:val="Heading1"/>
      </w:pPr>
      <w:bookmarkStart w:id="5" w:name="_TocV11_5"/>
      <w:r>
        <w:rPr>
          <w:rFonts w:ascii="Calibri" w:cs="Calibri" w:eastAsia="Calibri" w:hAnsi="Calibri"/>
        </w:rPr>
        <w:t xml:space="preserve">3. Problem Statement</w:t>
      </w:r>
      <w:bookmarkEnd w:id="5"/>
    </w:p>
    <w:p>
      <w:pPr>
        <w:spacing w:after="300"/>
      </w:pPr>
      <w:r>
        <w:rPr>
          <w:i/>
          <w:rFonts w:ascii="Calibri" w:cs="Calibri" w:eastAsia="Calibri" w:hAnsi="Calibri"/>
          <w:color w:val="595959"/>
          <w:sz w:val="22"/>
          <w:szCs w:val="22"/>
        </w:rPr>
        <w:t xml:space="preserve">This section names the problems institutions face today and what each one costs them in money, time, errors and lost applicants. Each problem is answered by a part of CIMS described later in the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tblHeader/>
        </w:trPr>
        <w:tc>
          <w:tcPr>
            <w:tcW w:type="dxa" w:w="252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Problem</w:t>
            </w:r>
          </w:p>
        </w:tc>
        <w:tc>
          <w:tcPr>
            <w:tcW w:type="dxa" w:w="649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What it costs the institution</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Paper and spreadsheet admissions</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Applicants travel or post documents; staff re-type data; eligibility errors surface only at NACTVET verification; slow response loses applicants to competing institutions.</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Fragmented records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Admissions, registry, examinations, finance and hostel each keep their own lists. The same student is captured several times, with conflicting names and numbers.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Manual result processing</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Marks pass between lecturers, departments and committees in spreadsheets. GPA and supplementary decisions are calculated by hand, so errors and disputes are common and changes are hard to trace.</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Revenue leakage and weak reconciliation</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Payments are matched to students manually; balances are unclear; exam and graduation clearance depend on paper receipts.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Late regulatory submissions</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Preparing NACTVET verification, registration and results files is a scramble every cycle.</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 management visibility</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Principals and boards wait days or weeks for enrolment, collection and pass-rate figures.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Weak security and audit trail</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Shared logins, no record of who changed a mark or waived a fee, and personal data held in uncontrolled files — a growing risk under the Personal Data Protection Act, 2022.</w:t>
            </w:r>
          </w:p>
        </w:tc>
      </w:tr>
    </w:tbl>
    <w:p>
      <w:pPr>
        <w:spacing w:after="120"/>
      </w:pPr>
    </w:p>
    <w:p>
      <w:pPr>
        <w:pStyle w:val="Heading1"/>
      </w:pPr>
      <w:bookmarkStart w:id="6" w:name="_TocV11_6"/>
      <w:r>
        <w:rPr>
          <w:rFonts w:ascii="Calibri" w:cs="Calibri" w:eastAsia="Calibri" w:hAnsi="Calibri"/>
        </w:rPr>
        <w:t xml:space="preserve">4. Vision and Objectives</w:t>
      </w:r>
      <w:bookmarkEnd w:id="6"/>
    </w:p>
    <w:p>
      <w:pPr>
        <w:spacing w:after="300"/>
      </w:pPr>
      <w:r>
        <w:rPr>
          <w:i/>
          <w:rFonts w:ascii="Calibri" w:cs="Calibri" w:eastAsia="Calibri" w:hAnsi="Calibri"/>
          <w:color w:val="595959"/>
          <w:sz w:val="22"/>
          <w:szCs w:val="22"/>
        </w:rPr>
        <w:t xml:space="preserve">This section states what CIMS aims to achieve: a long-term vision and specific, measurable objectives. The objectives are the yardstick against which stakeholders can judge whether the project has succeeded.</w:t>
      </w:r>
    </w:p>
    <w:p>
      <w:pPr>
        <w:pBdr>
          <w:left w:val="single" w:color="0E7C7B" w:sz="24" w:space="8"/>
        </w:pBdr>
        <w:shd w:fill="E8F4F3" w:color="auto" w:val="clear"/>
        <w:spacing w:after="160" w:before="120" w:line="276"/>
        <w:ind w:left="200" w:right="200"/>
      </w:pPr>
      <w:r>
        <w:rPr>
          <w:rFonts w:ascii="Calibri" w:cs="Calibri" w:eastAsia="Calibri" w:hAnsi="Calibri"/>
          <w:b/>
          <w:bCs/>
          <w:color w:val="1D3B3A"/>
        </w:rPr>
        <w:t xml:space="preserve">Vision:</w:t>
      </w:r>
      <w:r>
        <w:rPr>
          <w:rFonts w:ascii="Calibri" w:cs="Calibri" w:eastAsia="Calibri" w:hAnsi="Calibri"/>
          <w:color w:val="1D3B3A"/>
        </w:rPr>
        <w:t xml:space="preserve"> Every NACTVET-registered institution runs on a single, trusted digital platform that serves applicants and students online, gets regulator submissions right first time, and gives leaders real-time insight.</w:t>
      </w:r>
    </w:p>
    <w:p>
      <w:pPr>
        <w:spacing w:after="120" w:line="276"/>
        <w:jc w:val="both"/>
      </w:pPr>
      <w:r>
        <w:rPr>
          <w:rFonts w:ascii="Calibri" w:cs="Calibri" w:eastAsia="Calibri" w:hAnsi="Calibri"/>
        </w:rPr>
        <w:t xml:space="preserve">The project objectives are specific and measurable so that progress can be demonstrated to boards and funders: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4693"/>
        <w:gridCol w:w="3611"/>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469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Objective</w:t>
            </w:r>
          </w:p>
        </w:tc>
        <w:tc>
          <w:tcPr>
            <w:tcW w:type="dxa" w:w="361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Measure of success (first full year)</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O1</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Move admissions fully online with automated eligibility checking against NACTVET minimum entry requirements.</w:t>
            </w:r>
          </w:p>
        </w:tc>
        <w:tc>
          <w:tcPr>
            <w:tcW w:type="dxa" w:w="36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100% of applications received online; admission decision time reduced by at least 50%.</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O2</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Get NACTVET admission verification right first time.</w:t>
            </w:r>
          </w:p>
        </w:tc>
        <w:tc>
          <w:tcPr>
            <w:tcW w:type="dxa" w:w="361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At least 95% of submitted applicants verified without query.</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O3</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Create one registry record per student, reused by every office.</w:t>
            </w:r>
          </w:p>
        </w:tc>
        <w:tc>
          <w:tcPr>
            <w:tcW w:type="dxa" w:w="36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Zero duplicate student records; registration completed within the first two weeks of the semester.</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O4</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Automate marks processing, approvals, GPA and progression decisions under configured regulations.</w:t>
            </w:r>
          </w:p>
        </w:tc>
        <w:tc>
          <w:tcPr>
            <w:tcW w:type="dxa" w:w="361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Results published within the period set by the institution's regulations (e.g. three weeks after exams); every mark change traceable.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O5</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Collect all fees through GePG control numbers with automatic receipting and reconciliation.</w:t>
            </w:r>
          </w:p>
        </w:tc>
        <w:tc>
          <w:tcPr>
            <w:tcW w:type="dxa" w:w="36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Daily reconciliation; at least 98% of payments auto-matched to students.</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O6</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Manage hostel beds, industrial practical training and graduation clearance digitally.</w:t>
            </w:r>
          </w:p>
        </w:tc>
        <w:tc>
          <w:tcPr>
            <w:tcW w:type="dxa" w:w="361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Live occupancy; clearance completed online.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O7</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Provide dashboards and a standard report catalogue, including regulator returns.</w:t>
            </w:r>
          </w:p>
        </w:tc>
        <w:tc>
          <w:tcPr>
            <w:tcW w:type="dxa" w:w="361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Management reports available on demand; regulator files generated from the system.</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O8</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Protect data and prove accountability.</w:t>
            </w:r>
          </w:p>
        </w:tc>
        <w:tc>
          <w:tcPr>
            <w:tcW w:type="dxa" w:w="361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Role-based access with MFA for privileged users; complete audit trail; compliance with PDPA 2022.</w:t>
            </w:r>
          </w:p>
        </w:tc>
      </w:tr>
    </w:tbl>
    <w:p>
      <w:pPr>
        <w:spacing w:after="120"/>
      </w:pPr>
    </w:p>
    <w:p>
      <w:pPr>
        <w:pStyle w:val="Heading1"/>
      </w:pPr>
      <w:bookmarkStart w:id="7" w:name="_TocV11_7"/>
      <w:r>
        <w:rPr>
          <w:rFonts w:ascii="Calibri" w:cs="Calibri" w:eastAsia="Calibri" w:hAnsi="Calibri"/>
        </w:rPr>
        <w:t xml:space="preserve">5. Proposed Solution</w:t>
      </w:r>
      <w:bookmarkEnd w:id="7"/>
    </w:p>
    <w:p>
      <w:pPr>
        <w:spacing w:after="300"/>
      </w:pPr>
      <w:r>
        <w:rPr>
          <w:i/>
          <w:rFonts w:ascii="Calibri" w:cs="Calibri" w:eastAsia="Calibri" w:hAnsi="Calibri"/>
          <w:color w:val="595959"/>
          <w:sz w:val="22"/>
          <w:szCs w:val="22"/>
        </w:rPr>
        <w:t xml:space="preserve">This section describes CIMS itself: how it covers the whole student lifecycle, the modules it is made of, how it connects to national systems, and what has already been built.</w:t>
      </w:r>
    </w:p>
    <w:p>
      <w:pPr>
        <w:pStyle w:val="Heading2"/>
      </w:pPr>
      <w:bookmarkStart w:id="8" w:name="_TocV11_8"/>
      <w:r>
        <w:rPr>
          <w:rFonts w:ascii="Calibri" w:cs="Calibri" w:eastAsia="Calibri" w:hAnsi="Calibri"/>
        </w:rPr>
        <w:t xml:space="preserve">5.1 The student lifecycle on one platform</w:t>
      </w:r>
      <w:bookmarkEnd w:id="8"/>
    </w:p>
    <w:p>
      <w:pPr>
        <w:spacing w:after="300"/>
      </w:pPr>
      <w:r>
        <w:rPr>
          <w:i/>
          <w:rFonts w:ascii="Calibri" w:cs="Calibri" w:eastAsia="Calibri" w:hAnsi="Calibri"/>
          <w:color w:val="595959"/>
          <w:sz w:val="22"/>
          <w:szCs w:val="22"/>
        </w:rPr>
        <w:t xml:space="preserve">The figure below shows the journey of a student through an institution, from application to graduation, and that every stage is handled in one system rather than in separate tools.</w:t>
      </w:r>
    </w:p>
    <w:p>
      <w:pPr>
        <w:spacing w:after="60" w:before="120"/>
        <w:jc w:val="center"/>
      </w:pPr>
      <w:r>
        <w:drawing>
          <wp:inline distT="0" distB="0" distL="0" distR="0">
            <wp:extent cx="5715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0668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The student lifecycle supported end-to-end by CIMS</w:t>
      </w:r>
    </w:p>
    <w:p>
      <w:pPr>
        <w:pStyle w:val="Heading2"/>
      </w:pPr>
      <w:bookmarkStart w:id="9" w:name="_TocV11_9"/>
      <w:r>
        <w:rPr>
          <w:rFonts w:ascii="Calibri" w:cs="Calibri" w:eastAsia="Calibri" w:hAnsi="Calibri"/>
        </w:rPr>
        <w:t xml:space="preserve">5.2 Functional modules</w:t>
      </w:r>
      <w:bookmarkEnd w:id="9"/>
    </w:p>
    <w:p>
      <w:pPr>
        <w:spacing w:after="300"/>
      </w:pPr>
      <w:r>
        <w:rPr>
          <w:i/>
          <w:rFonts w:ascii="Calibri" w:cs="Calibri" w:eastAsia="Calibri" w:hAnsi="Calibri"/>
          <w:color w:val="595959"/>
          <w:sz w:val="22"/>
          <w:szCs w:val="22"/>
        </w:rPr>
        <w:t xml:space="preserve">CIMS is organised into modules, each serving one area of the institution's work. The table lists what each module does and the release in which it is delivered.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5235"/>
        <w:gridCol w:w="1625"/>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Module</w:t>
            </w:r>
          </w:p>
        </w:tc>
        <w:tc>
          <w:tcPr>
            <w:tcW w:type="dxa" w:w="523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What it does</w:t>
            </w:r>
          </w:p>
        </w:tc>
        <w:tc>
          <w:tcPr>
            <w:tcW w:type="dxa" w:w="162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Release</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M01 Online Admission Portal</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Institution-branded portal: applicant accounts, NECTA results retrieval by index number, AVN capture for NTA holders, programme choices, document upload, application fee via GePG, automated eligibility, ranking, selection, admission letters, offer acceptance, NACTVET verification submission and confirmation tracking.</w:t>
            </w:r>
          </w:p>
        </w:tc>
        <w:tc>
          <w:tcPr>
            <w:tcW w:type="dxa" w:w="1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M02 Student Registry</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Single student record, registration number generation, semester registration, status lifecycle (active, postponed, suspended, discontinued, completed, graduated), ID cards, programme transfers, next of kin and sponsors.</w:t>
            </w:r>
          </w:p>
        </w:tc>
        <w:tc>
          <w:tcPr>
            <w:tcW w:type="dxa" w:w="162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M03 Academic Structure</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Departments, programmes by NTA/NVA level, curricula, modules/units with credits, academic years, semesters and intakes (e.g. September and March).</w:t>
            </w:r>
          </w:p>
        </w:tc>
        <w:tc>
          <w:tcPr>
            <w:tcW w:type="dxa" w:w="1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M04 Teaching &amp; Attendance</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Module offerings, lecturer and assessor allocation, class lists, attendance capture and examination eligibility based on attendance thresholds.</w:t>
            </w:r>
          </w:p>
        </w:tc>
        <w:tc>
          <w:tcPr>
            <w:tcW w:type="dxa" w:w="162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R2</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M05 Assessment &amp; Examination</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NTA: CA and SE marks, moderation, multi-level approval, grades, GPA, supplementary, special, carry-over, repeat and discontinuation decisions. NVA: competence records, practical and trade test results. Results publication and NACTVET results files.</w:t>
            </w:r>
          </w:p>
        </w:tc>
        <w:tc>
          <w:tcPr>
            <w:tcW w:type="dxa" w:w="1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R2</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M06 Finance &amp; Fees</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Fee structures, itemised invoices, GePG control numbers, payment notifications, receipts, instalments, waivers, scholarships, HESLB and sponsor handling, refunds, reconciliation and clearance gates.</w:t>
            </w:r>
          </w:p>
        </w:tc>
        <w:tc>
          <w:tcPr>
            <w:tcW w:type="dxa" w:w="162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 core, R3 advanced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M07 Hostel &amp; Accommodation</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Hostels, blocks, rooms and beds; applications and allocation by gender and priority; hostel fees; check-in/out; damages and maintenance requests.</w:t>
            </w:r>
          </w:p>
        </w:tc>
        <w:tc>
          <w:tcPr>
            <w:tcW w:type="dxa" w:w="1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R3</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M08 Industrial Practical Training</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Placement organisations, student placement, supervisor assignment, logbooks, assessment and IPT results feeding examination records.</w:t>
            </w:r>
          </w:p>
        </w:tc>
        <w:tc>
          <w:tcPr>
            <w:tcW w:type="dxa" w:w="162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R3</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M09 Clearance, Graduation &amp; Alumni</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Online clearance (department, library, hostel, finance, sports), graduation lists, transcripts and certificates with QR verification, alumni and tracer data.</w:t>
            </w:r>
          </w:p>
        </w:tc>
        <w:tc>
          <w:tcPr>
            <w:tcW w:type="dxa" w:w="1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R3</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M10 Student Self-Service</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Mobile-friendly portal (installable web app): registration, invoices, payment status, results, hostel, clearance, documents and notices.</w:t>
            </w:r>
          </w:p>
        </w:tc>
        <w:tc>
          <w:tcPr>
            <w:tcW w:type="dxa" w:w="162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R1–R3</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M11 Reports &amp; Dashboards</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Role-based dashboards, standard report catalogue (PDF/Excel) and regulator returns.</w:t>
            </w:r>
          </w:p>
        </w:tc>
        <w:tc>
          <w:tcPr>
            <w:tcW w:type="dxa" w:w="1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R1–R3</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M12 Communication</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SMS, email and in-app notifications; bulk messaging by programme, level or status; message templates in English and Kiswahili.</w:t>
            </w:r>
          </w:p>
        </w:tc>
        <w:tc>
          <w:tcPr>
            <w:tcW w:type="dxa" w:w="162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M13 Administration &amp; Security</w:t>
            </w:r>
          </w:p>
        </w:tc>
        <w:tc>
          <w:tcPr>
            <w:tcW w:type="dxa" w:w="523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Tenant setup, branding, users, roles, data scopes, approval workflows, audit logs, parameters.</w:t>
            </w:r>
          </w:p>
        </w:tc>
        <w:tc>
          <w:tcPr>
            <w:tcW w:type="dxa" w:w="162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M14 Integration Hub</w:t>
            </w:r>
          </w:p>
        </w:tc>
        <w:tc>
          <w:tcPr>
            <w:tcW w:type="dxa" w:w="523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Connectors to NACTVET, NECTA, GePG, HESLB, NIDA, SMS, email, MUSE/ERP and TAMISEMI selections (where applicable).</w:t>
            </w:r>
          </w:p>
        </w:tc>
        <w:tc>
          <w:tcPr>
            <w:tcW w:type="dxa" w:w="162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R1–R3</w:t>
            </w:r>
          </w:p>
        </w:tc>
      </w:tr>
    </w:tbl>
    <w:p>
      <w:pPr>
        <w:spacing w:after="120"/>
      </w:pPr>
    </w:p>
    <w:p>
      <w:pPr>
        <w:pStyle w:val="Heading2"/>
      </w:pPr>
      <w:bookmarkStart w:id="10" w:name="_TocV11_10"/>
      <w:r>
        <w:rPr>
          <w:rFonts w:ascii="Calibri" w:cs="Calibri" w:eastAsia="Calibri" w:hAnsi="Calibri"/>
        </w:rPr>
        <w:t xml:space="preserve">5.3 How CIMS connects to the national ecosystem</w:t>
      </w:r>
      <w:bookmarkEnd w:id="10"/>
    </w:p>
    <w:p>
      <w:pPr>
        <w:spacing w:after="300"/>
      </w:pPr>
      <w:r>
        <w:rPr>
          <w:i/>
          <w:rFonts w:ascii="Calibri" w:cs="Calibri" w:eastAsia="Calibri" w:hAnsi="Calibri"/>
          <w:color w:val="595959"/>
          <w:sz w:val="22"/>
          <w:szCs w:val="22"/>
        </w:rPr>
        <w:t xml:space="preserve">Institutions must exchange data with NECTA, NACTVET, GePG and other national bodies. This sub-section explains how CIMS connects to each one, directly where an interface exists and through generated files where it does not.</w:t>
      </w:r>
    </w:p>
    <w:p>
      <w:pPr>
        <w:spacing w:after="6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813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CIMS in the national ecosystem</w:t>
      </w:r>
    </w:p>
    <w:p>
      <w:pPr>
        <w:spacing w:after="120" w:line="276"/>
        <w:jc w:val="both"/>
      </w:pPr>
      <w:r>
        <w:rPr>
          <w:rFonts w:ascii="Calibri" w:cs="Calibri" w:eastAsia="Calibri" w:hAnsi="Calibri"/>
        </w:rPr>
        <w:t xml:space="preserve">Where an external body provides an application programming interface (API), CIMS connects to it directly. Where submission is done through a portal upload, CIMS generates the file in the exact template required and records the outcome when the institution uploads it. Each connector can therefore move from file-based to fully automated without changing the institution's business process.</w:t>
      </w:r>
    </w:p>
    <w:p>
      <w:pPr>
        <w:pStyle w:val="Heading2"/>
      </w:pPr>
      <w:bookmarkStart w:id="11" w:name="_TocV11_11"/>
      <w:r>
        <w:rPr>
          <w:rFonts w:ascii="Calibri" w:cs="Calibri" w:eastAsia="Calibri" w:hAnsi="Calibri"/>
        </w:rPr>
        <w:t xml:space="preserve">5.4 What has been built (October 2026)</w:t>
      </w:r>
      <w:bookmarkEnd w:id="11"/>
    </w:p>
    <w:p>
      <w:pPr>
        <w:spacing w:after="300"/>
      </w:pPr>
      <w:r>
        <w:rPr>
          <w:i/>
          <w:rFonts w:ascii="Calibri" w:cs="Calibri" w:eastAsia="Calibri" w:hAnsi="Calibri"/>
          <w:color w:val="595959"/>
          <w:sz w:val="22"/>
          <w:szCs w:val="22"/>
        </w:rPr>
        <w:t xml:space="preserve">This sub-section reports progress honestly: what an institution can do in the system today, module by module, and what remains to be done before full production use.</w:t>
      </w:r>
    </w:p>
    <w:p>
      <w:pPr>
        <w:spacing w:after="120" w:line="276"/>
        <w:jc w:val="both"/>
      </w:pPr>
      <w:r>
        <w:rPr>
          <w:rFonts w:ascii="Calibri" w:cs="Calibri" w:eastAsia="Calibri" w:hAnsi="Calibri"/>
        </w:rPr>
        <w:t xml:space="preserve">Every module in section 5.2 exists in the development build. The table states, per module, what an institution can do in the system today and what is still to be done, which is mostly connecting to outside bodies once they grant access. The detail is traced requirement by requirement in Document 03, section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4964"/>
        <w:gridCol w:w="2528"/>
      </w:tblGrid>
      <w:tr>
        <w:trPr>
          <w:tblHeader/>
          <w:cantSplit/>
        </w:trPr>
        <w:tc>
          <w:tcPr>
            <w:tcW w:type="dxa" w:w="15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Module</w:t>
            </w:r>
          </w:p>
        </w:tc>
        <w:tc>
          <w:tcPr>
            <w:tcW w:type="dxa" w:w="496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In the system now</w:t>
            </w:r>
          </w:p>
        </w:tc>
        <w:tc>
          <w:tcPr>
            <w:tcW w:type="dxa" w:w="252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Still to do</w:t>
            </w:r>
          </w:p>
        </w:tc>
      </w:tr>
      <w:tr>
        <w:trPr>
          <w:cantSplit/>
        </w:trPr>
        <w:tc>
          <w:tcPr>
            <w:tcW w:type="dxa" w:w="15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M01 Online Admission Portal</w:t>
            </w:r>
          </w:p>
        </w:tc>
        <w:tc>
          <w:tcPr>
            <w:tcW w:type="dxa" w:w="496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Branded portal with campus photo and a How to apply guide; sign-up with the Form Four index number (names and results from NECTA), SMS verification code and password reset; profile with region-to-street address, education history and next of kin; other qualifications (another CSEE/ACSEE sitting from NECTA, NTA award from NACTVET by registration number, NVA and other awards checked by the office); GePG application fee; eligibility from NACTVET entry rules and the applicant's entry level; windows published, opened, closed early, reopened and extended; selection with committee approval; NACTVET verification by API or file, queries, offers, multiple-admission confirmation; admission letters with QR code; confirmed email addresses; document uploads per window, accepted or sent back by the office; admission letters emailed with the PDF; letter wording editable; students selected by TAMISEMI or another body imported into the window.</w:t>
            </w:r>
          </w:p>
        </w:tc>
        <w:tc>
          <w:tcPr>
            <w:tcW w:type="dxa" w:w="252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NACTVET's live verification endpoints (a live adapter and a test server are ready).</w:t>
            </w:r>
          </w:p>
        </w:tc>
      </w:tr>
      <w:tr>
        <w:trPr>
          <w:cantSplit/>
        </w:trPr>
        <w:tc>
          <w:tcPr>
            <w:tcW w:type="dxa" w:w="1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M02 Student Registry</w:t>
            </w:r>
          </w:p>
        </w:tc>
        <w:tc>
          <w:tcPr>
            <w:tcW w:type="dxa" w:w="496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Hand-over of accepted applicants without re-entry; registration numbers from a configurable pattern, never changed or reused (enforced by the database); first registration with an originals checklist; semester registration with fee clearance; status changes (postponement, resumption, suspension, discontinuation, withdrawal, death) recommended by the Head of Department and decided by the Deputy Principal (Academic); ID cards with photo and QR code; requests to correct personal details; programme and campus transfers asked by Registry or the student; NACTVET student registration by API; National Identification Number recorded encrypted and checked with NIDA; import of existing students.</w:t>
            </w:r>
          </w:p>
        </w:tc>
        <w:tc>
          <w:tcPr>
            <w:tcW w:type="dxa" w:w="25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NACTVET's and NIDA's live interfaces (simulated today).</w:t>
            </w:r>
          </w:p>
        </w:tc>
      </w:tr>
      <w:tr>
        <w:trPr>
          <w:cantSplit/>
        </w:trPr>
        <w:tc>
          <w:tcPr>
            <w:tcW w:type="dxa" w:w="15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M03 Academic Structure</w:t>
            </w:r>
          </w:p>
        </w:tc>
        <w:tc>
          <w:tcPr>
            <w:tcW w:type="dxa" w:w="496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Academic years, intakes, departments, NVA/NTA programmes with entry levels, module catalogue (graded or competence-based), versioned curricula approved by someone other than the preparer, academic calendar with key dates, examination regulations per award level versioned by academic year; campuses (one main campus) and faculties; programmes offered per campus.</w:t>
            </w:r>
          </w:p>
        </w:tc>
        <w:tc>
          <w:tcPr>
            <w:tcW w:type="dxa" w:w="252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None.</w:t>
            </w:r>
          </w:p>
        </w:tc>
      </w:tr>
      <w:tr>
        <w:trPr>
          <w:cantSplit/>
        </w:trPr>
        <w:tc>
          <w:tcPr>
            <w:tcW w:type="dxa" w:w="1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M04 Teaching &amp; Attendance</w:t>
            </w:r>
          </w:p>
        </w:tc>
        <w:tc>
          <w:tcPr>
            <w:tcW w:type="dxa" w:w="496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 offerings from approved registrations and lecturer allocation; My teaching for lecturers; class lists as a printable register (PDF) and Excel; one-tap attendance that keeps working offline; self check-in with a rotating QR code; attendance thresholds with SMS warnings; lecturer workload; marks entry dates per assessment item.</w:t>
            </w:r>
          </w:p>
        </w:tc>
        <w:tc>
          <w:tcPr>
            <w:tcW w:type="dxa" w:w="25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Timetabling; limiting self check-in to the classroom (Wi-Fi or location).</w:t>
            </w:r>
          </w:p>
        </w:tc>
      </w:tr>
      <w:tr>
        <w:trPr>
          <w:cantSplit/>
        </w:trPr>
        <w:tc>
          <w:tcPr>
            <w:tcW w:type="dxa" w:w="15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M05 Assessment &amp; Examination</w:t>
            </w:r>
          </w:p>
        </w:tc>
        <w:tc>
          <w:tcPr>
            <w:tcW w:type="dxa" w:w="496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Assessment plans; marks on screen or by validated Excel; marks window; Head of Department moderation and optional Department Board; class result sheets with GPA, CGPA and decisions; Academic Committee recommendation and Governing Board confirmation, after which the database refuses changes; publication with SMS; supplementary and special examinations with capping; amendments; remarks and appeals; statements of results with QR code; examination eligibility and exemptions; NVA competence units with verification and award lists; NACTVET results and award files (indicative layout); approval stages for module results and result sheets set by the institution; results compared across years, including results from before CIMS; results submission to NACTVET by API.</w:t>
            </w:r>
          </w:p>
        </w:tc>
        <w:tc>
          <w:tcPr>
            <w:tcW w:type="dxa" w:w="252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NACTVET's official results and NVA award templates and live interface.</w:t>
            </w:r>
          </w:p>
        </w:tc>
      </w:tr>
      <w:tr>
        <w:trPr>
          <w:cantSplit/>
        </w:trPr>
        <w:tc>
          <w:tcPr>
            <w:tcW w:type="dxa" w:w="1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M06 Finance &amp; Fees</w:t>
            </w:r>
          </w:p>
        </w:tc>
        <w:tc>
          <w:tcPr>
            <w:tcW w:type="dxa" w:w="496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items with GFS codes; fee structures approved by the Bursar, with instalments; invoices and GePG control numbers; signed payment callback; PDF receipts; allocation to fee items and credit; clearance gates; daily GePG reconciliation and monthly sign-off; finance overview with collection targets; sponsors (HESLB as a sponsor) with sponsor invoices and remittances; waivers and refunds with two-level approval; postings file for the accounting system; fee structures also by intake and student category; instalment due dates with SMS reminders and late-payment penalties; discount and scholarship schemes; live GePG adapter (signed XML); reconciliation of GePG and of mobile money, collector or bank statements; HESLB exchange (beneficiaries and disbursements); postings to MUSE per period.</w:t>
            </w:r>
          </w:p>
        </w:tc>
        <w:tc>
          <w:tcPr>
            <w:tcW w:type="dxa" w:w="25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Switching GePG, HESLB and MUSE to live once certificates and access are granted.</w:t>
            </w:r>
          </w:p>
        </w:tc>
      </w:tr>
      <w:tr>
        <w:trPr>
          <w:cantSplit/>
        </w:trPr>
        <w:tc>
          <w:tcPr>
            <w:tcW w:type="dxa" w:w="15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M07 Hostel &amp; Accommodation</w:t>
            </w:r>
          </w:p>
        </w:tc>
        <w:tc>
          <w:tcPr>
            <w:tcW w:type="dxa" w:w="496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Bed inventory with gender rules; application windows; automatic or manual allocation by priority with a waiting list; hostel invoice and release of unpaid beds; check-in and check-out with damages; wardens assigned to hostels; repairs reported by wardens and students.</w:t>
            </w:r>
          </w:p>
        </w:tc>
        <w:tc>
          <w:tcPr>
            <w:tcW w:type="dxa" w:w="252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Room changes and swaps; refunds when a paid allocation is cancelled.</w:t>
            </w:r>
          </w:p>
        </w:tc>
      </w:tr>
      <w:tr>
        <w:trPr>
          <w:cantSplit/>
        </w:trPr>
        <w:tc>
          <w:tcPr>
            <w:tcW w:type="dxa" w:w="1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M08 Industrial Practical Training</w:t>
            </w:r>
          </w:p>
        </w:tc>
        <w:tc>
          <w:tcPr>
            <w:tcW w:type="dxa" w:w="496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Placement organisations; IPT periods with mark weights; student requests and placement with supervisors; numbered placement letters; weekly logbook approved by the institution supervisor; visits; IPT marks sent to results; coordinators limited to a department; workplace supervisors rate students through a personal link (no account), and the rating becomes the workplace mark.</w:t>
            </w:r>
          </w:p>
        </w:tc>
        <w:tc>
          <w:tcPr>
            <w:tcW w:type="dxa" w:w="25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None.</w:t>
            </w:r>
          </w:p>
        </w:tc>
      </w:tr>
      <w:tr>
        <w:trPr>
          <w:cantSplit/>
        </w:trPr>
        <w:tc>
          <w:tcPr>
            <w:tcW w:type="dxa" w:w="15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M09 Clearance, Graduation &amp; Alumni</w:t>
            </w:r>
          </w:p>
        </w:tc>
        <w:tc>
          <w:tcPr>
            <w:tcW w:type="dxa" w:w="496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offices (finance clears itself when nothing is owed); clearance started by the student; graduand lists approved by the Governing Board; NACTVET graduand file; numbered certificates with QR code; public verification page; alumni records and tracer surveys by SMS link, with answers updating the alumni record.</w:t>
            </w:r>
          </w:p>
        </w:tc>
        <w:tc>
          <w:tcPr>
            <w:tcW w:type="dxa" w:w="252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None.</w:t>
            </w:r>
          </w:p>
        </w:tc>
      </w:tr>
      <w:tr>
        <w:trPr>
          <w:cantSplit/>
        </w:trPr>
        <w:tc>
          <w:tcPr>
            <w:tcW w:type="dxa" w:w="1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M10 Student Self-Service</w:t>
            </w:r>
          </w:p>
        </w:tc>
        <w:tc>
          <w:tcPr>
            <w:tcW w:type="dxa" w:w="496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Installable student portal in English and Kiswahili: what to do next, fees, control numbers and receipts, semester registration, results, resits and appeals, attendance and check-in, hostel and repairs, IPT logbook, clearance, notices and detail changes; the staff back-office in Kiswahili too.</w:t>
            </w:r>
          </w:p>
        </w:tc>
        <w:tc>
          <w:tcPr>
            <w:tcW w:type="dxa" w:w="25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Offline caching of results and receipts.</w:t>
            </w:r>
          </w:p>
        </w:tc>
      </w:tr>
      <w:tr>
        <w:trPr>
          <w:cantSplit/>
        </w:trPr>
        <w:tc>
          <w:tcPr>
            <w:tcW w:type="dxa" w:w="15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M11 Reports &amp; Dashboards</w:t>
            </w:r>
          </w:p>
        </w:tc>
        <w:tc>
          <w:tcPr>
            <w:tcW w:type="dxa" w:w="496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Role-based landing pages (institution overview, finance overview, examinations office, My teaching); one Approvals list; role dashboards; 35 standard reports on screen, in Excel and PDF; every export recorded; reports emailed to staff on a schedule.</w:t>
            </w:r>
          </w:p>
        </w:tc>
        <w:tc>
          <w:tcPr>
            <w:tcW w:type="dxa" w:w="252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Regulator returns beyond the NACTVET files.</w:t>
            </w:r>
          </w:p>
        </w:tc>
      </w:tr>
      <w:tr>
        <w:trPr>
          <w:cantSplit/>
        </w:trPr>
        <w:tc>
          <w:tcPr>
            <w:tcW w:type="dxa" w:w="1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M12 Communication</w:t>
            </w:r>
          </w:p>
        </w:tc>
        <w:tc>
          <w:tcPr>
            <w:tcW w:type="dxa" w:w="496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52 event messages in English and Kiswahili that each institution can reword or switch off; outbox with retries and delivery reports; bulk messages with recipient and cost preview; prepaid SMS bundles; notices with read tracking; email for event messages, letters and reports, with an outbox and retries.</w:t>
            </w:r>
          </w:p>
        </w:tc>
        <w:tc>
          <w:tcPr>
            <w:tcW w:type="dxa" w:w="25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Connection to a live SMS aggregator (simulated today).</w:t>
            </w:r>
          </w:p>
        </w:tc>
      </w:tr>
      <w:tr>
        <w:trPr>
          <w:cantSplit/>
        </w:trPr>
        <w:tc>
          <w:tcPr>
            <w:tcW w:type="dxa" w:w="15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M13 Administration &amp; Security</w:t>
            </w:r>
          </w:p>
        </w:tc>
        <w:tc>
          <w:tcPr>
            <w:tcW w:type="dxa" w:w="496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Msingi platform console (onboarding from the NACTVET catalogue, suspension, SMS credit, integration health); staff users and roles with department and programme scopes (20 roles); temporary passwords replaced at first sign-in; audit trail page and export; PostgreSQL row-level security for every institution table; two-step sign-in with an authenticator app for the roles the administrator chooses; idle sign-out per user type; API clients for connected systems; personal-data requests and retention periods; data import with sign-off by a second person; an Integrations page for each institution's codes at GePG, HESLB, MUSE and TAMISEMI.</w:t>
            </w:r>
          </w:p>
        </w:tc>
        <w:tc>
          <w:tcPr>
            <w:tcW w:type="dxa" w:w="252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Campus-level role scopes.</w:t>
            </w:r>
          </w:p>
        </w:tc>
      </w:tr>
      <w:tr>
        <w:trPr>
          <w:cantSplit/>
        </w:trPr>
        <w:tc>
          <w:tcPr>
            <w:tcW w:type="dxa" w:w="15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M14 Integration Hub</w:t>
            </w:r>
          </w:p>
        </w:tc>
        <w:tc>
          <w:tcPr>
            <w:tcW w:type="dxa" w:w="496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NECTA results (simulated and live client); NACTVET particulars and institution catalogue (live); NACTVET verification (simulated, and a live HTTP adapter tested against a NACTVET test server); GePG (simulated, signed callback, reconciliation file); SMS (simulated, with outbox); log of every call to an outside system; GePG live adapter with signed XML (tested against a GePG simulator); HESLB, NIDA, MUSE, TAMISEMI and NACTVET registration and results exchanges, each with a simulator; email by SMTP; OAuth2 client access for third parties.</w:t>
            </w:r>
          </w:p>
        </w:tc>
        <w:tc>
          <w:tcPr>
            <w:tcW w:type="dxa" w:w="252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Live HESLB, NIDA, MUSE, TAMISEMI and NACTVET endpoints once each body issues them; SMS aggregator; GovESB where mandated.</w:t>
            </w:r>
          </w:p>
        </w:tc>
      </w:tr>
    </w:tbl>
    <w:p>
      <w:pPr>
        <w:spacing w:after="120"/>
      </w:pPr>
    </w:p>
    <w:p>
      <w:pPr>
        <w:spacing w:after="200" w:before="60"/>
        <w:jc w:val="center"/>
      </w:pPr>
      <w:r>
        <w:rPr>
          <w:rFonts w:ascii="Calibri" w:cs="Calibri" w:eastAsia="Calibri" w:hAnsi="Calibri"/>
          <w:i/>
          <w:iCs/>
          <w:color w:val="595959"/>
          <w:sz w:val="18"/>
          <w:szCs w:val="18"/>
        </w:rPr>
        <w:t xml:space="preserve">Table 2: CIMS modules as built, October 2026</w:t>
      </w:r>
    </w:p>
    <w:p>
      <w:pPr>
        <w:pStyle w:val="Heading2"/>
      </w:pPr>
      <w:bookmarkStart w:id="12" w:name="_TocV11_12"/>
      <w:r>
        <w:rPr>
          <w:rFonts w:ascii="Calibri" w:cs="Calibri" w:eastAsia="Calibri" w:hAnsi="Calibri"/>
        </w:rPr>
        <w:t xml:space="preserve">5.5 Connections to national systems as built</w:t>
      </w:r>
      <w:bookmarkEnd w:id="12"/>
    </w:p>
    <w:p>
      <w:pPr>
        <w:spacing w:after="300"/>
      </w:pPr>
      <w:r>
        <w:rPr>
          <w:i/>
          <w:rFonts w:ascii="Calibri" w:cs="Calibri" w:eastAsia="Calibri" w:hAnsi="Calibri"/>
          <w:color w:val="595959"/>
          <w:sz w:val="22"/>
          <w:szCs w:val="22"/>
        </w:rPr>
        <w:t xml:space="preserve">This table gives the current status of each connection to an outside system, whether it is live, simulated for testing or waiting for the body concerned to grant access.</w:t>
      </w:r>
    </w:p>
    <w:p>
      <w:pPr>
        <w:spacing w:after="120" w:line="276"/>
        <w:jc w:val="both"/>
      </w:pPr>
      <w:r>
        <w:rPr>
          <w:rFonts w:ascii="Calibri" w:cs="Calibri" w:eastAsia="Calibri" w:hAnsi="Calibri"/>
        </w:rPr>
        <w:t xml:space="preserve">Each connection has a simulated mode for development and testing and, where the external body provides an interface, a live mode. The mode is a setting, so an institution moves to live without any change to its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263"/>
        <w:gridCol w:w="5778"/>
      </w:tblGrid>
      <w:tr>
        <w:trPr>
          <w:tblHeader/>
          <w:cantSplit/>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System</w:t>
            </w:r>
          </w:p>
        </w:tc>
        <w:tc>
          <w:tcPr>
            <w:tcW w:type="dxa" w:w="126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Status</w:t>
            </w:r>
          </w:p>
        </w:tc>
        <w:tc>
          <w:tcPr>
            <w:tcW w:type="dxa" w:w="577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As built</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NECTA</w:t>
            </w:r>
          </w:p>
        </w:tc>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57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Results API client used at sign-up and for other sittings; simulated in development, live with the NECTA API key.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awards and catalogue</w:t>
            </w:r>
          </w:p>
        </w:tc>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57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Particulars service (NTA awards of applicants) and the registered institution and programme catalogue, live with NACTE credentials, as in NOAS.</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admission verification</w:t>
            </w:r>
          </w:p>
        </w:tc>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57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Submission by API or NACTVET template file, outcomes, queries and confirmation codes work end to end. The live HTTP adapter uses placeholder endpoints until NACTVET publishes its API; it is tested against the nactvet-mock server.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results, graduands, NVA awards</w:t>
            </w:r>
          </w:p>
        </w:tc>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57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Results by API with status follow-up (simulated), Excel files in an indicative layout and a record of each submission; NACTVET's official templates and live interface are awaited.</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student registration</w:t>
            </w:r>
          </w:p>
        </w:tc>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57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registration by API with outcomes per student, tested against the nactvet-mock server; live when NACTVET issues the interface.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GePG</w:t>
            </w:r>
          </w:p>
        </w:tc>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57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Bills, control numbers by callback, payments and reconciliation by API in GePG's signed XML, tested against a GePG simulator with test keys; reconciliation files can still be imported. Switched on with the institution's GePG certificates and service provider codes.</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SMS gateway</w:t>
            </w:r>
          </w:p>
        </w:tc>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57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Outbox, retries, delivery-report callback and bundles work; a simulated gateway stands in for the aggregator to be chosen.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Email</w:t>
            </w:r>
          </w:p>
        </w:tc>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57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Email by SMTP with an outbox and retries, for event messages, letters with the PDF attached and scheduled reports; addresses confirmed with a code.</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HESLB</w:t>
            </w:r>
          </w:p>
        </w:tc>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57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HESLB as a sponsor plus the HESLB exchange: registration data sent, beneficiaries turned into capped sponsorships, disbursements recorded on the HESLB invoice. Tested against a simulator; live when HESLB issues its interface.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NIDA, MUSE/ERP, TAMISEMI, GovESB</w:t>
            </w:r>
          </w:p>
        </w:tc>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57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NIDA checks of National Identification Numbers, MUSE postings per period and TAMISEMI selections are built and tested against simulators, going live as each body grants access; a postings CSV serves other accounting systems. GovESB is not yet connected (planned where mandated).</w:t>
            </w:r>
          </w:p>
        </w:tc>
      </w:tr>
    </w:tbl>
    <w:p>
      <w:pPr>
        <w:spacing w:after="120"/>
      </w:pPr>
    </w:p>
    <w:p>
      <w:pPr>
        <w:spacing w:after="200" w:before="60"/>
        <w:jc w:val="center"/>
      </w:pPr>
      <w:r>
        <w:rPr>
          <w:rFonts w:ascii="Calibri" w:cs="Calibri" w:eastAsia="Calibri" w:hAnsi="Calibri"/>
          <w:i/>
          <w:iCs/>
          <w:color w:val="595959"/>
          <w:sz w:val="18"/>
          <w:szCs w:val="18"/>
        </w:rPr>
        <w:t xml:space="preserve">Table 3: Integration status, October 2026</w:t>
      </w:r>
    </w:p>
    <w:p>
      <w:pPr>
        <w:pStyle w:val="Heading1"/>
      </w:pPr>
      <w:bookmarkStart w:id="13" w:name="_TocV11_13"/>
      <w:r>
        <w:rPr>
          <w:rFonts w:ascii="Calibri" w:cs="Calibri" w:eastAsia="Calibri" w:hAnsi="Calibri"/>
        </w:rPr>
        <w:t xml:space="preserve">6. Value to Stakeholders</w:t>
      </w:r>
      <w:bookmarkEnd w:id="13"/>
    </w:p>
    <w:p>
      <w:pPr>
        <w:spacing w:after="300"/>
      </w:pPr>
      <w:r>
        <w:rPr>
          <w:i/>
          <w:rFonts w:ascii="Calibri" w:cs="Calibri" w:eastAsia="Calibri" w:hAnsi="Calibri"/>
          <w:color w:val="595959"/>
          <w:sz w:val="22"/>
          <w:szCs w:val="22"/>
        </w:rPr>
        <w:t xml:space="preserve">A system succeeds only if the people who use it gain from it. This section shows, group by group, what CIMS gives each stakeholder, from the governing board to applicants and parents.</w:t>
      </w:r>
    </w:p>
    <w:p>
      <w:pPr>
        <w:spacing w:after="120" w:line="276"/>
        <w:jc w:val="both"/>
      </w:pPr>
      <w:r>
        <w:rPr>
          <w:rFonts w:ascii="Calibri" w:cs="Calibri" w:eastAsia="Calibri" w:hAnsi="Calibri"/>
        </w:rPr>
        <w:t xml:space="preserve">CIMS is designed so that every stakeholder group gains something concrete. This is what makes adoption succeed.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Stakeholder</w:t>
            </w:r>
          </w:p>
        </w:tc>
        <w:tc>
          <w:tcPr>
            <w:tcW w:type="dxa" w:w="686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What CIMS gives them</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Governing Board and Principal</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Real-time dashboards on applications, enrolment, collections, pass rates and hostel occupancy; confidence that regulator submissions are accurate; evidence for planning and budget requests.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Applicants and parents</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Apply from any phone, any time; results fetched automatically from NECTA; pay through mobile money or bank with a control number; track application status by SMS; download the admission letter.</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Students</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login for registration, invoices, results, hostel and clearance; no queues for printed receipts or result slips; transcripts verifiable by employers through a QR code.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Admissions Office</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Automatic eligibility screening, ranking by capacity, one-click letters and NACTVET verification files — admissions handled in days, not weeks.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Registry</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authoritative record, automatic registration numbers, status history and instant class and examination lists.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Academic departments and lecturers</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Online marks entry against approved assessment plans, automatic grade and GPA calculation, attendance and class lists on any device.</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Examinations Office</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Controlled approval workflow from department to governing board, automated progression decisions, published results and regulator files from the same data.</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Finance Office</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GePG control numbers generated automatically, payments matched and receipted without manual work, daily reconciliation, clear debtor reports and clearance gates.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Hostel Office</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Live bed availability, fair allocation rules and linked hostel fees.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 and government</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Cleaner, on-time submissions from institutions in standard formats; better data quality for national planning.</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ICT staff</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professionally maintained platform with backups, monitoring and security updates handled, freeing them to support users.</w:t>
            </w:r>
          </w:p>
        </w:tc>
      </w:tr>
    </w:tbl>
    <w:p>
      <w:pPr>
        <w:spacing w:after="120"/>
      </w:pPr>
    </w:p>
    <w:p>
      <w:pPr>
        <w:pStyle w:val="Heading1"/>
      </w:pPr>
      <w:bookmarkStart w:id="14" w:name="_TocV11_14"/>
      <w:r>
        <w:rPr>
          <w:rFonts w:ascii="Calibri" w:cs="Calibri" w:eastAsia="Calibri" w:hAnsi="Calibri"/>
        </w:rPr>
        <w:t xml:space="preserve">7. Scope</w:t>
      </w:r>
      <w:bookmarkEnd w:id="14"/>
    </w:p>
    <w:p>
      <w:pPr>
        <w:spacing w:after="300"/>
      </w:pPr>
      <w:r>
        <w:rPr>
          <w:i/>
          <w:rFonts w:ascii="Calibri" w:cs="Calibri" w:eastAsia="Calibri" w:hAnsi="Calibri"/>
          <w:color w:val="595959"/>
          <w:sz w:val="22"/>
          <w:szCs w:val="22"/>
        </w:rPr>
        <w:t xml:space="preserve">This section defines the boundaries of the project: what CIMS will do and, just as importantly, what it will not do in its first version. Clear boundaries avoid misunderstanding about what institutions will receive.</w:t>
      </w:r>
    </w:p>
    <w:p>
      <w:pPr>
        <w:pStyle w:val="Heading2"/>
      </w:pPr>
      <w:bookmarkStart w:id="15" w:name="_TocV11_15"/>
      <w:r>
        <w:rPr>
          <w:rFonts w:ascii="Calibri" w:cs="Calibri" w:eastAsia="Calibri" w:hAnsi="Calibri"/>
        </w:rPr>
        <w:t xml:space="preserve">7.1 In scope</w:t>
      </w:r>
      <w:bookmarkEnd w:id="15"/>
    </w:p>
    <w:p>
      <w:pPr>
        <w:spacing w:after="300"/>
      </w:pPr>
      <w:r>
        <w:rPr>
          <w:i/>
          <w:rFonts w:ascii="Calibri" w:cs="Calibri" w:eastAsia="Calibri" w:hAnsi="Calibri"/>
          <w:color w:val="595959"/>
          <w:sz w:val="22"/>
          <w:szCs w:val="22"/>
        </w:rPr>
        <w:t xml:space="preserve">The items below are included in the project and will be delivered across the three releases.</w:t>
      </w:r>
    </w:p>
    <w:p>
      <w:pPr>
        <w:pStyle w:val="ListParagraph"/>
        <w:numPr>
          <w:ilvl w:val="0"/>
          <w:numId w:val="2"/>
        </w:numPr>
        <w:spacing w:after="60" w:line="264"/>
      </w:pPr>
      <w:r>
        <w:rPr>
          <w:rFonts w:ascii="Calibri" w:cs="Calibri" w:eastAsia="Calibri" w:hAnsi="Calibri"/>
        </w:rPr>
        <w:t xml:space="preserve">All modules M01–M14 described in section 5.2, delivered in three releases.</w:t>
      </w:r>
    </w:p>
    <w:p>
      <w:pPr>
        <w:pStyle w:val="ListParagraph"/>
        <w:numPr>
          <w:ilvl w:val="0"/>
          <w:numId w:val="2"/>
        </w:numPr>
        <w:spacing w:after="60" w:line="264"/>
      </w:pPr>
      <w:r>
        <w:rPr>
          <w:rFonts w:ascii="Calibri" w:cs="Calibri" w:eastAsia="Calibri" w:hAnsi="Calibri"/>
        </w:rPr>
        <w:t xml:space="preserve">Support for NVA (Levels I–III) and NTA (Levels 4–8) programmes, with grading and progression rules configurable per institution and per award level.</w:t>
      </w:r>
    </w:p>
    <w:p>
      <w:pPr>
        <w:pStyle w:val="ListParagraph"/>
        <w:numPr>
          <w:ilvl w:val="0"/>
          <w:numId w:val="2"/>
        </w:numPr>
        <w:spacing w:after="60" w:line="264"/>
      </w:pPr>
      <w:r>
        <w:rPr>
          <w:rFonts w:ascii="Calibri" w:cs="Calibri" w:eastAsia="Calibri" w:hAnsi="Calibri"/>
        </w:rPr>
        <w:t xml:space="preserve">Multiple intakes per academic year (e.g. September and March) and multiple campuses per institution.</w:t>
      </w:r>
    </w:p>
    <w:p>
      <w:pPr>
        <w:pStyle w:val="ListParagraph"/>
        <w:numPr>
          <w:ilvl w:val="0"/>
          <w:numId w:val="2"/>
        </w:numPr>
        <w:spacing w:after="60" w:line="264"/>
      </w:pPr>
      <w:r>
        <w:rPr>
          <w:rFonts w:ascii="Calibri" w:cs="Calibri" w:eastAsia="Calibri" w:hAnsi="Calibri"/>
        </w:rPr>
        <w:t xml:space="preserve">Integrations with NACTVET, NECTA, GePG, HESLB, SMS and email; NIDA, MUSE/ERP and TAMISEMI connectors where the institution requires them.</w:t>
      </w:r>
    </w:p>
    <w:p>
      <w:pPr>
        <w:pStyle w:val="ListParagraph"/>
        <w:numPr>
          <w:ilvl w:val="0"/>
          <w:numId w:val="2"/>
        </w:numPr>
        <w:spacing w:after="60" w:line="264"/>
      </w:pPr>
      <w:r>
        <w:rPr>
          <w:rFonts w:ascii="Calibri" w:cs="Calibri" w:eastAsia="Calibri" w:hAnsi="Calibri"/>
        </w:rPr>
        <w:t xml:space="preserve">Migration of current students, programmes, results and outstanding balances from existing records.</w:t>
      </w:r>
    </w:p>
    <w:p>
      <w:pPr>
        <w:pStyle w:val="ListParagraph"/>
        <w:numPr>
          <w:ilvl w:val="0"/>
          <w:numId w:val="2"/>
        </w:numPr>
        <w:spacing w:after="60" w:line="264"/>
      </w:pPr>
      <w:r>
        <w:rPr>
          <w:rFonts w:ascii="Calibri" w:cs="Calibri" w:eastAsia="Calibri" w:hAnsi="Calibri"/>
        </w:rPr>
        <w:t xml:space="preserve">Training of administrators and end users, user manuals in English and Kiswahili, and post-go-live support.</w:t>
      </w:r>
    </w:p>
    <w:p>
      <w:pPr>
        <w:pStyle w:val="Heading2"/>
      </w:pPr>
      <w:bookmarkStart w:id="16" w:name="_TocV11_16"/>
      <w:r>
        <w:rPr>
          <w:rFonts w:ascii="Calibri" w:cs="Calibri" w:eastAsia="Calibri" w:hAnsi="Calibri"/>
        </w:rPr>
        <w:t xml:space="preserve">7.2 Out of scope (initial version)</w:t>
      </w:r>
      <w:bookmarkEnd w:id="16"/>
    </w:p>
    <w:p>
      <w:pPr>
        <w:spacing w:after="300"/>
      </w:pPr>
      <w:r>
        <w:rPr>
          <w:i/>
          <w:rFonts w:ascii="Calibri" w:cs="Calibri" w:eastAsia="Calibri" w:hAnsi="Calibri"/>
          <w:color w:val="595959"/>
          <w:sz w:val="22"/>
          <w:szCs w:val="22"/>
        </w:rPr>
        <w:t xml:space="preserve">The items below are deliberately left out of the first version, with the reason or the way CIMS works alongside other systems that already cover them.</w:t>
      </w:r>
    </w:p>
    <w:p>
      <w:pPr>
        <w:pStyle w:val="ListParagraph"/>
        <w:numPr>
          <w:ilvl w:val="0"/>
          <w:numId w:val="2"/>
        </w:numPr>
        <w:spacing w:after="60" w:line="264"/>
      </w:pPr>
      <w:r>
        <w:rPr>
          <w:rFonts w:ascii="Calibri" w:cs="Calibri" w:eastAsia="Calibri" w:hAnsi="Calibri"/>
        </w:rPr>
        <w:t xml:space="preserve">Full library management system (CIMS records library clearance and can integrate with an existing library system).</w:t>
      </w:r>
    </w:p>
    <w:p>
      <w:pPr>
        <w:pStyle w:val="ListParagraph"/>
        <w:numPr>
          <w:ilvl w:val="0"/>
          <w:numId w:val="2"/>
        </w:numPr>
        <w:spacing w:after="60" w:line="264"/>
      </w:pPr>
      <w:r>
        <w:rPr>
          <w:rFonts w:ascii="Calibri" w:cs="Calibri" w:eastAsia="Calibri" w:hAnsi="Calibri"/>
        </w:rPr>
        <w:t xml:space="preserve">Human resources, payroll and procurement (CIMS exports to these systems).</w:t>
      </w:r>
    </w:p>
    <w:p>
      <w:pPr>
        <w:pStyle w:val="ListParagraph"/>
        <w:numPr>
          <w:ilvl w:val="0"/>
          <w:numId w:val="2"/>
        </w:numPr>
        <w:spacing w:after="60" w:line="264"/>
      </w:pPr>
      <w:r>
        <w:rPr>
          <w:rFonts w:ascii="Calibri" w:cs="Calibri" w:eastAsia="Calibri" w:hAnsi="Calibri"/>
        </w:rPr>
        <w:t xml:space="preserve">General ledger accounting (CIMS is a student fees sub-ledger that exports summarised postings to MUSE or the institution's accounting system).</w:t>
      </w:r>
    </w:p>
    <w:p>
      <w:pPr>
        <w:pStyle w:val="ListParagraph"/>
        <w:numPr>
          <w:ilvl w:val="0"/>
          <w:numId w:val="2"/>
        </w:numPr>
        <w:spacing w:after="60" w:line="264"/>
      </w:pPr>
      <w:r>
        <w:rPr>
          <w:rFonts w:ascii="Calibri" w:cs="Calibri" w:eastAsia="Calibri" w:hAnsi="Calibri"/>
        </w:rPr>
        <w:t xml:space="preserve">Learning management (online course content); CIMS can integrate with Moodle in a later phase.</w:t>
      </w:r>
    </w:p>
    <w:p>
      <w:pPr>
        <w:pStyle w:val="ListParagraph"/>
        <w:numPr>
          <w:ilvl w:val="0"/>
          <w:numId w:val="2"/>
        </w:numPr>
        <w:spacing w:after="60" w:line="264"/>
      </w:pPr>
      <w:r>
        <w:rPr>
          <w:rFonts w:ascii="Calibri" w:cs="Calibri" w:eastAsia="Calibri" w:hAnsi="Calibri"/>
        </w:rPr>
        <w:t xml:space="preserve">Native Android/iOS apps (the student portal is an installable mobile web app).</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 the scope boundaries above still hold. Everything within scope is in the development build; what remains is switching the outside connections to live as each body grants access, timetabling, and production hosting (section 5.4).</w:t>
      </w:r>
    </w:p>
    <w:p>
      <w:pPr>
        <w:pStyle w:val="Heading1"/>
      </w:pPr>
      <w:bookmarkStart w:id="17" w:name="_TocV11_17"/>
      <w:r>
        <w:rPr>
          <w:rFonts w:ascii="Calibri" w:cs="Calibri" w:eastAsia="Calibri" w:hAnsi="Calibri"/>
        </w:rPr>
        <w:t xml:space="preserve">8. Delivery and Commercial Model</w:t>
      </w:r>
      <w:bookmarkEnd w:id="17"/>
    </w:p>
    <w:p>
      <w:pPr>
        <w:spacing w:after="300"/>
      </w:pPr>
      <w:r>
        <w:rPr>
          <w:i/>
          <w:rFonts w:ascii="Calibri" w:cs="Calibri" w:eastAsia="Calibri" w:hAnsi="Calibri"/>
          <w:color w:val="595959"/>
          <w:sz w:val="22"/>
          <w:szCs w:val="22"/>
        </w:rPr>
        <w:t xml:space="preserve">This section explains who builds, runs and supports CIMS, how institutions can obtain it and why a shared platform is the most cost-effective model for the sector.</w:t>
      </w:r>
    </w:p>
    <w:p>
      <w:pPr>
        <w:spacing w:after="120" w:line="276"/>
        <w:jc w:val="both"/>
      </w:pPr>
      <w:r>
        <w:rPr>
          <w:rFonts w:ascii="Calibri" w:cs="Calibri" w:eastAsia="Calibri" w:hAnsi="Calibri"/>
        </w:rPr>
        <w:t xml:space="preserve">CIMS is developed, hosted and supported by </w:t>
      </w:r>
      <w:r>
        <w:rPr>
          <w:rFonts w:ascii="Calibri" w:cs="Calibri" w:eastAsia="Calibri" w:hAnsi="Calibri"/>
          <w:b/>
          <w:bCs/>
        </w:rPr>
        <w:t xml:space="preserve">Msingi Technologies Ltd</w:t>
      </w:r>
      <w:r>
        <w:rPr>
          <w:rFonts w:ascii="Calibri" w:cs="Calibri" w:eastAsia="Calibri" w:hAnsi="Calibri"/>
        </w:rPr>
        <w:t xml:space="preserve">, a Tanzanian software development and IT systems management company. Msingi Technologies Ltd remains responsible for the platform, its security and its upgrades; each institution owns its data.</w:t>
      </w:r>
    </w:p>
    <w:p>
      <w:pPr>
        <w:pStyle w:val="Heading2"/>
      </w:pPr>
      <w:bookmarkStart w:id="18" w:name="_TocV11_18"/>
      <w:r>
        <w:rPr>
          <w:rFonts w:ascii="Calibri" w:cs="Calibri" w:eastAsia="Calibri" w:hAnsi="Calibri"/>
        </w:rPr>
        <w:t xml:space="preserve">8.1 Deployment options</w:t>
      </w:r>
      <w:bookmarkEnd w:id="18"/>
    </w:p>
    <w:p>
      <w:pPr>
        <w:spacing w:after="300"/>
      </w:pPr>
      <w:r>
        <w:rPr>
          <w:i/>
          <w:rFonts w:ascii="Calibri" w:cs="Calibri" w:eastAsia="Calibri" w:hAnsi="Calibri"/>
          <w:color w:val="595959"/>
          <w:sz w:val="22"/>
          <w:szCs w:val="22"/>
        </w:rPr>
        <w:t xml:space="preserve">Institutions can choose how CIMS is hosted. The table compares the two options on hosting, cost, upgrades and responsibilities to help each institution choose.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tblHeader/>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p>
        </w:tc>
        <w:tc>
          <w:tcPr>
            <w:tcW w:type="dxa" w:w="352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Option A: Cloud subscription (recommended)</w:t>
            </w:r>
          </w:p>
        </w:tc>
        <w:tc>
          <w:tcPr>
            <w:tcW w:type="dxa" w:w="352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Option B: Dedicated installation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Hosting</w:t>
            </w:r>
          </w:p>
        </w:tc>
        <w:tc>
          <w:tcPr>
            <w:tcW w:type="dxa" w:w="35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Shared, secured platform in a Tanzanian data centre; each institution is an isolated tenant on its own web address.</w:t>
            </w:r>
          </w:p>
        </w:tc>
        <w:tc>
          <w:tcPr>
            <w:tcW w:type="dxa" w:w="35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Installed on the institution's servers or in a government data centre.</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Upfront cost</w:t>
            </w:r>
          </w:p>
        </w:tc>
        <w:tc>
          <w:tcPr>
            <w:tcW w:type="dxa" w:w="35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Low — one-time onboarding fee.</w:t>
            </w:r>
          </w:p>
        </w:tc>
        <w:tc>
          <w:tcPr>
            <w:tcW w:type="dxa" w:w="352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Higher — licence, implementation and hardware.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Running cost</w:t>
            </w:r>
          </w:p>
        </w:tc>
        <w:tc>
          <w:tcPr>
            <w:tcW w:type="dxa" w:w="35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Predictable annual subscription per active student, covering hosting, backups, upgrades and support.</w:t>
            </w:r>
          </w:p>
        </w:tc>
        <w:tc>
          <w:tcPr>
            <w:tcW w:type="dxa" w:w="35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Annual support and maintenance fee plus the institution's own hosting and ICT staff.</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Upgrades</w:t>
            </w:r>
          </w:p>
        </w:tc>
        <w:tc>
          <w:tcPr>
            <w:tcW w:type="dxa" w:w="35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Automatic; all institutions benefit from new features and regulatory changes.</w:t>
            </w:r>
          </w:p>
        </w:tc>
        <w:tc>
          <w:tcPr>
            <w:tcW w:type="dxa" w:w="352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Scheduled upgrade visits.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Best for</w:t>
            </w:r>
          </w:p>
        </w:tc>
        <w:tc>
          <w:tcPr>
            <w:tcW w:type="dxa" w:w="35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Most private and public institutions.</w:t>
            </w:r>
          </w:p>
        </w:tc>
        <w:tc>
          <w:tcPr>
            <w:tcW w:type="dxa" w:w="35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Institutions required to host on their own or government infrastructure.</w:t>
            </w:r>
          </w:p>
        </w:tc>
      </w:tr>
    </w:tbl>
    <w:p>
      <w:pPr>
        <w:spacing w:after="120"/>
      </w:pPr>
    </w:p>
    <w:p>
      <w:pPr>
        <w:pStyle w:val="Heading2"/>
      </w:pPr>
      <w:bookmarkStart w:id="19" w:name="_TocV11_19"/>
      <w:r>
        <w:rPr>
          <w:rFonts w:ascii="Calibri" w:cs="Calibri" w:eastAsia="Calibri" w:hAnsi="Calibri"/>
        </w:rPr>
        <w:t xml:space="preserve">8.2 Why a shared platform works for the sector</w:t>
      </w:r>
      <w:bookmarkEnd w:id="19"/>
    </w:p>
    <w:p>
      <w:pPr>
        <w:spacing w:after="300"/>
      </w:pPr>
      <w:r>
        <w:rPr>
          <w:i/>
          <w:rFonts w:ascii="Calibri" w:cs="Calibri" w:eastAsia="Calibri" w:hAnsi="Calibri"/>
          <w:color w:val="595959"/>
          <w:sz w:val="22"/>
          <w:szCs w:val="22"/>
        </w:rPr>
        <w:t xml:space="preserve">This sub-section explains why many institutions sharing one secure platform is better value than each institution commissioning its own system, while each keeps full ownership of its data.</w:t>
      </w:r>
    </w:p>
    <w:p>
      <w:pPr>
        <w:pStyle w:val="ListParagraph"/>
        <w:numPr>
          <w:ilvl w:val="0"/>
          <w:numId w:val="2"/>
        </w:numPr>
        <w:spacing w:after="60" w:line="264"/>
      </w:pPr>
      <w:r>
        <w:rPr>
          <w:rFonts w:ascii="Calibri" w:cs="Calibri" w:eastAsia="Calibri" w:hAnsi="Calibri"/>
        </w:rPr>
        <w:t xml:space="preserve">Regulatory changes (for example a new NACTVET file format or grading rule) are built once and delivered to every institution at once.</w:t>
      </w:r>
    </w:p>
    <w:p>
      <w:pPr>
        <w:pStyle w:val="ListParagraph"/>
        <w:numPr>
          <w:ilvl w:val="0"/>
          <w:numId w:val="2"/>
        </w:numPr>
        <w:spacing w:after="60" w:line="264"/>
      </w:pPr>
      <w:r>
        <w:rPr>
          <w:rFonts w:ascii="Calibri" w:cs="Calibri" w:eastAsia="Calibri" w:hAnsi="Calibri"/>
        </w:rPr>
        <w:t xml:space="preserve">Costs of security, backups, monitoring and support are shared, so each institution pays a fraction of a custom build.</w:t>
      </w:r>
    </w:p>
    <w:p>
      <w:pPr>
        <w:pStyle w:val="ListParagraph"/>
        <w:numPr>
          <w:ilvl w:val="0"/>
          <w:numId w:val="2"/>
        </w:numPr>
        <w:spacing w:after="60" w:line="264"/>
      </w:pPr>
      <w:r>
        <w:rPr>
          <w:rFonts w:ascii="Calibri" w:cs="Calibri" w:eastAsia="Calibri" w:hAnsi="Calibri"/>
        </w:rPr>
        <w:t xml:space="preserve">Institutions keep full ownership of their data, which is logically isolated and exportable at any time.</w:t>
      </w:r>
    </w:p>
    <w:p>
      <w:pPr>
        <w:spacing w:after="120" w:line="276"/>
        <w:jc w:val="both"/>
      </w:pPr>
      <w:r>
        <w:rPr>
          <w:rFonts w:ascii="Calibri" w:cs="Calibri" w:eastAsia="Calibri" w:hAnsi="Calibri"/>
        </w:rPr>
        <w:t xml:space="preserve">Indicative pricing, effort and the investment case are set out in Document 07: Development Plan and Cost Estimate.</w:t>
      </w:r>
    </w:p>
    <w:p>
      <w:pPr>
        <w:pStyle w:val="Heading1"/>
      </w:pPr>
      <w:bookmarkStart w:id="20" w:name="_TocV11_20"/>
      <w:r>
        <w:rPr>
          <w:rFonts w:ascii="Calibri" w:cs="Calibri" w:eastAsia="Calibri" w:hAnsi="Calibri"/>
        </w:rPr>
        <w:t xml:space="preserve">9. Implementation Approach</w:t>
      </w:r>
      <w:bookmarkEnd w:id="20"/>
    </w:p>
    <w:p>
      <w:pPr>
        <w:spacing w:after="300"/>
      </w:pPr>
      <w:r>
        <w:rPr>
          <w:i/>
          <w:rFonts w:ascii="Calibri" w:cs="Calibri" w:eastAsia="Calibri" w:hAnsi="Calibri"/>
          <w:color w:val="595959"/>
          <w:sz w:val="22"/>
          <w:szCs w:val="22"/>
        </w:rPr>
        <w:t xml:space="preserve">This section describes how CIMS will be introduced: in three releases timed to the academic calendar, each one stabilised before the next goes live, so institutions are never asked to change everything at once.</w:t>
      </w:r>
    </w:p>
    <w:p>
      <w:pPr>
        <w:spacing w:after="120" w:line="276"/>
        <w:jc w:val="both"/>
      </w:pPr>
      <w:r>
        <w:rPr>
          <w:rFonts w:ascii="Calibri" w:cs="Calibri" w:eastAsia="Calibri" w:hAnsi="Calibri"/>
        </w:rPr>
        <w:t xml:space="preserve">CIMS will be delivered in three releases timed to the academic calendar. Each release goes live, is used and is stabilised before the next one starts going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4693"/>
        <w:gridCol w:w="2709"/>
      </w:tblGrid>
      <w:tr>
        <w:trPr>
          <w:tblHeader/>
        </w:trPr>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Release</w:t>
            </w:r>
          </w:p>
        </w:tc>
        <w:tc>
          <w:tcPr>
            <w:tcW w:type="dxa" w:w="469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Content</w:t>
            </w:r>
          </w:p>
        </w:tc>
        <w:tc>
          <w:tcPr>
            <w:tcW w:type="dxa" w:w="27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Target go-live</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1 — Admission-ready</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Platform and security, Online Admission Portal, NECTA and NACTVET verification, GePG application and tuition fees, Student Registry, Academic Structure, notifications, core reports.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March 2027 — before the 2027/28 application window</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2 — Academic</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Teaching &amp; Attendance, Assessment &amp; Examination (NTA and NVA), results publication, transcripts, NACTVET results files, full student portal, academic reports.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July 2027 — before the first examinations of the new academic year</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3 — Campus</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Hostel, Industrial Practical Training, Clearance &amp; Graduation, advanced finance (HESLB, sponsors, refunds), MUSE/ERP export, management dashboards and regulator returns.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2027 — at the start of the 2027/28 academic year</w:t>
            </w:r>
          </w:p>
        </w:tc>
      </w:tr>
    </w:tbl>
    <w:p>
      <w:pPr>
        <w:spacing w:after="120"/>
      </w:pPr>
    </w:p>
    <w:p>
      <w:pPr>
        <w:spacing w:after="120" w:line="276"/>
        <w:jc w:val="both"/>
      </w:pPr>
      <w:r>
        <w:rPr>
          <w:rFonts w:ascii="Calibri" w:cs="Calibri" w:eastAsia="Calibri" w:hAnsi="Calibri"/>
        </w:rPr>
        <w:t xml:space="preserve">Two pilot institutions (one NTA-focused and one NVA-focused) will validate each release before wider roll-out. Detailed plans are in Document 07.</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Progress (October 2026): the build of all three releases' scope is complete in the development environment, with 239 automated backend tests, continuous integration and load tests (100 users: no errors, p95 37 ms). Before the first go-live the remaining work is: live connections to GePG, NACTVET, HESLB, NIDA, MUSE, TAMISEMI and an SMS aggregator as access is granted, the peak performance run and penetration test, production hosting, data migration for the pilots and pilot user acceptance. The revised plan is in Document 07, section 3.2.</w:t>
      </w:r>
    </w:p>
    <w:p>
      <w:pPr>
        <w:pStyle w:val="Heading1"/>
      </w:pPr>
      <w:bookmarkStart w:id="21" w:name="_TocV11_21"/>
      <w:r>
        <w:rPr>
          <w:rFonts w:ascii="Calibri" w:cs="Calibri" w:eastAsia="Calibri" w:hAnsi="Calibri"/>
        </w:rPr>
        <w:t xml:space="preserve">10. Expected Benefits</w:t>
      </w:r>
      <w:bookmarkEnd w:id="21"/>
    </w:p>
    <w:p>
      <w:pPr>
        <w:spacing w:after="300"/>
      </w:pPr>
      <w:r>
        <w:rPr>
          <w:i/>
          <w:rFonts w:ascii="Calibri" w:cs="Calibri" w:eastAsia="Calibri" w:hAnsi="Calibri"/>
          <w:color w:val="595959"/>
          <w:sz w:val="22"/>
          <w:szCs w:val="22"/>
        </w:rPr>
        <w:t xml:space="preserve">This section lists the benefits institutions can expect from CIMS, grouped by area, so stakeholders can see the return on their investment of time and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Benefit area</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Expected benefit</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Applicant reach and speed</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Online applications open the institution to applicants across the country; faster decisions reduce the number of applicants lost to competitors.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Revenue assurance</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Every fee is invoiced and every payment matched through GePG; outstanding balances are visible daily and clearance gates are enforced automatically.</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Academic integrity</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Controlled approval workflow, locked results after approval and a full audit trail reduce disputes and protect the institution's reputation.</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Compliance</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 submissions generated from verified data; personal data protected in line with PDPA 2022; audit-ready records.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Efficiency</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Staff time moves from re-typing and reconciling to serving students.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Better decisions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Leaders see enrolment, performance and finance trends while there is still time to act.</w:t>
            </w:r>
          </w:p>
        </w:tc>
      </w:tr>
    </w:tbl>
    <w:p>
      <w:pPr>
        <w:spacing w:after="120"/>
      </w:pPr>
    </w:p>
    <w:p>
      <w:pPr>
        <w:pStyle w:val="Heading1"/>
      </w:pPr>
      <w:bookmarkStart w:id="22" w:name="_TocV11_22"/>
      <w:r>
        <w:rPr>
          <w:rFonts w:ascii="Calibri" w:cs="Calibri" w:eastAsia="Calibri" w:hAnsi="Calibri"/>
        </w:rPr>
        <w:t xml:space="preserve">11. Key Risks</w:t>
      </w:r>
      <w:bookmarkEnd w:id="22"/>
    </w:p>
    <w:p>
      <w:pPr>
        <w:spacing w:after="300"/>
      </w:pPr>
      <w:r>
        <w:rPr>
          <w:i/>
          <w:rFonts w:ascii="Calibri" w:cs="Calibri" w:eastAsia="Calibri" w:hAnsi="Calibri"/>
          <w:color w:val="595959"/>
          <w:sz w:val="22"/>
          <w:szCs w:val="22"/>
        </w:rPr>
        <w:t xml:space="preserve">Every project faces risks. This section names the main risks to CIMS and how each one is reduced or managed, so stakeholders can judge that they are under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tblHeader/>
        </w:trPr>
        <w:tc>
          <w:tcPr>
            <w:tcW w:type="dxa" w:w="28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Risk</w:t>
            </w:r>
          </w:p>
        </w:tc>
        <w:tc>
          <w:tcPr>
            <w:tcW w:type="dxa" w:w="613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Response</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Changes in NACTVET requirements or formats</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Configurable rules and versioned file templates; the shared platform absorbs changes once for all institutions.</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Integration dependencies (GePG, NACTVET, NECTA)</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Engage service providers in the inception phase; file-based fallbacks for every connector.</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Poor legacy data quality</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cleansing starts in the design phase with validation reports and sign-off by each institution.</w:t>
            </w:r>
          </w:p>
        </w:tc>
      </w:tr>
      <w:tr>
        <w:trPr>
          <w:cantSplit/>
        </w:trPr>
        <w:tc>
          <w:tcPr>
            <w:tcW w:type="dxa" w:w="28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User resistance</w:t>
            </w:r>
          </w:p>
        </w:tc>
        <w:tc>
          <w:tcPr>
            <w:tcW w:type="dxa" w:w="613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Pilot institutions, champions in each office, practical hands-on training and Kiswahili materials.</w:t>
            </w:r>
          </w:p>
        </w:tc>
      </w:tr>
      <w:tr>
        <w:trPr>
          <w:cantSplit/>
        </w:trPr>
        <w:tc>
          <w:tcPr>
            <w:tcW w:type="dxa" w:w="28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Missing the admission window</w:t>
            </w:r>
          </w:p>
        </w:tc>
        <w:tc>
          <w:tcPr>
            <w:tcW w:type="dxa" w:w="613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1 scope is fixed and protected; anything non-essential moves to later releases.</w:t>
            </w:r>
          </w:p>
        </w:tc>
      </w:tr>
    </w:tbl>
    <w:p>
      <w:pPr>
        <w:spacing w:after="120"/>
      </w:pPr>
    </w:p>
    <w:p>
      <w:pPr>
        <w:spacing w:after="120" w:line="276"/>
        <w:jc w:val="both"/>
      </w:pPr>
      <w:r>
        <w:rPr>
          <w:rFonts w:ascii="Calibri" w:cs="Calibri" w:eastAsia="Calibri" w:hAnsi="Calibri"/>
        </w:rPr>
        <w:t xml:space="preserve">The full risk register is maintained in Document 07.</w:t>
      </w:r>
    </w:p>
    <w:p>
      <w:pPr>
        <w:pStyle w:val="Heading1"/>
      </w:pPr>
      <w:bookmarkStart w:id="23" w:name="_TocV11_23"/>
      <w:r>
        <w:rPr>
          <w:rFonts w:ascii="Calibri" w:cs="Calibri" w:eastAsia="Calibri" w:hAnsi="Calibri"/>
        </w:rPr>
        <w:t xml:space="preserve">12. Recommendation and Next Steps</w:t>
      </w:r>
      <w:bookmarkEnd w:id="23"/>
    </w:p>
    <w:p>
      <w:pPr>
        <w:spacing w:after="300"/>
      </w:pPr>
      <w:r>
        <w:rPr>
          <w:i/>
          <w:rFonts w:ascii="Calibri" w:cs="Calibri" w:eastAsia="Calibri" w:hAnsi="Calibri"/>
          <w:color w:val="595959"/>
          <w:sz w:val="22"/>
          <w:szCs w:val="22"/>
        </w:rPr>
        <w:t xml:space="preserve">This final section states what stakeholders are asked to decide and the immediate steps that follow approval.</w:t>
      </w:r>
    </w:p>
    <w:p>
      <w:pPr>
        <w:spacing w:after="120" w:line="276"/>
        <w:jc w:val="both"/>
      </w:pPr>
      <w:r>
        <w:rPr>
          <w:rFonts w:ascii="Calibri" w:cs="Calibri" w:eastAsia="Calibri" w:hAnsi="Calibri"/>
        </w:rPr>
        <w:t xml:space="preserve">It is recommended that stakeholders approve CIMS as built and authorise the pilot and go-live phase. The immediate next steps are:</w:t>
      </w:r>
    </w:p>
    <w:p>
      <w:pPr>
        <w:pStyle w:val="ListParagraph"/>
        <w:numPr>
          <w:ilvl w:val="0"/>
          <w:numId w:val="3"/>
        </w:numPr>
        <w:spacing w:after="60" w:line="264"/>
      </w:pPr>
      <w:r>
        <w:rPr>
          <w:rFonts w:ascii="Calibri" w:cs="Calibri" w:eastAsia="Calibri" w:hAnsi="Calibri"/>
        </w:rPr>
        <w:t xml:space="preserve">Approve the version 3.0 documents (01–07) as the as-built baseline for pilots and acceptance.</w:t>
      </w:r>
    </w:p>
    <w:p>
      <w:pPr>
        <w:pStyle w:val="ListParagraph"/>
        <w:numPr>
          <w:ilvl w:val="0"/>
          <w:numId w:val="3"/>
        </w:numPr>
        <w:spacing w:after="60" w:line="264"/>
      </w:pPr>
      <w:r>
        <w:rPr>
          <w:rFonts w:ascii="Calibri" w:cs="Calibri" w:eastAsia="Calibri" w:hAnsi="Calibri"/>
        </w:rPr>
        <w:t xml:space="preserve">Nominate two pilot institutions (one NTA-focused, one NVA-focused) and a focal person in each office (admissions, registry, examinations, finance, hostel, ICT) to run user acceptance on the built system.</w:t>
      </w:r>
    </w:p>
    <w:p>
      <w:pPr>
        <w:pStyle w:val="ListParagraph"/>
        <w:numPr>
          <w:ilvl w:val="0"/>
          <w:numId w:val="3"/>
        </w:numPr>
        <w:spacing w:after="60" w:line="264"/>
      </w:pPr>
      <w:r>
        <w:rPr>
          <w:rFonts w:ascii="Calibri" w:cs="Calibri" w:eastAsia="Calibri" w:hAnsi="Calibri"/>
        </w:rPr>
        <w:t xml:space="preserve">Obtain live access: GePG service provider code and test environment, NACTVET admission verification API specification and credentials, NECTA API key, and an SMS aggregator account with a registered sender ID.</w:t>
      </w:r>
    </w:p>
    <w:p>
      <w:pPr>
        <w:pStyle w:val="ListParagraph"/>
        <w:numPr>
          <w:ilvl w:val="0"/>
          <w:numId w:val="3"/>
        </w:numPr>
        <w:spacing w:after="60" w:line="264"/>
      </w:pPr>
      <w:r>
        <w:rPr>
          <w:rFonts w:ascii="Calibri" w:cs="Calibri" w:eastAsia="Calibri" w:hAnsi="Calibri"/>
        </w:rPr>
        <w:t xml:space="preserve">Confirm the preferred deployment option (cloud subscription or dedicated installation) so production hosting can be set up.</w:t>
      </w:r>
    </w:p>
    <w:p>
      <w:pPr>
        <w:pStyle w:val="ListParagraph"/>
        <w:numPr>
          <w:ilvl w:val="0"/>
          <w:numId w:val="3"/>
        </w:numPr>
        <w:spacing w:after="60" w:line="264"/>
      </w:pPr>
      <w:r>
        <w:rPr>
          <w:rFonts w:ascii="Calibri" w:cs="Calibri" w:eastAsia="Calibri" w:hAnsi="Calibri"/>
        </w:rPr>
        <w:t xml:space="preserve">Approve the remaining work in Document 07, section 3.2, so the first institutions go live before the 2027/28 application window.</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 2026 Msingi Technologies Ltd  |  Confidential — For Stakeholder Review</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Msingi Technologies Ltd  |  CIMS — Document 01: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76639c2fb95fc90b93f55f0ca503fd63567ce.png"/><Relationship Id="rId10" Type="http://schemas.openxmlformats.org/officeDocument/2006/relationships/image" Target="media/9827bea42c37b9ff4e07104f8d7590a2ca34a6f2.jpg"/><Relationship Id="rId11" Type="http://schemas.openxmlformats.org/officeDocument/2006/relationships/image" Target="media/91c15a02a208d5c79e1fec004d4de3d67d0595e9.png"/><Relationship Id="rId12" Type="http://schemas.openxmlformats.org/officeDocument/2006/relationships/image" Target="media/9ef48691f7510ddbec9da201bf487838edacce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 — Document 01: Concept Note</dc:title>
  <dc:creator>Msingi Technologies Ltd</dc:creator>
  <cp:lastModifiedBy>Un-named</cp:lastModifiedBy>
  <cp:revision>1</cp:revision>
  <dcterms:created xsi:type="dcterms:W3CDTF">2026-10-06T09:59:02.086Z</dcterms:created>
  <dcterms:modified xsi:type="dcterms:W3CDTF">2026-10-06T09:59:02.086Z</dcterms:modified>
</cp:coreProperties>
</file>

<file path=docProps/custom.xml><?xml version="1.0" encoding="utf-8"?>
<Properties xmlns="http://schemas.openxmlformats.org/officeDocument/2006/custom-properties" xmlns:vt="http://schemas.openxmlformats.org/officeDocument/2006/docPropsVTypes"/>
</file>