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Requirements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brought up to date after the completion batches (campuses and transfers; instalments, penalties and discounts; email; two-step sign-in, API clients and personal-data requests; data import and document uploads; configurable approval stages; alumni and tracer surveys; live government adapters, deployment and load tests; the staff back-office in Kiswahili). The version 2.0 requirements stay the baseline.</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Requirements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Audience</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Definitions</w:t>
            </w:r>
            <w:r>
              <w:rPr>
                <w:rFonts w:ascii="Calibri" w:cs="Calibri" w:eastAsia="Calibri" w:hAnsi="Calibri"/>
                <w:sz w:val="20"/>
                <w:szCs w:val="20"/>
              </w:rPr>
              <w:tab/>
              <w:t>5</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Business Context</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2.1 Business drivers</w:t>
            </w:r>
            <w:r>
              <w:rPr>
                <w:rFonts w:ascii="Calibri" w:cs="Calibri" w:eastAsia="Calibri" w:hAnsi="Calibri"/>
                <w:sz w:val="20"/>
                <w:szCs w:val="20"/>
              </w:rPr>
              <w:tab/>
              <w:t>6</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3. Stakeholders</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Current Challenges (As-Is)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Business Objectives</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Business Requirements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Admissions</w:t>
            </w:r>
            <w:r>
              <w:rPr>
                <w:rFonts w:ascii="Calibri" w:cs="Calibri" w:eastAsia="Calibri" w:hAnsi="Calibri"/>
                <w:sz w:val="20"/>
                <w:szCs w:val="20"/>
              </w:rPr>
              <w:tab/>
              <w:t>8</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Student registry and academic structure</w:t>
            </w:r>
            <w:r>
              <w:rPr>
                <w:rFonts w:ascii="Calibri" w:cs="Calibri" w:eastAsia="Calibri" w:hAnsi="Calibri"/>
                <w:sz w:val="20"/>
                <w:szCs w:val="20"/>
              </w:rPr>
              <w:tab/>
              <w:t>8</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Teaching, assessment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Finance and fees</w:t>
            </w:r>
            <w:r>
              <w:rPr>
                <w:rFonts w:ascii="Calibri" w:cs="Calibri" w:eastAsia="Calibri" w:hAnsi="Calibri"/>
                <w:sz w:val="20"/>
                <w:szCs w:val="20"/>
              </w:rPr>
              <w:tab/>
              <w:t>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6.5 Hostel, clearance and graduation</w:t>
            </w:r>
            <w:r>
              <w:rPr>
                <w:rFonts w:ascii="Calibri" w:cs="Calibri" w:eastAsia="Calibri" w:hAnsi="Calibri"/>
                <w:sz w:val="20"/>
                <w:szCs w:val="20"/>
              </w:rPr>
              <w:tab/>
              <w:t>10</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6.6 Self-service, communication and reporting</w:t>
            </w:r>
            <w:r>
              <w:rPr>
                <w:rFonts w:ascii="Calibri" w:cs="Calibri" w:eastAsia="Calibri" w:hAnsi="Calibri"/>
                <w:sz w:val="20"/>
                <w:szCs w:val="20"/>
              </w:rPr>
              <w:tab/>
              <w:t>10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6.7 Platform, security and compliance</w:t>
            </w:r>
            <w:r>
              <w:rPr>
                <w:rFonts w:ascii="Calibri" w:cs="Calibri" w:eastAsia="Calibri" w:hAnsi="Calibri"/>
                <w:sz w:val="20"/>
                <w:szCs w:val="20"/>
              </w:rPr>
              <w:tab/>
              <w:t>11</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6.8 Implementation status (October 2026)</w:t>
            </w:r>
            <w:r>
              <w:rPr>
                <w:rFonts w:ascii="Calibri" w:cs="Calibri" w:eastAsia="Calibri" w:hAnsi="Calibri"/>
                <w:sz w:val="20"/>
                <w:szCs w:val="20"/>
              </w:rPr>
              <w:tab/>
              <w:t>11</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Business Rules</w:t>
            </w:r>
            <w:r>
              <w:rPr>
                <w:rFonts w:ascii="Calibri" w:cs="Calibri" w:eastAsia="Calibri" w:hAnsi="Calibri"/>
                <w:b/>
                <w:bCs/>
                <w:color w:val="1F3864"/>
                <w:sz w:val="21"/>
                <w:szCs w:val="21"/>
              </w:rPr>
              <w:tab/>
              <w:t>13</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How the rules are enforced (as built)</w:t>
            </w:r>
            <w:r>
              <w:rPr>
                <w:rFonts w:ascii="Calibri" w:cs="Calibri" w:eastAsia="Calibri" w:hAnsi="Calibri"/>
                <w:sz w:val="20"/>
                <w:szCs w:val="20"/>
              </w:rPr>
              <w:tab/>
              <w:t>14</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8. Regulatory and Compliance Requirements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9. Assumptions, Constraints and Dependencies</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9.1 Assumptions</w:t>
            </w:r>
            <w:r>
              <w:rPr>
                <w:rFonts w:ascii="Calibri" w:cs="Calibri" w:eastAsia="Calibri" w:hAnsi="Calibri"/>
                <w:sz w:val="20"/>
                <w:szCs w:val="20"/>
              </w:rPr>
              <w:tab/>
              <w:t>16</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9.2 Constraints</w:t>
            </w:r>
            <w:r>
              <w:rPr>
                <w:rFonts w:ascii="Calibri" w:cs="Calibri" w:eastAsia="Calibri" w:hAnsi="Calibri"/>
                <w:sz w:val="20"/>
                <w:szCs w:val="20"/>
              </w:rPr>
              <w:tab/>
              <w:t>16</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9.3 Dependencies</w:t>
            </w:r>
            <w:r>
              <w:rPr>
                <w:rFonts w:ascii="Calibri" w:cs="Calibri" w:eastAsia="Calibri" w:hAnsi="Calibri"/>
                <w:sz w:val="20"/>
                <w:szCs w:val="20"/>
              </w:rPr>
              <w:tab/>
              <w:t>16</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10. Success Indicators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11. Approval</w:t>
            </w:r>
            <w:r>
              <w:rPr>
                <w:rFonts w:ascii="Calibri" w:cs="Calibri" w:eastAsia="Calibri" w:hAnsi="Calibri"/>
                <w:b/>
                <w:bCs/>
                <w:color w:val="1F3864"/>
                <w:sz w:val="21"/>
                <w:szCs w:val="21"/>
              </w:rPr>
              <w:tab/>
              <w:t>17</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why this document exists, who it is written for and the terms it uses, so that every reader starts from the same understanding.</w:t>
      </w:r>
    </w:p>
    <w:p>
      <w:pPr>
        <w:pStyle w:val="Heading2"/>
      </w:pPr>
      <w:bookmarkStart w:id="2" w:name="_TocV11_2"/>
      <w:r>
        <w:rPr>
          <w:rFonts w:ascii="Calibri" w:cs="Calibri" w:eastAsia="Calibri" w:hAnsi="Calibri"/>
        </w:rPr>
        <w:t xml:space="preserve">1.1 Purpose</w:t>
      </w:r>
      <w:bookmarkEnd w:id="2"/>
    </w:p>
    <w:p>
      <w:pPr>
        <w:spacing w:after="300"/>
      </w:pPr>
      <w:r>
        <w:rPr>
          <w:i/>
          <w:rFonts w:ascii="Calibri" w:cs="Calibri" w:eastAsia="Calibri" w:hAnsi="Calibri"/>
          <w:color w:val="595959"/>
          <w:sz w:val="22"/>
          <w:szCs w:val="22"/>
        </w:rPr>
        <w:t xml:space="preserve">The purpose sets out what this document is for and how it will be used: as the agreed statement of what institutions need, against which the system is designed, built and accepted.</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bookmarkStart w:id="3" w:name="_TocV11_3"/>
      <w:r>
        <w:rPr>
          <w:rFonts w:ascii="Calibri" w:cs="Calibri" w:eastAsia="Calibri" w:hAnsi="Calibri"/>
        </w:rPr>
        <w:t xml:space="preserve">1.2 Audience</w:t>
      </w:r>
      <w:bookmarkEnd w:id="3"/>
    </w:p>
    <w:p>
      <w:pPr>
        <w:spacing w:after="300"/>
      </w:pPr>
      <w:r>
        <w:rPr>
          <w:i/>
          <w:rFonts w:ascii="Calibri" w:cs="Calibri" w:eastAsia="Calibri" w:hAnsi="Calibri"/>
          <w:color w:val="595959"/>
          <w:sz w:val="22"/>
          <w:szCs w:val="22"/>
        </w:rPr>
        <w:t xml:space="preserve">This sub-section identifies the readers of this document. Each group will find the requirements that concern their office in section 6.</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bookmarkStart w:id="4" w:name="_TocV11_4"/>
      <w:r>
        <w:rPr>
          <w:rFonts w:ascii="Calibri" w:cs="Calibri" w:eastAsia="Calibri" w:hAnsi="Calibri"/>
        </w:rPr>
        <w:t xml:space="preserve">1.3 Definitions</w:t>
      </w:r>
      <w:bookmarkEnd w:id="4"/>
    </w:p>
    <w:p>
      <w:pPr>
        <w:spacing w:after="300"/>
      </w:pPr>
      <w:r>
        <w:rPr>
          <w:i/>
          <w:rFonts w:ascii="Calibri" w:cs="Calibri" w:eastAsia="Calibri" w:hAnsi="Calibri"/>
          <w:color w:val="595959"/>
          <w:sz w:val="22"/>
          <w:szCs w:val="22"/>
        </w:rPr>
        <w:t xml:space="preserve">The sector and the system use many abbreviations and specialised terms. The table explains each one in plain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 the regulator for TVET institutions and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 of Competence).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 of applicants.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 source of CSEE (Form Four) and ACSEE (Form Six)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 issues control numbers and confirms payments.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 Semester (End of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 semester, annual and cumulative.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(field attachment).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configuration.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bl>
    <w:p>
      <w:pPr>
        <w:spacing w:after="120"/>
      </w:pPr>
    </w:p>
    <w:p>
      <w:pPr>
        <w:pStyle w:val="Heading1"/>
      </w:pPr>
      <w:bookmarkStart w:id="5" w:name="_TocV11_5"/>
      <w:r>
        <w:rPr>
          <w:rFonts w:ascii="Calibri" w:cs="Calibri" w:eastAsia="Calibri" w:hAnsi="Calibri"/>
        </w:rPr>
        <w:t xml:space="preserve">2. Business Context</w:t>
      </w:r>
      <w:bookmarkEnd w:id="5"/>
    </w:p>
    <w:p>
      <w:pPr>
        <w:spacing w:after="300"/>
      </w:pPr>
      <w:r>
        <w:rPr>
          <w:i/>
          <w:rFonts w:ascii="Calibri" w:cs="Calibri" w:eastAsia="Calibri" w:hAnsi="Calibri"/>
          <w:color w:val="595959"/>
          <w:sz w:val="22"/>
          <w:szCs w:val="22"/>
        </w:rPr>
        <w:t xml:space="preserve">This section describes the business environment of a NACTVET-registered institution: how it recruits, teaches, assesses and graduates students, and the pressures that make a modern system necessary.</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bookmarkStart w:id="6" w:name="_TocV11_6"/>
      <w:r>
        <w:rPr>
          <w:rFonts w:ascii="Calibri" w:cs="Calibri" w:eastAsia="Calibri" w:hAnsi="Calibri"/>
        </w:rPr>
        <w:t xml:space="preserve">2.1 Business drivers</w:t>
      </w:r>
      <w:bookmarkEnd w:id="6"/>
    </w:p>
    <w:p>
      <w:pPr>
        <w:spacing w:after="300"/>
      </w:pPr>
      <w:r>
        <w:rPr>
          <w:i/>
          <w:rFonts w:ascii="Calibri" w:cs="Calibri" w:eastAsia="Calibri" w:hAnsi="Calibri"/>
          <w:color w:val="595959"/>
          <w:sz w:val="22"/>
          <w:szCs w:val="22"/>
        </w:rPr>
        <w:t xml:space="preserve">The drivers below are the forces pushing institutions to change how they work. Each one is a reason the requirements in this document matter.</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bookmarkStart w:id="7" w:name="_TocV11_7"/>
      <w:r>
        <w:rPr>
          <w:rFonts w:ascii="Calibri" w:cs="Calibri" w:eastAsia="Calibri" w:hAnsi="Calibri"/>
        </w:rPr>
        <w:t xml:space="preserve">3. Stakeholders</w:t>
      </w:r>
      <w:bookmarkEnd w:id="7"/>
    </w:p>
    <w:p>
      <w:pPr>
        <w:spacing w:after="300"/>
      </w:pPr>
      <w:r>
        <w:rPr>
          <w:i/>
          <w:rFonts w:ascii="Calibri" w:cs="Calibri" w:eastAsia="Calibri" w:hAnsi="Calibri"/>
          <w:color w:val="595959"/>
          <w:sz w:val="22"/>
          <w:szCs w:val="22"/>
        </w:rPr>
        <w:t xml:space="preserve">A stakeholder is any person or body affected by CIMS or with a say in it. The table lists each group, what it cares about and how it takes part, so that no group's needs are overlooked.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bookmarkStart w:id="8" w:name="_TocV11_8"/>
      <w:r>
        <w:rPr>
          <w:rFonts w:ascii="Calibri" w:cs="Calibri" w:eastAsia="Calibri" w:hAnsi="Calibri"/>
        </w:rPr>
        <w:t xml:space="preserve">4. Current Challenges (As-Is)</w:t>
      </w:r>
      <w:bookmarkEnd w:id="8"/>
    </w:p>
    <w:p>
      <w:pPr>
        <w:spacing w:after="300"/>
      </w:pPr>
      <w:r>
        <w:rPr>
          <w:i/>
          <w:rFonts w:ascii="Calibri" w:cs="Calibri" w:eastAsia="Calibri" w:hAnsi="Calibri"/>
          <w:color w:val="595959"/>
          <w:sz w:val="22"/>
          <w:szCs w:val="22"/>
        </w:rPr>
        <w:t xml:space="preserve">This section describes how each office works today and where the difficulties lie. These are the problems the business requirements are written to solve.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bookmarkStart w:id="9" w:name="_TocV11_9"/>
      <w:r>
        <w:rPr>
          <w:rFonts w:ascii="Calibri" w:cs="Calibri" w:eastAsia="Calibri" w:hAnsi="Calibri"/>
        </w:rPr>
        <w:t xml:space="preserve">5. Business Objectives</w:t>
      </w:r>
      <w:bookmarkEnd w:id="9"/>
    </w:p>
    <w:p>
      <w:pPr>
        <w:spacing w:after="300"/>
      </w:pPr>
      <w:r>
        <w:rPr>
          <w:i/>
          <w:rFonts w:ascii="Calibri" w:cs="Calibri" w:eastAsia="Calibri" w:hAnsi="Calibri"/>
          <w:color w:val="595959"/>
          <w:sz w:val="22"/>
          <w:szCs w:val="22"/>
        </w:rPr>
        <w:t xml:space="preserve">This section links this document to the objectives agreed in the Concept Note, so that every requirement can be traced to a business purpose.</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bookmarkStart w:id="10" w:name="_TocV11_10"/>
      <w:r>
        <w:rPr>
          <w:rFonts w:ascii="Calibri" w:cs="Calibri" w:eastAsia="Calibri" w:hAnsi="Calibri"/>
        </w:rPr>
        <w:t xml:space="preserve">6. Business Requirements</w:t>
      </w:r>
      <w:bookmarkEnd w:id="10"/>
    </w:p>
    <w:p>
      <w:pPr>
        <w:spacing w:after="300"/>
      </w:pPr>
      <w:r>
        <w:rPr>
          <w:i/>
          <w:rFonts w:ascii="Calibri" w:cs="Calibri" w:eastAsia="Calibri" w:hAnsi="Calibri"/>
          <w:color w:val="595959"/>
          <w:sz w:val="22"/>
          <w:szCs w:val="22"/>
        </w:rPr>
        <w:t xml:space="preserve">This section is the heart of the document: what the institution needs the system to do, grouped by area of work. Each requirement has an identifier for tracing, a priority, the objective it serves and the release that delivers it.</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bookmarkStart w:id="11" w:name="_TocV11_11"/>
      <w:r>
        <w:rPr>
          <w:rFonts w:ascii="Calibri" w:cs="Calibri" w:eastAsia="Calibri" w:hAnsi="Calibri"/>
        </w:rPr>
        <w:t xml:space="preserve">6.1 Admissions</w:t>
      </w:r>
      <w:bookmarkEnd w:id="11"/>
    </w:p>
    <w:p>
      <w:pPr>
        <w:spacing w:after="300"/>
      </w:pPr>
      <w:r>
        <w:rPr>
          <w:i/>
          <w:rFonts w:ascii="Calibri" w:cs="Calibri" w:eastAsia="Calibri" w:hAnsi="Calibri"/>
          <w:color w:val="595959"/>
          <w:sz w:val="22"/>
          <w:szCs w:val="22"/>
        </w:rPr>
        <w:t xml:space="preserve">These requirements cover attracting and admitting applicants, from the online portal and eligibility checks to selection, offers and NACTVET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6.2 Student registry and academic structure</w:t>
      </w:r>
      <w:bookmarkEnd w:id="12"/>
    </w:p>
    <w:p>
      <w:pPr>
        <w:spacing w:after="300"/>
      </w:pPr>
      <w:r>
        <w:rPr>
          <w:i/>
          <w:rFonts w:ascii="Calibri" w:cs="Calibri" w:eastAsia="Calibri" w:hAnsi="Calibri"/>
          <w:color w:val="595959"/>
          <w:sz w:val="22"/>
          <w:szCs w:val="22"/>
        </w:rPr>
        <w:t xml:space="preserve">These requirements cover the single student record and the academic structure it rests on: departments, programmes, intakes, registration and student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6.3 Teaching, assessment and examinations</w:t>
      </w:r>
      <w:bookmarkEnd w:id="13"/>
    </w:p>
    <w:p>
      <w:pPr>
        <w:spacing w:after="300"/>
      </w:pPr>
      <w:r>
        <w:rPr>
          <w:i/>
          <w:rFonts w:ascii="Calibri" w:cs="Calibri" w:eastAsia="Calibri" w:hAnsi="Calibri"/>
          <w:color w:val="595959"/>
          <w:sz w:val="22"/>
          <w:szCs w:val="22"/>
        </w:rPr>
        <w:t xml:space="preserve">These requirements cover the academic core of the institution: allocating teaching, attendance, continuous assessment, examinations, results approval and NACTVET results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4" w:name="_TocV11_14"/>
      <w:r>
        <w:rPr>
          <w:rFonts w:ascii="Calibri" w:cs="Calibri" w:eastAsia="Calibri" w:hAnsi="Calibri"/>
        </w:rPr>
        <w:t xml:space="preserve">6.4 Finance and fees</w:t>
      </w:r>
      <w:bookmarkEnd w:id="14"/>
    </w:p>
    <w:p>
      <w:pPr>
        <w:spacing w:after="300"/>
      </w:pPr>
      <w:r>
        <w:rPr>
          <w:i/>
          <w:rFonts w:ascii="Calibri" w:cs="Calibri" w:eastAsia="Calibri" w:hAnsi="Calibri"/>
          <w:color w:val="595959"/>
          <w:sz w:val="22"/>
          <w:szCs w:val="22"/>
        </w:rPr>
        <w:t xml:space="preserve">These requirements cover how the institution charges and collects fees, records payments, manages sponsors and waivers, and reports on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5" w:name="_TocV11_15"/>
      <w:r>
        <w:rPr>
          <w:rFonts w:ascii="Calibri" w:cs="Calibri" w:eastAsia="Calibri" w:hAnsi="Calibri"/>
        </w:rPr>
        <w:t xml:space="preserve">6.5 Hostel, clearance and graduation</w:t>
      </w:r>
      <w:bookmarkEnd w:id="15"/>
    </w:p>
    <w:p>
      <w:pPr>
        <w:spacing w:after="300"/>
      </w:pPr>
      <w:r>
        <w:rPr>
          <w:i/>
          <w:rFonts w:ascii="Calibri" w:cs="Calibri" w:eastAsia="Calibri" w:hAnsi="Calibri"/>
          <w:color w:val="595959"/>
          <w:sz w:val="22"/>
          <w:szCs w:val="22"/>
        </w:rPr>
        <w:t xml:space="preserve">These requirements cover student accommodation, clearance before leaving and the steps to graduation and certificates.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6" w:name="_TocV11_16"/>
      <w:r>
        <w:rPr>
          <w:rFonts w:ascii="Calibri" w:cs="Calibri" w:eastAsia="Calibri" w:hAnsi="Calibri"/>
        </w:rPr>
        <w:t xml:space="preserve">6.6 Self-service, communication and reporting</w:t>
      </w:r>
      <w:bookmarkEnd w:id="16"/>
    </w:p>
    <w:p>
      <w:pPr>
        <w:spacing w:after="300"/>
      </w:pPr>
      <w:r>
        <w:rPr>
          <w:i/>
          <w:rFonts w:ascii="Calibri" w:cs="Calibri" w:eastAsia="Calibri" w:hAnsi="Calibri"/>
          <w:color w:val="595959"/>
          <w:sz w:val="22"/>
          <w:szCs w:val="22"/>
        </w:rPr>
        <w:t xml:space="preserve">These requirements cover what students can do for themselves online, how the institution communicates with them, and the reports and dashboards management relies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bookmarkStart w:id="17" w:name="_TocV11_17"/>
      <w:r>
        <w:rPr>
          <w:rFonts w:ascii="Calibri" w:cs="Calibri" w:eastAsia="Calibri" w:hAnsi="Calibri"/>
        </w:rPr>
        <w:t xml:space="preserve">6.7 Platform, security and compliance</w:t>
      </w:r>
      <w:bookmarkEnd w:id="17"/>
    </w:p>
    <w:p>
      <w:pPr>
        <w:spacing w:after="300"/>
      </w:pPr>
      <w:r>
        <w:rPr>
          <w:i/>
          <w:rFonts w:ascii="Calibri" w:cs="Calibri" w:eastAsia="Calibri" w:hAnsi="Calibri"/>
          <w:color w:val="595959"/>
          <w:sz w:val="22"/>
          <w:szCs w:val="22"/>
        </w:rPr>
        <w:t xml:space="preserve">These requirements apply across the whole system: serving many institutions safely, controlling who can see what, protecting personal data and keeping a record of every important 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8" w:name="_TocV11_18"/>
      <w:r>
        <w:rPr>
          <w:rFonts w:ascii="Calibri" w:cs="Calibri" w:eastAsia="Calibri" w:hAnsi="Calibri"/>
        </w:rPr>
        <w:t xml:space="preserve">6.8 Implementation status (October 2026)</w:t>
      </w:r>
      <w:bookmarkEnd w:id="18"/>
    </w:p>
    <w:p>
      <w:pPr>
        <w:spacing w:after="300"/>
      </w:pPr>
      <w:r>
        <w:rPr>
          <w:i/>
          <w:rFonts w:ascii="Calibri" w:cs="Calibri" w:eastAsia="Calibri" w:hAnsi="Calibri"/>
          <w:color w:val="595959"/>
          <w:sz w:val="22"/>
          <w:szCs w:val="22"/>
        </w:rPr>
        <w:t xml:space="preserve">This sub-section reports, requirement by requirement, how far the system as built meets the business requirements, so stakeholders can see exactly what is ready and what remains.</w:t>
      </w:r>
    </w:p>
    <w:p>
      <w:pPr>
        <w:spacing w:after="120" w:line="276"/>
        <w:jc w:val="both"/>
      </w:pPr>
      <w:r>
        <w:rPr>
          <w:rFonts w:ascii="Calibri" w:cs="Calibri" w:eastAsia="Calibri" w:hAnsi="Calibri"/>
        </w:rPr>
        <w:t xml:space="preserve">The requirements above remain the baseline. This table records, for version 3.1, how far the system as built meets each one. Built: in the system and covered by automated tests. Partly built: usable, with the gap stated. Not yet built: planned, not in the system. Where a requirement depends on an outside body (GePG, NACTVET, HESLB, NIDA, MUSE, TAMISEMI), the adapter is built and tested against a simulator of that body; the live connection is switched on when the body grants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1173"/>
        <w:gridCol w:w="7041"/>
      </w:tblGrid>
      <w:tr>
        <w:trPr>
          <w:tblHeader/>
          <w:cantSplit/>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How the system meets it / what remains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institution has its own admission portal on its own web addresses (the institution is found from the host name), mobile-first, with its campus photo and a How to apply guide.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per academic year and intake with programmes, capacity and application fee; published to open on a date, opened, closed early with a reason, reopened, extended and closed automatically.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 rules; CSEE and ACSEE from NECTA, NTA awards from NACTVET, NVA and other awards checked by the Admissions Office; programmes offered by the applicant's entry level.</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Secondary results fetched from NECTA at sign-up and for other sittings. NTA awards are fetched from NACTVET's particulars service by registration number and graduation year (how NACTVET's service works) rather than by AVN.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 for the application fee; the application can be submitted only after payment. The live GePG adapter is built and switched on with the institution's GePG certificates; until then GePG is simulated.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stable allocation across choices within capacity, committee review and approval, admission letters with joining instructions and QR code, offer acceptance and decline.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resubmission, verification numbers, multiple-admission confirmation code. NACTVET's live API endpoints are awaited (a tested adapter is ready).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selected by TAMISEMI or another body are imported from a file or fetched from TAMISEMI into the admission window as selected; their NECTA results are fetched, they go to NACTVET verification and receive offers like other applicants, and are told by SMS to sign up. Every import is checked row by row and applied only after someone other than the uploader signs it off.</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student record from the accepted application; registration number from a configurable pattern, never changed or reused (enforced by the database).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 the student portal with core and elective modules, fee clearance checked, Registry approval or return.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Postponement, resumption, suspension, discontinuation, withdrawal and death with reason, effective date, Head of Department recommendation and Deputy Principal decision; completion and graduation come from the graduation process.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NVA I–III and NTA 4–8 programmes, versioned curricula, modules with credits, academic years, semesters and intakes.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programmes offered per campus; programme and campus transfers asked by Registry or by the student, recommended by the receiving Head of Department and decided by the Deputy Principal (Academic).</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module offerings each semester see only their modules (My teaching).</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session, percentage per student, SMS warning below the threshold (default 75%), used in examination eligibility.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CA and SE with weights and component pass marks from the regulations. NVA: tasks per unit, competent / not yet competent with evidence, re-assessment attempts.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Head of Department → Department Board (optional) → Academic Committee → Governing Board, then the database refuses changes. Each institution sets the approval stages for module results and class result sheets (up to six), each able to return with comments.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Grades, semester GPA, CGPA, classification and proposed decisions (pass, supplementary, special examination, incomplete, repeat, discontinue; carry over after resits) from regulations per award level.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student portal with SMS is built. Results go to NACTVET by API (or as a file); the live endpoint and the confirmed template are switched on when NACTVET issues its interface.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with fee, examiner assignment (conflict of interest refused), outcome and amendment.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supervisors, numbered letters, weekly logbook, visits and IPT marks sent to results.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per programme, year of study, academic year, intake and student category (e.g. regular, evening, weekend, distance) with local and foreign amounts and instalments.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invoices, control numbers, payment notifications, allocation, receipts and balances without manual matching. The live GePG adapter (signed XML: bills, control numbers by callback, payments and reconciliation) is built; it is switched on with the institution's GePG certificates.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waivers as credit notes, refunds with vouchers and two-level approval; instalment due dates with SMS reminders before, on and after the day; late-payment penalties once per instalment after a grace period; discount and scholarship schemes granted through the waiver approval.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with exceptions and monthly sign-off: GePG files or GePG's reconciliation request, and mobile money, collector and bank statements for institutions outside GePG.</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for registration, examinations, results, hostel and graduation, configured per institution.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(simulated until the Treasury grants access), and a postings file (CSV) for any date range.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and beds with gender rules, applications, allocation by priority and payment, check-in and check-out with damages, repairs.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clearance across configured offices; finance clears itself when nothing is owed.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statements of results and provisional transcripts, numbered certificates, each with a QR code checked on the public verification page.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for graduates; tracer surveys sent by SMS link, with answers updating the alumni record and a summary of employment outcomes.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for registration, invoices, payments, results, hostel, IPT, clearance, documents and notices, with a list of what to do next.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and email for event messages, bulk SMS, and in-app notices, in English and Kiswahili; admission letters emailed with the PDF; reports emailed to staff on a schedule; confirmed email addresses for applicants, students and staff.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dashboards and landing pages, 35 standard reports in Excel and PDF, NACTVET files.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platform for many institutions, each isolated by PostgreSQL row-level security, with its own addresses, branding, regulations, fees, users and data.</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with department, programme, hostel, sponsor and IPT scopes; two-step sign-in with an authenticator app (SMS code as a fall-back) required for the roles the administrator chooses. Campus-level scopes are not yet added.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trail of sensitive actions that the database keeps append-only (updates and deletes refused); a hash chain to prove tamper evidence is not yet added.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Consent recorded with the notice version and time; role-based access, personal data hidden from management views and masked in logs, exports recorded; everyone can download their data and send a request (copy, correction, erasure, objection) answered within 30 days; retention periods with a preview and a monthly job. National identification numbers are encrypted.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with a validation report and applied only after a second person signs off.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admission and student portals and the staff back-office are in English and Kiswahili; each person's choice is kept with their account.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REST API is documented (OpenAPI); connected systems use OAuth2 client credentials with scopes on a read-only integration API (programmes, students, results, payments); a client can be switched off at once.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production stack is ready: Docker Compose with a TLS proxy, WAL archiving and encrypted backups with a tested restore, health and metrics endpoints, continuous integration and load tests (100 users: no errors, p95 37 ms). Hosting, monitoring dashboards and the support desk are set up at go-live (Document 07).</w:t>
            </w:r>
          </w:p>
        </w:tc>
      </w:tr>
    </w:tbl>
    <w:p>
      <w:pPr>
        <w:spacing w:after="120"/>
      </w:pPr>
    </w:p>
    <w:p>
      <w:pPr>
        <w:spacing w:after="120" w:line="276"/>
        <w:jc w:val="both"/>
      </w:pPr>
      <w:r>
        <w:rPr>
          <w:rFonts w:ascii="Calibri" w:cs="Calibri" w:eastAsia="Calibri" w:hAnsi="Calibri"/>
        </w:rPr>
        <w:t xml:space="preserve">In total 40 requirements are built and 2 partly built. The two partly built depend on outside bodies or on go-live: NACTVET's live results interface (BR-19) and production hosting with the support desk (BR-42). Live connections to GePG, NACTVET, HESLB, NIDA, MUSE and TAMISEMI are built and tested against simulators and are switched on when each body grants access.</w:t>
      </w:r>
    </w:p>
    <w:p>
      <w:pPr>
        <w:pStyle w:val="Heading1"/>
      </w:pPr>
      <w:bookmarkStart w:id="19" w:name="_TocV11_19"/>
      <w:r>
        <w:rPr>
          <w:rFonts w:ascii="Calibri" w:cs="Calibri" w:eastAsia="Calibri" w:hAnsi="Calibri"/>
        </w:rPr>
        <w:t xml:space="preserve">7. Business Rules</w:t>
      </w:r>
      <w:bookmarkEnd w:id="19"/>
    </w:p>
    <w:p>
      <w:pPr>
        <w:spacing w:after="300"/>
      </w:pPr>
      <w:r>
        <w:rPr>
          <w:i/>
          <w:rFonts w:ascii="Calibri" w:cs="Calibri" w:eastAsia="Calibri" w:hAnsi="Calibri"/>
          <w:color w:val="595959"/>
          <w:sz w:val="22"/>
          <w:szCs w:val="22"/>
        </w:rPr>
        <w:t xml:space="preserve">Business rules are the institution's policies that the system must always apply, such as when an application may be processed or when a student may sit an examination. This section lists them.</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2"/>
      </w:pPr>
      <w:bookmarkStart w:id="20" w:name="_TocV11_20"/>
      <w:r>
        <w:rPr>
          <w:rFonts w:ascii="Calibri" w:cs="Calibri" w:eastAsia="Calibri" w:hAnsi="Calibri"/>
        </w:rPr>
        <w:t xml:space="preserve">7.1 How the rules are enforced (as built)</w:t>
      </w:r>
      <w:bookmarkEnd w:id="20"/>
    </w:p>
    <w:p>
      <w:pPr>
        <w:spacing w:after="300"/>
      </w:pPr>
      <w:r>
        <w:rPr>
          <w:i/>
          <w:rFonts w:ascii="Calibri" w:cs="Calibri" w:eastAsia="Calibri" w:hAnsi="Calibri"/>
          <w:color w:val="595959"/>
          <w:sz w:val="22"/>
          <w:szCs w:val="22"/>
        </w:rPr>
        <w:t xml:space="preserve">This sub-section explains how the most important rules are enforced in the system as built, including those protected by the database itself so they cannot be bypassed.</w:t>
      </w:r>
    </w:p>
    <w:p>
      <w:pPr>
        <w:spacing w:after="120" w:line="276"/>
        <w:jc w:val="both"/>
      </w:pPr>
      <w:r>
        <w:rPr>
          <w:rFonts w:ascii="Calibri" w:cs="Calibri" w:eastAsia="Calibri" w:hAnsi="Calibri"/>
        </w:rPr>
        <w:t xml:space="preserve">Where a rule matters most, the database enforces it as well as the application, so it holds even if a programming error bypasses a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8034"/>
      </w:tblGrid>
      <w:tr>
        <w:trPr>
          <w:tblHeader/>
          <w:cantSplit/>
        </w:trPr>
        <w:tc>
          <w:tcPr>
            <w:tcW w:type="dxa" w:w="99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c>
          <w:tcPr>
            <w:tcW w:type="dxa" w:w="80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Enforcement in the system</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submitted only once the fee is marked paid by the payment event.</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considers only eligible choices; awards checked by the office count only once verified.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 fills places per window programme up to its capacity.</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is allowed only for accepted offers, which require NACTVET verification; Registry approval of first registration makes the student active. Recording admission while verification is pending is not supported.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by a multiple-admission applicant needs NACTVET's confirmation code, with limited attempts.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index on the registration number and a database trigger that refuses changing it or deleting a student.</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registers and examination lists come only from approved semester registrations.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apply minimum attendance (default 75%), complete coursework and examination fees clearance; an ineligible student cannot be given an examination mark unless exempted.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Weights and component pass marks come from the regulation set of the student's award level.</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bands and classification bands per regulation set; the set is locked once used.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results are capped at the regulations' grade; special examinations are not capped.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Decisions are proposed from the regulations, changed only with a reason by the Academic Committee and confirmed by the Governing Board.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Returns need comments; confirmed results are locked by a database trigger; amendments need a reason and evidence and are approved by an administrator other than the requester.</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see results only after publication, and not without results clearance where configured.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and applicant payments use GePG control numbers (or, outside GePG, the institution's payment reference with its listed mobile money and bank accounts); sponsor remittances are recorded by the bursary; no cash receipts.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Database triggers refuse deleting invoices and payments; corrections are credit notes or cancellations of unpaid invoices.</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and refunds above the threshold (default TZS 500,000) need a second approval by the Principal; nobody approves their own request or both levels.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partial unique index allows one active allocation per bed; allocation never goes against the hostel's or room's gender.</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clearance completes only when every office has cleared.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Certificates are numbered only for graduands the Board approved; verification codes are unique.</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and scopes are checked on every request and PostgreSQL row-level security separates institutions. Campus and class scopes are not yet added.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for applicant data and for messages (default 24 months), with a preview of what would go; a monthly job anonymises applicants who never joined once their period has passed; students' academic and financial records are kept.</w:t>
            </w:r>
          </w:p>
        </w:tc>
      </w:tr>
    </w:tbl>
    <w:p>
      <w:pPr>
        <w:spacing w:after="120"/>
      </w:pPr>
    </w:p>
    <w:p>
      <w:pPr>
        <w:pStyle w:val="Heading1"/>
      </w:pPr>
      <w:bookmarkStart w:id="21" w:name="_TocV11_21"/>
      <w:r>
        <w:rPr>
          <w:rFonts w:ascii="Calibri" w:cs="Calibri" w:eastAsia="Calibri" w:hAnsi="Calibri"/>
        </w:rPr>
        <w:t xml:space="preserve">8. Regulatory and Compliance Requirements</w:t>
      </w:r>
      <w:bookmarkEnd w:id="21"/>
    </w:p>
    <w:p>
      <w:pPr>
        <w:spacing w:after="300"/>
      </w:pPr>
      <w:r>
        <w:rPr>
          <w:i/>
          <w:rFonts w:ascii="Calibri" w:cs="Calibri" w:eastAsia="Calibri" w:hAnsi="Calibri"/>
          <w:color w:val="595959"/>
          <w:sz w:val="22"/>
          <w:szCs w:val="22"/>
        </w:rPr>
        <w:t xml:space="preserve">Institutions operate under national laws and regulator rules. This section lists each obligation and what it requires of CIMS, so that compliance is designed in rather than added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bookmarkStart w:id="22" w:name="_TocV11_22"/>
      <w:r>
        <w:rPr>
          <w:rFonts w:ascii="Calibri" w:cs="Calibri" w:eastAsia="Calibri" w:hAnsi="Calibri"/>
        </w:rPr>
        <w:t xml:space="preserve">9. Assumptions, Constraints and Dependencies</w:t>
      </w:r>
      <w:bookmarkEnd w:id="22"/>
    </w:p>
    <w:p>
      <w:pPr>
        <w:spacing w:after="300"/>
      </w:pPr>
      <w:r>
        <w:rPr>
          <w:i/>
          <w:rFonts w:ascii="Calibri" w:cs="Calibri" w:eastAsia="Calibri" w:hAnsi="Calibri"/>
          <w:color w:val="595959"/>
          <w:sz w:val="22"/>
          <w:szCs w:val="22"/>
        </w:rPr>
        <w:t xml:space="preserve">Every plan rests on assumptions, operates within limits and depends on others. This section makes them explicit so that stakeholders can see what must hold true for CIMS to succeed.</w:t>
      </w:r>
    </w:p>
    <w:p>
      <w:pPr>
        <w:pStyle w:val="Heading2"/>
      </w:pPr>
      <w:bookmarkStart w:id="23" w:name="_TocV11_23"/>
      <w:r>
        <w:rPr>
          <w:rFonts w:ascii="Calibri" w:cs="Calibri" w:eastAsia="Calibri" w:hAnsi="Calibri"/>
        </w:rPr>
        <w:t xml:space="preserve">9.1 Assumptions</w:t>
      </w:r>
      <w:bookmarkEnd w:id="23"/>
    </w:p>
    <w:p>
      <w:pPr>
        <w:spacing w:after="300"/>
      </w:pPr>
      <w:r>
        <w:rPr>
          <w:i/>
          <w:rFonts w:ascii="Calibri" w:cs="Calibri" w:eastAsia="Calibri" w:hAnsi="Calibri"/>
          <w:color w:val="595959"/>
          <w:sz w:val="22"/>
          <w:szCs w:val="22"/>
        </w:rPr>
        <w:t xml:space="preserve">The assumptions below are conditions taken as true when planning CIMS. If one proves false, the plan may need to change.</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bookmarkStart w:id="24" w:name="_TocV11_24"/>
      <w:r>
        <w:rPr>
          <w:rFonts w:ascii="Calibri" w:cs="Calibri" w:eastAsia="Calibri" w:hAnsi="Calibri"/>
        </w:rPr>
        <w:t xml:space="preserve">9.2 Constraints</w:t>
      </w:r>
      <w:bookmarkEnd w:id="24"/>
    </w:p>
    <w:p>
      <w:pPr>
        <w:spacing w:after="300"/>
      </w:pPr>
      <w:r>
        <w:rPr>
          <w:i/>
          <w:rFonts w:ascii="Calibri" w:cs="Calibri" w:eastAsia="Calibri" w:hAnsi="Calibri"/>
          <w:color w:val="595959"/>
          <w:sz w:val="22"/>
          <w:szCs w:val="22"/>
        </w:rPr>
        <w:t xml:space="preserve">The constraints below are fixed limits, such as deadlines and budget, within which CIMS must be delivered.</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bookmarkStart w:id="25" w:name="_TocV11_25"/>
      <w:r>
        <w:rPr>
          <w:rFonts w:ascii="Calibri" w:cs="Calibri" w:eastAsia="Calibri" w:hAnsi="Calibri"/>
        </w:rPr>
        <w:t xml:space="preserve">9.3 Dependencies</w:t>
      </w:r>
      <w:bookmarkEnd w:id="25"/>
    </w:p>
    <w:p>
      <w:pPr>
        <w:spacing w:after="300"/>
      </w:pPr>
      <w:r>
        <w:rPr>
          <w:i/>
          <w:rFonts w:ascii="Calibri" w:cs="Calibri" w:eastAsia="Calibri" w:hAnsi="Calibri"/>
          <w:color w:val="595959"/>
          <w:sz w:val="22"/>
          <w:szCs w:val="22"/>
        </w:rPr>
        <w:t xml:space="preserve">The dependencies below are things CIMS needs from other parties, such as access to national systems and staff time, without which parts of the project cannot proceed.</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build is complete enough that the dependencies above now decide the go-live date: GePG service provider code and test access, NACTVET's verification API and templates, an SMS aggregator account and sender ID, and pilot institutions' data and staff time for acceptance testing.</w:t>
      </w:r>
    </w:p>
    <w:p>
      <w:pPr>
        <w:pStyle w:val="Heading1"/>
      </w:pPr>
      <w:bookmarkStart w:id="26" w:name="_TocV11_26"/>
      <w:r>
        <w:rPr>
          <w:rFonts w:ascii="Calibri" w:cs="Calibri" w:eastAsia="Calibri" w:hAnsi="Calibri"/>
        </w:rPr>
        <w:t xml:space="preserve">10. Success Indicators</w:t>
      </w:r>
      <w:bookmarkEnd w:id="26"/>
    </w:p>
    <w:p>
      <w:pPr>
        <w:spacing w:after="300"/>
      </w:pPr>
      <w:r>
        <w:rPr>
          <w:i/>
          <w:rFonts w:ascii="Calibri" w:cs="Calibri" w:eastAsia="Calibri" w:hAnsi="Calibri"/>
          <w:color w:val="595959"/>
          <w:sz w:val="22"/>
          <w:szCs w:val="22"/>
        </w:rPr>
        <w:t xml:space="preserve">This section defines how success will be measured once CIMS is in use: each indicator, its target and where the figure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system already records what most indicators need: applications and their timestamps, NACTVET outcomes and queries, registration numbers (duplicates are refused), payment matching and reconciliation exceptions, and the results workflow dates. A baseline for decision time and the user survey are taken during the pilots; availability is measured once production monitoring is in place.</w:t>
      </w:r>
    </w:p>
    <w:p>
      <w:pPr>
        <w:pStyle w:val="Heading1"/>
      </w:pPr>
      <w:bookmarkStart w:id="27" w:name="_TocV11_27"/>
      <w:r>
        <w:rPr>
          <w:rFonts w:ascii="Calibri" w:cs="Calibri" w:eastAsia="Calibri" w:hAnsi="Calibri"/>
        </w:rPr>
        <w:t xml:space="preserve">11. Approval</w:t>
      </w:r>
      <w:bookmarkEnd w:id="27"/>
    </w:p>
    <w:p>
      <w:pPr>
        <w:spacing w:after="300"/>
      </w:pPr>
      <w:r>
        <w:rPr>
          <w:i/>
          <w:rFonts w:ascii="Calibri" w:cs="Calibri" w:eastAsia="Calibri" w:hAnsi="Calibri"/>
          <w:color w:val="595959"/>
          <w:sz w:val="22"/>
          <w:szCs w:val="22"/>
        </w:rPr>
        <w:t xml:space="preserve">This final section explains what approval of this document means and what it allows to proceed.</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