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7326"/>
      </w:tblGrid>
      <w:tr>
        <w:tc>
          <w:tcPr>
            <w:tcW w:type="dxa" w:w="1700"/>
            <w:tcBorders>
              <w:top w:val="none" w:color="FFFFFF" w:sz="0"/>
              <w:left w:val="none" w:color="FFFFFF" w:sz="0"/>
              <w:bottom w:val="none" w:color="FFFFFF" w:sz="0"/>
              <w:right w:val="none" w:color="FFFFFF" w:sz="0"/>
            </w:tcBorders>
            <w:vAlign w:val="center"/>
          </w:tcPr>
          <w:p>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tc>
        <w:tc>
          <w:tcPr>
            <w:tcW w:type="dxa" w:w="7326"/>
            <w:tcBorders>
              <w:top w:val="none" w:color="FFFFFF" w:sz="0"/>
              <w:left w:val="none" w:color="FFFFFF" w:sz="0"/>
              <w:bottom w:val="none" w:color="FFFFFF" w:sz="0"/>
              <w:right w:val="none" w:color="FFFFFF" w:sz="0"/>
            </w:tcBorders>
            <w:vAlign w:val="center"/>
          </w:tcPr>
          <w:p>
            <w:pPr>
              <w:spacing w:after="20"/>
            </w:pPr>
            <w:r>
              <w:rPr>
                <w:rFonts w:ascii="Calibri" w:cs="Calibri" w:eastAsia="Calibri" w:hAnsi="Calibri"/>
                <w:b/>
                <w:bCs/>
                <w:color w:val="0F1B2D"/>
                <w:spacing w:val="30"/>
                <w:sz w:val="34"/>
                <w:szCs w:val="34"/>
              </w:rPr>
              <w:t xml:space="preserve">MSINGI TECHNOLOGIES LTD</w:t>
            </w:r>
          </w:p>
          <w:p>
            <w:r>
              <w:rPr>
                <w:rFonts w:ascii="Calibri" w:cs="Calibri" w:eastAsia="Calibri" w:hAnsi="Calibri"/>
                <w:b/>
                <w:bCs/>
                <w:color w:val="12715B"/>
                <w:spacing w:val="20"/>
                <w:sz w:val="20"/>
                <w:szCs w:val="20"/>
              </w:rPr>
              <w:t xml:space="preserve">Software  •  IT Systems</w:t>
            </w:r>
          </w:p>
        </w:tc>
      </w:tr>
    </w:tbl>
    <w:p>
      <w:pPr>
        <w:pBdr>
          <w:bottom w:val="single" w:color="E3A72F" w:sz="12" w:space="1"/>
        </w:pBdr>
        <w:spacing w:after="160" w:before="120"/>
      </w:pPr>
    </w:p>
    <w:p>
      <w:pPr>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60" w:before="240"/>
      </w:pPr>
      <w:r>
        <w:rPr>
          <w:rFonts w:ascii="Calibri" w:cs="Calibri" w:eastAsia="Calibri" w:hAnsi="Calibri"/>
          <w:b/>
          <w:bCs/>
          <w:color w:val="1F3864"/>
          <w:sz w:val="44"/>
          <w:szCs w:val="44"/>
        </w:rPr>
        <w:t xml:space="preserve">College/Institution Management System (CIMS)</w:t>
      </w:r>
    </w:p>
    <w:p>
      <w:pPr>
        <w:spacing w:after="60"/>
      </w:pPr>
      <w:r>
        <w:rPr>
          <w:rFonts w:ascii="Calibri" w:cs="Calibri" w:eastAsia="Calibri" w:hAnsi="Calibri"/>
          <w:i/>
          <w:iCs/>
          <w:color w:val="0E7C7B"/>
          <w:sz w:val="24"/>
          <w:szCs w:val="24"/>
        </w:rPr>
        <w:t xml:space="preserve">One platform from application to graduation for NACTVET-registered institutions</w:t>
      </w:r>
    </w:p>
    <w:p>
      <w:pPr>
        <w:pBdr>
          <w:bottom w:val="single" w:color="0E7C7B" w:sz="8" w:space="4"/>
        </w:pBdr>
        <w:spacing w:after="60" w:before="240"/>
      </w:pPr>
      <w:r>
        <w:rPr>
          <w:rFonts w:ascii="Calibri" w:cs="Calibri" w:eastAsia="Calibri" w:hAnsi="Calibri"/>
          <w:b/>
          <w:bCs/>
          <w:color w:val="1F3864"/>
          <w:sz w:val="34"/>
          <w:szCs w:val="34"/>
        </w:rPr>
        <w:t xml:space="preserve">Document 03: System Requirements Specification</w:t>
      </w:r>
    </w:p>
    <w:p>
      <w:pPr>
        <w:spacing w:after="300"/>
      </w:pPr>
      <w:r>
        <w:rPr>
          <w:rFonts w:ascii="Calibri" w:cs="Calibri" w:eastAsia="Calibri" w:hAnsi="Calibri"/>
          <w:color w:val="595959"/>
          <w:sz w:val="22"/>
          <w:szCs w:val="22"/>
        </w:rPr>
        <w:t xml:space="preserve">Functional and non-functional requirements, user roles and permissions, use cases and requirements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Document</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Document 03: System Requirements Specification</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Document Status</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Version 3.2 — updated to the system as built after the October 2026 completion batches, for stakeholder review</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Prepared For</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Institutions registered by NACTVET to deliver NVA and NTA programmes, their governing boards and management</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System Scope</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Online Admission, Student Registry, Academic Structure, Teaching &amp; Attendance, Assessment &amp; Examination (NTA and NVA), Finance &amp; Fees (GePG), Hostel, Industrial Practical Training, Clearance &amp; Graduation, Student Portal, Reports and Integrations</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Prepared By</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Msingi Technologies Ltd</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Prepared Date</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October 2026</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Classification</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Confidential — For Stakeholder Review</w:t>
            </w:r>
          </w:p>
        </w:tc>
      </w:tr>
    </w:tbl>
    <w:p>
      <w:r>
        <w:br w:type="page"/>
      </w:r>
    </w:p>
    <w:p>
      <w:pPr>
        <w:pStyle w:val="Heading1"/>
      </w:pPr>
      <w:r>
        <w:rPr>
          <w:rFonts w:ascii="Calibri" w:cs="Calibri" w:eastAsia="Calibri" w:hAnsi="Calibri"/>
        </w:rPr>
        <w:t xml:space="preserve">Document Control</w:t>
      </w:r>
    </w:p>
    <w:p>
      <w:pPr>
        <w:spacing w:after="300"/>
      </w:pPr>
      <w:r>
        <w:rPr>
          <w:i/>
          <w:rFonts w:ascii="Calibri" w:cs="Calibri" w:eastAsia="Calibri" w:hAnsi="Calibri"/>
          <w:color w:val="595959"/>
          <w:sz w:val="22"/>
          <w:szCs w:val="22"/>
        </w:rPr>
        <w:t xml:space="preserve">This section records the versions of this System Requirements Specification, who prepared each one and what changed, so that readers know they are working from the current approved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1624"/>
        <w:gridCol w:w="1985"/>
        <w:gridCol w:w="4334"/>
      </w:tblGrid>
      <w:tr>
        <w:trPr>
          <w:tblHeader/>
        </w:trPr>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Version</w:t>
            </w:r>
          </w:p>
        </w:tc>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Date</w:t>
            </w:r>
          </w:p>
        </w:tc>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Prepared By</w:t>
            </w:r>
          </w:p>
        </w:tc>
        <w:tc>
          <w:tcPr>
            <w:tcW w:type="dxa" w:w="433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Description</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1.0</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Project Team</w:t>
            </w:r>
          </w:p>
        </w:tc>
        <w:tc>
          <w:tcPr>
            <w:tcW w:type="dxa" w:w="43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Initial planning version (generic institution).</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2.0</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Re-baselined for NACTVET-registered NVA/NTA institutions, each with its own online admission system; content expanded and aligned across the document suite.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3.0</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Updated to the system as built (development build, October 2026): what is built, what is partly built and what remains, with corrected technology, data model and plan. The version 2.0 requirements stay the baseline.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3.1</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As-built status (section 11) brought up to date after the completion batches (campuses and transfers; instalments, penalties and discounts; email; two-step sign-in, API clients and personal-data requests; data import and document uploads; configurable approval stages; alumni and tracer surveys; government adapters, deployment and load tests; the staff back-office in Kiswahili). The version 2.0 requirements stay the acceptance baseline.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3.2</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Non-functional status updated after Batch 9 (go-live hardening): passwords of at least 10 characters; scheduled jobs run once across several instances; the web app split into bundles loaded on demand; WCAG accessibility fixes; end-to-end tests in three browsers and security scans (Trivy, OWASP ZAP baseline, npm audit) in CI.</w:t>
            </w:r>
          </w:p>
        </w:tc>
      </w:tr>
    </w:tbl>
    <w:p>
      <w:pPr>
        <w:pStyle w:val="Heading2"/>
        <w:spacing w:before="200"/>
      </w:pPr>
      <w:r>
        <w:rPr>
          <w:rFonts w:ascii="Calibri" w:cs="Calibri" w:eastAsia="Calibri" w:hAnsi="Calibri"/>
        </w:rPr>
        <w:t xml:space="preserve">Review and Approval</w:t>
      </w:r>
    </w:p>
    <w:p>
      <w:pPr>
        <w:spacing w:after="300"/>
      </w:pPr>
      <w:r>
        <w:rPr>
          <w:i/>
          <w:rFonts w:ascii="Calibri" w:cs="Calibri" w:eastAsia="Calibri" w:hAnsi="Calibri"/>
          <w:color w:val="595959"/>
          <w:sz w:val="22"/>
          <w:szCs w:val="22"/>
        </w:rPr>
        <w:t xml:space="preserve">The people listed below review this System Requirements Specification and confirm, by signing, that it is accepted as the basis for the work that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2707"/>
        <w:gridCol w:w="1985"/>
        <w:gridCol w:w="1988"/>
      </w:tblGrid>
      <w:tr>
        <w:trPr>
          <w:tblHeader/>
        </w:trPr>
        <w:tc>
          <w:tcPr>
            <w:tcW w:type="dxa" w:w="234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Role</w:t>
            </w:r>
          </w:p>
        </w:tc>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Name</w:t>
            </w:r>
          </w:p>
        </w:tc>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Signature</w:t>
            </w:r>
          </w:p>
        </w:tc>
        <w:tc>
          <w:tcPr>
            <w:tcW w:type="dxa" w:w="198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Date</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Managing Director, Msingi Technologies Ltd</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Project Manager, Msingi Technologies Ltd</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Project Sponsor (Institution)</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Principal / Head of Institution</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r>
    </w:tbl>
    <w:p>
      <w:pPr>
        <w:pStyle w:val="Heading2"/>
        <w:spacing w:before="200"/>
      </w:pPr>
      <w:r>
        <w:rPr>
          <w:rFonts w:ascii="Calibri" w:cs="Calibri" w:eastAsia="Calibri" w:hAnsi="Calibri"/>
        </w:rPr>
        <w:t xml:space="preserve">Related Documents</w:t>
      </w:r>
    </w:p>
    <w:p>
      <w:pPr>
        <w:spacing w:after="300"/>
      </w:pPr>
      <w:r>
        <w:rPr>
          <w:i/>
          <w:rFonts w:ascii="Calibri" w:cs="Calibri" w:eastAsia="Calibri" w:hAnsi="Calibri"/>
          <w:color w:val="595959"/>
          <w:sz w:val="22"/>
          <w:szCs w:val="22"/>
        </w:rPr>
        <w:t xml:space="preserve">CIMS is described in a set of eight documents, each written for a different purpose and audience. This table shows where each topic is covered, so a reader can go straight to the document that answers their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3068"/>
        <w:gridCol w:w="5236"/>
      </w:tblGrid>
      <w:tr>
        <w:trPr>
          <w:tblHeader/>
        </w:trPr>
        <w:tc>
          <w:tcPr>
            <w:tcW w:type="dxa" w:w="72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No.</w:t>
            </w:r>
          </w:p>
        </w:tc>
        <w:tc>
          <w:tcPr>
            <w:tcW w:type="dxa" w:w="306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Document</w:t>
            </w:r>
          </w:p>
        </w:tc>
        <w:tc>
          <w:tcPr>
            <w:tcW w:type="dxa" w:w="523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Purpose</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01</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Concept Note</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Why the system is needed, the vision, value to stakeholders and the delivery model.</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02</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Business Requirements Document</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Stakeholders, business requirements, business rules and success measures.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03</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System Requirements Specification (this document)</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Functional and non-functional requirements, roles, use cases and traceability.</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04</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Business Process Document</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End-to-end institutional workflows with actors, controls and service levels.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05</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Database Design</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Data model, table catalogue, constraints, multi-tenancy and data governance.</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06</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System Architecture</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Technology stack, components, security, integrations, deployment and operations.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07</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Development Plan and Cost Estimate</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Release plan, team, effort-based budget, pricing model and risks.</w:t>
            </w:r>
          </w:p>
        </w:tc>
      </w:tr>
    </w:tbl>
    <w:p>
      <w:r>
        <w:br w:type="page"/>
      </w:r>
    </w:p>
    <w:p>
      <w:pPr>
        <w:pStyle w:val="Heading1"/>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pPr>
            <w:tabs>
              <w:tab w:val="right" w:leader="dot" w:pos="9020"/>
            </w:tabs>
            <w:spacing w:before="120" w:after="20"/>
            <w:ind w:left="0"/>
          </w:pPr>
          <w:hyperlink w:anchor="_TocV11_1" w:history="1">
            <w:r>
              <w:rPr>
                <w:rFonts w:ascii="Calibri" w:cs="Calibri" w:eastAsia="Calibri" w:hAnsi="Calibri"/>
                <w:b/>
                <w:bCs/>
                <w:color w:val="1F3864"/>
                <w:sz w:val="21"/>
                <w:szCs w:val="21"/>
              </w:rPr>
              <w:t xml:space="preserve">1. Introduction</w:t>
            </w:r>
            <w:r>
              <w:rPr>
                <w:rFonts w:ascii="Calibri" w:cs="Calibri" w:eastAsia="Calibri" w:hAnsi="Calibri"/>
                <w:b/>
                <w:bCs/>
                <w:color w:val="1F3864"/>
                <w:sz w:val="21"/>
                <w:szCs w:val="21"/>
              </w:rPr>
              <w:tab/>
              <w:t>5</w:t>
            </w:r>
          </w:hyperlink>
        </w:p>
        <w:p>
          <w:pPr>
            <w:tabs>
              <w:tab w:val="right" w:leader="dot" w:pos="9020"/>
            </w:tabs>
            <w:spacing w:before="20" w:after="20"/>
            <w:ind w:left="360"/>
          </w:pPr>
          <w:hyperlink w:anchor="_TocV11_2" w:history="1">
            <w:r>
              <w:rPr>
                <w:rFonts w:ascii="Calibri" w:cs="Calibri" w:eastAsia="Calibri" w:hAnsi="Calibri"/>
                <w:sz w:val="20"/>
                <w:szCs w:val="20"/>
              </w:rPr>
              <w:t xml:space="preserve">1.1 Purpose and scope</w:t>
            </w:r>
            <w:r>
              <w:rPr>
                <w:rFonts w:ascii="Calibri" w:cs="Calibri" w:eastAsia="Calibri" w:hAnsi="Calibri"/>
                <w:sz w:val="20"/>
                <w:szCs w:val="20"/>
              </w:rPr>
              <w:tab/>
              <w:t>5</w:t>
            </w:r>
          </w:hyperlink>
        </w:p>
        <w:p>
          <w:pPr>
            <w:tabs>
              <w:tab w:val="right" w:leader="dot" w:pos="9020"/>
            </w:tabs>
            <w:spacing w:before="20" w:after="20"/>
            <w:ind w:left="360"/>
          </w:pPr>
          <w:hyperlink w:anchor="_TocV11_3" w:history="1">
            <w:r>
              <w:rPr>
                <w:rFonts w:ascii="Calibri" w:cs="Calibri" w:eastAsia="Calibri" w:hAnsi="Calibri"/>
                <w:sz w:val="20"/>
                <w:szCs w:val="20"/>
              </w:rPr>
              <w:t xml:space="preserve">1.2 Conventions</w:t>
            </w:r>
            <w:r>
              <w:rPr>
                <w:rFonts w:ascii="Calibri" w:cs="Calibri" w:eastAsia="Calibri" w:hAnsi="Calibri"/>
                <w:sz w:val="20"/>
                <w:szCs w:val="20"/>
              </w:rPr>
              <w:tab/>
              <w:t>5</w:t>
            </w:r>
          </w:hyperlink>
        </w:p>
        <w:p>
          <w:pPr>
            <w:tabs>
              <w:tab w:val="right" w:leader="dot" w:pos="9020"/>
            </w:tabs>
            <w:spacing w:before="120" w:after="20"/>
            <w:ind w:left="0"/>
          </w:pPr>
          <w:hyperlink w:anchor="_TocV11_4" w:history="1">
            <w:r>
              <w:rPr>
                <w:rFonts w:ascii="Calibri" w:cs="Calibri" w:eastAsia="Calibri" w:hAnsi="Calibri"/>
                <w:b/>
                <w:bCs/>
                <w:color w:val="1F3864"/>
                <w:sz w:val="21"/>
                <w:szCs w:val="21"/>
              </w:rPr>
              <w:t xml:space="preserve">2. System Overview</w:t>
            </w:r>
            <w:r>
              <w:rPr>
                <w:rFonts w:ascii="Calibri" w:cs="Calibri" w:eastAsia="Calibri" w:hAnsi="Calibri"/>
                <w:b/>
                <w:bCs/>
                <w:color w:val="1F3864"/>
                <w:sz w:val="21"/>
                <w:szCs w:val="21"/>
              </w:rPr>
              <w:tab/>
              <w:t>5</w:t>
            </w:r>
          </w:hyperlink>
        </w:p>
        <w:p>
          <w:pPr>
            <w:tabs>
              <w:tab w:val="right" w:leader="dot" w:pos="9020"/>
            </w:tabs>
            <w:spacing w:before="120" w:after="20"/>
            <w:ind w:left="0"/>
          </w:pPr>
          <w:hyperlink w:anchor="_TocV11_5" w:history="1">
            <w:r>
              <w:rPr>
                <w:rFonts w:ascii="Calibri" w:cs="Calibri" w:eastAsia="Calibri" w:hAnsi="Calibri"/>
                <w:b/>
                <w:bCs/>
                <w:color w:val="1F3864"/>
                <w:sz w:val="21"/>
                <w:szCs w:val="21"/>
              </w:rPr>
              <w:t xml:space="preserve">3. User Roles and Access</w:t>
            </w:r>
            <w:r>
              <w:rPr>
                <w:rFonts w:ascii="Calibri" w:cs="Calibri" w:eastAsia="Calibri" w:hAnsi="Calibri"/>
                <w:b/>
                <w:bCs/>
                <w:color w:val="1F3864"/>
                <w:sz w:val="21"/>
                <w:szCs w:val="21"/>
              </w:rPr>
              <w:tab/>
              <w:t>6</w:t>
            </w:r>
          </w:hyperlink>
        </w:p>
        <w:p>
          <w:pPr>
            <w:tabs>
              <w:tab w:val="right" w:leader="dot" w:pos="9020"/>
            </w:tabs>
            <w:spacing w:before="20" w:after="20"/>
            <w:ind w:left="360"/>
          </w:pPr>
          <w:hyperlink w:anchor="_TocV11_6" w:history="1">
            <w:r>
              <w:rPr>
                <w:rFonts w:ascii="Calibri" w:cs="Calibri" w:eastAsia="Calibri" w:hAnsi="Calibri"/>
                <w:sz w:val="20"/>
                <w:szCs w:val="20"/>
              </w:rPr>
              <w:t xml:space="preserve">3.1 Roles</w:t>
            </w:r>
            <w:r>
              <w:rPr>
                <w:rFonts w:ascii="Calibri" w:cs="Calibri" w:eastAsia="Calibri" w:hAnsi="Calibri"/>
                <w:sz w:val="20"/>
                <w:szCs w:val="20"/>
              </w:rPr>
              <w:tab/>
              <w:t>6</w:t>
            </w:r>
          </w:hyperlink>
        </w:p>
        <w:p>
          <w:pPr>
            <w:tabs>
              <w:tab w:val="right" w:leader="dot" w:pos="9020"/>
            </w:tabs>
            <w:spacing w:before="20" w:after="20"/>
            <w:ind w:left="360"/>
          </w:pPr>
          <w:hyperlink w:anchor="_TocV11_7" w:history="1">
            <w:r>
              <w:rPr>
                <w:rFonts w:ascii="Calibri" w:cs="Calibri" w:eastAsia="Calibri" w:hAnsi="Calibri"/>
                <w:sz w:val="20"/>
                <w:szCs w:val="20"/>
              </w:rPr>
              <w:t xml:space="preserve">3.2 Permission matrix (summary)</w:t>
            </w:r>
            <w:r>
              <w:rPr>
                <w:rFonts w:ascii="Calibri" w:cs="Calibri" w:eastAsia="Calibri" w:hAnsi="Calibri"/>
                <w:sz w:val="20"/>
                <w:szCs w:val="20"/>
              </w:rPr>
              <w:tab/>
              <w:t>7</w:t>
            </w:r>
          </w:hyperlink>
        </w:p>
        <w:p>
          <w:pPr>
            <w:tabs>
              <w:tab w:val="right" w:leader="dot" w:pos="9020"/>
            </w:tabs>
            <w:spacing w:before="20" w:after="20"/>
            <w:ind w:left="360"/>
          </w:pPr>
          <w:hyperlink w:anchor="_TocV11_8" w:history="1">
            <w:r>
              <w:rPr>
                <w:rFonts w:ascii="Calibri" w:cs="Calibri" w:eastAsia="Calibri" w:hAnsi="Calibri"/>
                <w:sz w:val="20"/>
                <w:szCs w:val="20"/>
              </w:rPr>
              <w:t xml:space="preserve">3.3 Roles as built (October 2026)</w:t>
            </w:r>
            <w:r>
              <w:rPr>
                <w:rFonts w:ascii="Calibri" w:cs="Calibri" w:eastAsia="Calibri" w:hAnsi="Calibri"/>
                <w:sz w:val="20"/>
                <w:szCs w:val="20"/>
              </w:rPr>
              <w:tab/>
              <w:t>7</w:t>
            </w:r>
          </w:hyperlink>
        </w:p>
        <w:p>
          <w:pPr>
            <w:tabs>
              <w:tab w:val="right" w:leader="dot" w:pos="9020"/>
            </w:tabs>
            <w:spacing w:before="120" w:after="20"/>
            <w:ind w:left="0"/>
          </w:pPr>
          <w:hyperlink w:anchor="_TocV11_9" w:history="1">
            <w:r>
              <w:rPr>
                <w:rFonts w:ascii="Calibri" w:cs="Calibri" w:eastAsia="Calibri" w:hAnsi="Calibri"/>
                <w:b/>
                <w:bCs/>
                <w:color w:val="1F3864"/>
                <w:sz w:val="21"/>
                <w:szCs w:val="21"/>
              </w:rPr>
              <w:t xml:space="preserve">4. Functional Requirements</w:t>
            </w:r>
            <w:r>
              <w:rPr>
                <w:rFonts w:ascii="Calibri" w:cs="Calibri" w:eastAsia="Calibri" w:hAnsi="Calibri"/>
                <w:b/>
                <w:bCs/>
                <w:color w:val="1F3864"/>
                <w:sz w:val="21"/>
                <w:szCs w:val="21"/>
              </w:rPr>
              <w:tab/>
              <w:t>8</w:t>
            </w:r>
          </w:hyperlink>
        </w:p>
        <w:p>
          <w:pPr>
            <w:tabs>
              <w:tab w:val="right" w:leader="dot" w:pos="9020"/>
            </w:tabs>
            <w:spacing w:before="20" w:after="20"/>
            <w:ind w:left="360"/>
          </w:pPr>
          <w:hyperlink w:anchor="_TocV11_10" w:history="1">
            <w:r>
              <w:rPr>
                <w:rFonts w:ascii="Calibri" w:cs="Calibri" w:eastAsia="Calibri" w:hAnsi="Calibri"/>
                <w:sz w:val="20"/>
                <w:szCs w:val="20"/>
              </w:rPr>
              <w:t xml:space="preserve">4.1 M01 — Online Admission Portal</w:t>
            </w:r>
            <w:r>
              <w:rPr>
                <w:rFonts w:ascii="Calibri" w:cs="Calibri" w:eastAsia="Calibri" w:hAnsi="Calibri"/>
                <w:sz w:val="20"/>
                <w:szCs w:val="20"/>
              </w:rPr>
              <w:tab/>
              <w:t>8</w:t>
            </w:r>
          </w:hyperlink>
        </w:p>
        <w:p>
          <w:pPr>
            <w:tabs>
              <w:tab w:val="right" w:leader="dot" w:pos="9020"/>
            </w:tabs>
            <w:spacing w:before="20" w:after="20"/>
            <w:ind w:left="360"/>
          </w:pPr>
          <w:hyperlink w:anchor="_TocV11_11" w:history="1">
            <w:r>
              <w:rPr>
                <w:rFonts w:ascii="Calibri" w:cs="Calibri" w:eastAsia="Calibri" w:hAnsi="Calibri"/>
                <w:sz w:val="20"/>
                <w:szCs w:val="20"/>
              </w:rPr>
              <w:t xml:space="preserve">4.2 M02 — Student Registry</w:t>
            </w:r>
            <w:r>
              <w:rPr>
                <w:rFonts w:ascii="Calibri" w:cs="Calibri" w:eastAsia="Calibri" w:hAnsi="Calibri"/>
                <w:sz w:val="20"/>
                <w:szCs w:val="20"/>
              </w:rPr>
              <w:tab/>
              <w:t>9</w:t>
            </w:r>
          </w:hyperlink>
        </w:p>
        <w:p>
          <w:pPr>
            <w:tabs>
              <w:tab w:val="right" w:leader="dot" w:pos="9020"/>
            </w:tabs>
            <w:spacing w:before="20" w:after="20"/>
            <w:ind w:left="360"/>
          </w:pPr>
          <w:hyperlink w:anchor="_TocV11_12" w:history="1">
            <w:r>
              <w:rPr>
                <w:rFonts w:ascii="Calibri" w:cs="Calibri" w:eastAsia="Calibri" w:hAnsi="Calibri"/>
                <w:sz w:val="20"/>
                <w:szCs w:val="20"/>
              </w:rPr>
              <w:t xml:space="preserve">4.3 M03 — Academic Structure</w:t>
            </w:r>
            <w:r>
              <w:rPr>
                <w:rFonts w:ascii="Calibri" w:cs="Calibri" w:eastAsia="Calibri" w:hAnsi="Calibri"/>
                <w:sz w:val="20"/>
                <w:szCs w:val="20"/>
              </w:rPr>
              <w:tab/>
              <w:t>10</w:t>
            </w:r>
          </w:hyperlink>
        </w:p>
        <w:p>
          <w:pPr>
            <w:tabs>
              <w:tab w:val="right" w:leader="dot" w:pos="9020"/>
            </w:tabs>
            <w:spacing w:before="20" w:after="20"/>
            <w:ind w:left="360"/>
          </w:pPr>
          <w:hyperlink w:anchor="_TocV11_13" w:history="1">
            <w:r>
              <w:rPr>
                <w:rFonts w:ascii="Calibri" w:cs="Calibri" w:eastAsia="Calibri" w:hAnsi="Calibri"/>
                <w:sz w:val="20"/>
                <w:szCs w:val="20"/>
              </w:rPr>
              <w:t xml:space="preserve">4.4 M04 — Teaching &amp; Attendance</w:t>
            </w:r>
            <w:r>
              <w:rPr>
                <w:rFonts w:ascii="Calibri" w:cs="Calibri" w:eastAsia="Calibri" w:hAnsi="Calibri"/>
                <w:sz w:val="20"/>
                <w:szCs w:val="20"/>
              </w:rPr>
              <w:tab/>
              <w:t>10</w:t>
            </w:r>
          </w:hyperlink>
        </w:p>
        <w:p>
          <w:pPr>
            <w:tabs>
              <w:tab w:val="right" w:leader="dot" w:pos="9020"/>
            </w:tabs>
            <w:spacing w:before="20" w:after="20"/>
            <w:ind w:left="360"/>
          </w:pPr>
          <w:hyperlink w:anchor="_TocV11_14" w:history="1">
            <w:r>
              <w:rPr>
                <w:rFonts w:ascii="Calibri" w:cs="Calibri" w:eastAsia="Calibri" w:hAnsi="Calibri"/>
                <w:sz w:val="20"/>
                <w:szCs w:val="20"/>
              </w:rPr>
              <w:t xml:space="preserve">4.5 M05 — Assessment &amp; Examination</w:t>
            </w:r>
            <w:r>
              <w:rPr>
                <w:rFonts w:ascii="Calibri" w:cs="Calibri" w:eastAsia="Calibri" w:hAnsi="Calibri"/>
                <w:sz w:val="20"/>
                <w:szCs w:val="20"/>
              </w:rPr>
              <w:tab/>
              <w:t>11</w:t>
            </w:r>
          </w:hyperlink>
        </w:p>
        <w:p>
          <w:pPr>
            <w:tabs>
              <w:tab w:val="right" w:leader="dot" w:pos="9020"/>
            </w:tabs>
            <w:spacing w:before="20" w:after="20"/>
            <w:ind w:left="360"/>
          </w:pPr>
          <w:hyperlink w:anchor="_TocV11_15" w:history="1">
            <w:r>
              <w:rPr>
                <w:rFonts w:ascii="Calibri" w:cs="Calibri" w:eastAsia="Calibri" w:hAnsi="Calibri"/>
                <w:sz w:val="20"/>
                <w:szCs w:val="20"/>
              </w:rPr>
              <w:t xml:space="preserve">4.6 M06 — Finance &amp; Fees</w:t>
            </w:r>
            <w:r>
              <w:rPr>
                <w:rFonts w:ascii="Calibri" w:cs="Calibri" w:eastAsia="Calibri" w:hAnsi="Calibri"/>
                <w:sz w:val="20"/>
                <w:szCs w:val="20"/>
              </w:rPr>
              <w:tab/>
              <w:t>11</w:t>
            </w:r>
          </w:hyperlink>
        </w:p>
        <w:p>
          <w:pPr>
            <w:tabs>
              <w:tab w:val="right" w:leader="dot" w:pos="9020"/>
            </w:tabs>
            <w:spacing w:before="20" w:after="20"/>
            <w:ind w:left="360"/>
          </w:pPr>
          <w:hyperlink w:anchor="_TocV11_16" w:history="1">
            <w:r>
              <w:rPr>
                <w:rFonts w:ascii="Calibri" w:cs="Calibri" w:eastAsia="Calibri" w:hAnsi="Calibri"/>
                <w:sz w:val="20"/>
                <w:szCs w:val="20"/>
              </w:rPr>
              <w:t xml:space="preserve">4.7 M07 — Hostel &amp; Accommodation</w:t>
            </w:r>
            <w:r>
              <w:rPr>
                <w:rFonts w:ascii="Calibri" w:cs="Calibri" w:eastAsia="Calibri" w:hAnsi="Calibri"/>
                <w:sz w:val="20"/>
                <w:szCs w:val="20"/>
              </w:rPr>
              <w:tab/>
              <w:t>12</w:t>
            </w:r>
          </w:hyperlink>
        </w:p>
        <w:p>
          <w:pPr>
            <w:tabs>
              <w:tab w:val="right" w:leader="dot" w:pos="9020"/>
            </w:tabs>
            <w:spacing w:before="20" w:after="20"/>
            <w:ind w:left="360"/>
          </w:pPr>
          <w:hyperlink w:anchor="_TocV11_17" w:history="1">
            <w:r>
              <w:rPr>
                <w:rFonts w:ascii="Calibri" w:cs="Calibri" w:eastAsia="Calibri" w:hAnsi="Calibri"/>
                <w:sz w:val="20"/>
                <w:szCs w:val="20"/>
              </w:rPr>
              <w:t xml:space="preserve">4.8 M08 — Industrial Practical Training</w:t>
            </w:r>
            <w:r>
              <w:rPr>
                <w:rFonts w:ascii="Calibri" w:cs="Calibri" w:eastAsia="Calibri" w:hAnsi="Calibri"/>
                <w:sz w:val="20"/>
                <w:szCs w:val="20"/>
              </w:rPr>
              <w:tab/>
              <w:t>13</w:t>
            </w:r>
          </w:hyperlink>
        </w:p>
        <w:p>
          <w:pPr>
            <w:tabs>
              <w:tab w:val="right" w:leader="dot" w:pos="9020"/>
            </w:tabs>
            <w:spacing w:before="20" w:after="20"/>
            <w:ind w:left="360"/>
          </w:pPr>
          <w:hyperlink w:anchor="_TocV11_18" w:history="1">
            <w:r>
              <w:rPr>
                <w:rFonts w:ascii="Calibri" w:cs="Calibri" w:eastAsia="Calibri" w:hAnsi="Calibri"/>
                <w:sz w:val="20"/>
                <w:szCs w:val="20"/>
              </w:rPr>
              <w:t xml:space="preserve">4.9 M09 — Clearance, Graduation &amp; Alumni</w:t>
            </w:r>
            <w:r>
              <w:rPr>
                <w:rFonts w:ascii="Calibri" w:cs="Calibri" w:eastAsia="Calibri" w:hAnsi="Calibri"/>
                <w:sz w:val="20"/>
                <w:szCs w:val="20"/>
              </w:rPr>
              <w:tab/>
              <w:t>13</w:t>
            </w:r>
          </w:hyperlink>
        </w:p>
        <w:p>
          <w:pPr>
            <w:tabs>
              <w:tab w:val="right" w:leader="dot" w:pos="9020"/>
            </w:tabs>
            <w:spacing w:before="20" w:after="20"/>
            <w:ind w:left="360"/>
          </w:pPr>
          <w:hyperlink w:anchor="_TocV11_19" w:history="1">
            <w:r>
              <w:rPr>
                <w:rFonts w:ascii="Calibri" w:cs="Calibri" w:eastAsia="Calibri" w:hAnsi="Calibri"/>
                <w:sz w:val="20"/>
                <w:szCs w:val="20"/>
              </w:rPr>
              <w:t xml:space="preserve">4.10 M10 — Student Self-Service</w:t>
            </w:r>
            <w:r>
              <w:rPr>
                <w:rFonts w:ascii="Calibri" w:cs="Calibri" w:eastAsia="Calibri" w:hAnsi="Calibri"/>
                <w:sz w:val="20"/>
                <w:szCs w:val="20"/>
              </w:rPr>
              <w:tab/>
              <w:t>13</w:t>
            </w:r>
          </w:hyperlink>
        </w:p>
        <w:p>
          <w:pPr>
            <w:tabs>
              <w:tab w:val="right" w:leader="dot" w:pos="9020"/>
            </w:tabs>
            <w:spacing w:before="20" w:after="20"/>
            <w:ind w:left="360"/>
          </w:pPr>
          <w:hyperlink w:anchor="_TocV11_20" w:history="1">
            <w:r>
              <w:rPr>
                <w:rFonts w:ascii="Calibri" w:cs="Calibri" w:eastAsia="Calibri" w:hAnsi="Calibri"/>
                <w:sz w:val="20"/>
                <w:szCs w:val="20"/>
              </w:rPr>
              <w:t xml:space="preserve">4.11 M11 — Reports &amp; Dashboards</w:t>
            </w:r>
            <w:r>
              <w:rPr>
                <w:rFonts w:ascii="Calibri" w:cs="Calibri" w:eastAsia="Calibri" w:hAnsi="Calibri"/>
                <w:sz w:val="20"/>
                <w:szCs w:val="20"/>
              </w:rPr>
              <w:tab/>
              <w:t>14</w:t>
            </w:r>
          </w:hyperlink>
        </w:p>
        <w:p>
          <w:pPr>
            <w:tabs>
              <w:tab w:val="right" w:leader="dot" w:pos="9020"/>
            </w:tabs>
            <w:spacing w:before="20" w:after="20"/>
            <w:ind w:left="360"/>
          </w:pPr>
          <w:hyperlink w:anchor="_TocV11_21" w:history="1">
            <w:r>
              <w:rPr>
                <w:rFonts w:ascii="Calibri" w:cs="Calibri" w:eastAsia="Calibri" w:hAnsi="Calibri"/>
                <w:sz w:val="20"/>
                <w:szCs w:val="20"/>
              </w:rPr>
              <w:t xml:space="preserve">4.12 M12 — Communication</w:t>
            </w:r>
            <w:r>
              <w:rPr>
                <w:rFonts w:ascii="Calibri" w:cs="Calibri" w:eastAsia="Calibri" w:hAnsi="Calibri"/>
                <w:sz w:val="20"/>
                <w:szCs w:val="20"/>
              </w:rPr>
              <w:tab/>
              <w:t>14</w:t>
            </w:r>
          </w:hyperlink>
        </w:p>
        <w:p>
          <w:pPr>
            <w:tabs>
              <w:tab w:val="right" w:leader="dot" w:pos="9020"/>
            </w:tabs>
            <w:spacing w:before="20" w:after="20"/>
            <w:ind w:left="360"/>
          </w:pPr>
          <w:hyperlink w:anchor="_TocV11_22" w:history="1">
            <w:r>
              <w:rPr>
                <w:rFonts w:ascii="Calibri" w:cs="Calibri" w:eastAsia="Calibri" w:hAnsi="Calibri"/>
                <w:sz w:val="20"/>
                <w:szCs w:val="20"/>
              </w:rPr>
              <w:t xml:space="preserve">4.13 M13 — Administration &amp; Security</w:t>
            </w:r>
            <w:r>
              <w:rPr>
                <w:rFonts w:ascii="Calibri" w:cs="Calibri" w:eastAsia="Calibri" w:hAnsi="Calibri"/>
                <w:sz w:val="20"/>
                <w:szCs w:val="20"/>
              </w:rPr>
              <w:tab/>
              <w:t>14</w:t>
            </w:r>
          </w:hyperlink>
        </w:p>
        <w:p>
          <w:pPr>
            <w:tabs>
              <w:tab w:val="right" w:leader="dot" w:pos="9020"/>
            </w:tabs>
            <w:spacing w:before="20" w:after="20"/>
            <w:ind w:left="360"/>
          </w:pPr>
          <w:hyperlink w:anchor="_TocV11_23" w:history="1">
            <w:r>
              <w:rPr>
                <w:rFonts w:ascii="Calibri" w:cs="Calibri" w:eastAsia="Calibri" w:hAnsi="Calibri"/>
                <w:sz w:val="20"/>
                <w:szCs w:val="20"/>
              </w:rPr>
              <w:t xml:space="preserve">4.14 M14 — Integration Hub</w:t>
            </w:r>
            <w:r>
              <w:rPr>
                <w:rFonts w:ascii="Calibri" w:cs="Calibri" w:eastAsia="Calibri" w:hAnsi="Calibri"/>
                <w:sz w:val="20"/>
                <w:szCs w:val="20"/>
              </w:rPr>
              <w:tab/>
              <w:t>15</w:t>
            </w:r>
          </w:hyperlink>
        </w:p>
        <w:p>
          <w:pPr>
            <w:tabs>
              <w:tab w:val="right" w:leader="dot" w:pos="9020"/>
            </w:tabs>
            <w:spacing w:before="120" w:after="20"/>
            <w:ind w:left="0"/>
          </w:pPr>
          <w:hyperlink w:anchor="_TocV11_24" w:history="1">
            <w:r>
              <w:rPr>
                <w:rFonts w:ascii="Calibri" w:cs="Calibri" w:eastAsia="Calibri" w:hAnsi="Calibri"/>
                <w:b/>
                <w:bCs/>
                <w:color w:val="1F3864"/>
                <w:sz w:val="21"/>
                <w:szCs w:val="21"/>
              </w:rPr>
              <w:t xml:space="preserve">5. Grading and Regulations Configuration</w:t>
            </w:r>
            <w:r>
              <w:rPr>
                <w:rFonts w:ascii="Calibri" w:cs="Calibri" w:eastAsia="Calibri" w:hAnsi="Calibri"/>
                <w:b/>
                <w:bCs/>
                <w:color w:val="1F3864"/>
                <w:sz w:val="21"/>
                <w:szCs w:val="21"/>
              </w:rPr>
              <w:tab/>
              <w:t>15</w:t>
            </w:r>
          </w:hyperlink>
        </w:p>
        <w:p>
          <w:pPr>
            <w:tabs>
              <w:tab w:val="right" w:leader="dot" w:pos="9020"/>
            </w:tabs>
            <w:spacing w:before="120" w:after="20"/>
            <w:ind w:left="0"/>
          </w:pPr>
          <w:hyperlink w:anchor="_TocV11_25" w:history="1">
            <w:r>
              <w:rPr>
                <w:rFonts w:ascii="Calibri" w:cs="Calibri" w:eastAsia="Calibri" w:hAnsi="Calibri"/>
                <w:b/>
                <w:bCs/>
                <w:color w:val="1F3864"/>
                <w:sz w:val="21"/>
                <w:szCs w:val="21"/>
              </w:rPr>
              <w:t xml:space="preserve">6. Key Use Cases</w:t>
            </w:r>
            <w:r>
              <w:rPr>
                <w:rFonts w:ascii="Calibri" w:cs="Calibri" w:eastAsia="Calibri" w:hAnsi="Calibri"/>
                <w:b/>
                <w:bCs/>
                <w:color w:val="1F3864"/>
                <w:sz w:val="21"/>
                <w:szCs w:val="21"/>
              </w:rPr>
              <w:tab/>
              <w:t>17</w:t>
            </w:r>
          </w:hyperlink>
        </w:p>
        <w:p>
          <w:pPr>
            <w:tabs>
              <w:tab w:val="right" w:leader="dot" w:pos="9020"/>
            </w:tabs>
            <w:spacing w:before="120" w:after="20"/>
            <w:ind w:left="0"/>
          </w:pPr>
          <w:hyperlink w:anchor="_TocV11_26" w:history="1">
            <w:r>
              <w:rPr>
                <w:rFonts w:ascii="Calibri" w:cs="Calibri" w:eastAsia="Calibri" w:hAnsi="Calibri"/>
                <w:b/>
                <w:bCs/>
                <w:color w:val="1F3864"/>
                <w:sz w:val="21"/>
                <w:szCs w:val="21"/>
              </w:rPr>
              <w:t xml:space="preserve">7. Standard Report Catalogue</w:t>
            </w:r>
            <w:r>
              <w:rPr>
                <w:rFonts w:ascii="Calibri" w:cs="Calibri" w:eastAsia="Calibri" w:hAnsi="Calibri"/>
                <w:b/>
                <w:bCs/>
                <w:color w:val="1F3864"/>
                <w:sz w:val="21"/>
                <w:szCs w:val="21"/>
              </w:rPr>
              <w:tab/>
              <w:t>18</w:t>
            </w:r>
          </w:hyperlink>
        </w:p>
        <w:p>
          <w:pPr>
            <w:tabs>
              <w:tab w:val="right" w:leader="dot" w:pos="9020"/>
            </w:tabs>
            <w:spacing w:before="120" w:after="20"/>
            <w:ind w:left="0"/>
          </w:pPr>
          <w:hyperlink w:anchor="_TocV11_27" w:history="1">
            <w:r>
              <w:rPr>
                <w:rFonts w:ascii="Calibri" w:cs="Calibri" w:eastAsia="Calibri" w:hAnsi="Calibri"/>
                <w:b/>
                <w:bCs/>
                <w:color w:val="1F3864"/>
                <w:sz w:val="21"/>
                <w:szCs w:val="21"/>
              </w:rPr>
              <w:t xml:space="preserve">8. Non-Functional Requirements</w:t>
            </w:r>
            <w:r>
              <w:rPr>
                <w:rFonts w:ascii="Calibri" w:cs="Calibri" w:eastAsia="Calibri" w:hAnsi="Calibri"/>
                <w:b/>
                <w:bCs/>
                <w:color w:val="1F3864"/>
                <w:sz w:val="21"/>
                <w:szCs w:val="21"/>
              </w:rPr>
              <w:tab/>
              <w:t>19</w:t>
            </w:r>
          </w:hyperlink>
        </w:p>
        <w:p>
          <w:pPr>
            <w:tabs>
              <w:tab w:val="right" w:leader="dot" w:pos="9020"/>
            </w:tabs>
            <w:spacing w:before="120" w:after="20"/>
            <w:ind w:left="0"/>
          </w:pPr>
          <w:hyperlink w:anchor="_TocV11_28" w:history="1">
            <w:r>
              <w:rPr>
                <w:rFonts w:ascii="Calibri" w:cs="Calibri" w:eastAsia="Calibri" w:hAnsi="Calibri"/>
                <w:b/>
                <w:bCs/>
                <w:color w:val="1F3864"/>
                <w:sz w:val="21"/>
                <w:szCs w:val="21"/>
              </w:rPr>
              <w:t xml:space="preserve">9. Requirements Traceability Matrix</w:t>
            </w:r>
            <w:r>
              <w:rPr>
                <w:rFonts w:ascii="Calibri" w:cs="Calibri" w:eastAsia="Calibri" w:hAnsi="Calibri"/>
                <w:b/>
                <w:bCs/>
                <w:color w:val="1F3864"/>
                <w:sz w:val="21"/>
                <w:szCs w:val="21"/>
              </w:rPr>
              <w:tab/>
              <w:t>20</w:t>
            </w:r>
          </w:hyperlink>
        </w:p>
        <w:p>
          <w:pPr>
            <w:tabs>
              <w:tab w:val="right" w:leader="dot" w:pos="9020"/>
            </w:tabs>
            <w:spacing w:before="120" w:after="20"/>
            <w:ind w:left="0"/>
          </w:pPr>
          <w:hyperlink w:anchor="_TocV11_29" w:history="1">
            <w:r>
              <w:rPr>
                <w:rFonts w:ascii="Calibri" w:cs="Calibri" w:eastAsia="Calibri" w:hAnsi="Calibri"/>
                <w:b/>
                <w:bCs/>
                <w:color w:val="1F3864"/>
                <w:sz w:val="21"/>
                <w:szCs w:val="21"/>
              </w:rPr>
              <w:t xml:space="preserve">10. Acceptance Criteria</w:t>
            </w:r>
            <w:r>
              <w:rPr>
                <w:rFonts w:ascii="Calibri" w:cs="Calibri" w:eastAsia="Calibri" w:hAnsi="Calibri"/>
                <w:b/>
                <w:bCs/>
                <w:color w:val="1F3864"/>
                <w:sz w:val="21"/>
                <w:szCs w:val="21"/>
              </w:rPr>
              <w:tab/>
              <w:t>20</w:t>
            </w:r>
          </w:hyperlink>
        </w:p>
        <w:p>
          <w:pPr>
            <w:tabs>
              <w:tab w:val="right" w:leader="dot" w:pos="9020"/>
            </w:tabs>
            <w:spacing w:before="120" w:after="20"/>
            <w:ind w:left="0"/>
          </w:pPr>
          <w:hyperlink w:anchor="_TocV11_30" w:history="1">
            <w:r>
              <w:rPr>
                <w:rFonts w:ascii="Calibri" w:cs="Calibri" w:eastAsia="Calibri" w:hAnsi="Calibri"/>
                <w:b/>
                <w:bCs/>
                <w:color w:val="1F3864"/>
                <w:sz w:val="21"/>
                <w:szCs w:val="21"/>
              </w:rPr>
              <w:t xml:space="preserve">11. As-Built Status (October 2026)</w:t>
            </w:r>
            <w:r>
              <w:rPr>
                <w:rFonts w:ascii="Calibri" w:cs="Calibri" w:eastAsia="Calibri" w:hAnsi="Calibri"/>
                <w:b/>
                <w:bCs/>
                <w:color w:val="1F3864"/>
                <w:sz w:val="21"/>
                <w:szCs w:val="21"/>
              </w:rPr>
              <w:tab/>
              <w:t>21</w:t>
            </w:r>
          </w:hyperlink>
        </w:p>
        <w:p>
          <w:pPr>
            <w:tabs>
              <w:tab w:val="right" w:leader="dot" w:pos="9020"/>
            </w:tabs>
            <w:spacing w:before="20" w:after="20"/>
            <w:ind w:left="360"/>
          </w:pPr>
          <w:hyperlink w:anchor="_TocV11_31" w:history="1">
            <w:r>
              <w:rPr>
                <w:rFonts w:ascii="Calibri" w:cs="Calibri" w:eastAsia="Calibri" w:hAnsi="Calibri"/>
                <w:sz w:val="20"/>
                <w:szCs w:val="20"/>
              </w:rPr>
              <w:t xml:space="preserve">11.1 Functional requirements</w:t>
            </w:r>
            <w:r>
              <w:rPr>
                <w:rFonts w:ascii="Calibri" w:cs="Calibri" w:eastAsia="Calibri" w:hAnsi="Calibri"/>
                <w:sz w:val="20"/>
                <w:szCs w:val="20"/>
              </w:rPr>
              <w:tab/>
              <w:t>21</w:t>
            </w:r>
          </w:hyperlink>
        </w:p>
        <w:p>
          <w:pPr>
            <w:tabs>
              <w:tab w:val="right" w:leader="dot" w:pos="9020"/>
            </w:tabs>
            <w:spacing w:before="20" w:after="20"/>
            <w:ind w:left="360"/>
          </w:pPr>
          <w:hyperlink w:anchor="_TocV11_32" w:history="1">
            <w:r>
              <w:rPr>
                <w:rFonts w:ascii="Calibri" w:cs="Calibri" w:eastAsia="Calibri" w:hAnsi="Calibri"/>
                <w:sz w:val="20"/>
                <w:szCs w:val="20"/>
              </w:rPr>
              <w:t xml:space="preserve">11.2 Non-functional requirements</w:t>
            </w:r>
            <w:r>
              <w:rPr>
                <w:rFonts w:ascii="Calibri" w:cs="Calibri" w:eastAsia="Calibri" w:hAnsi="Calibri"/>
                <w:sz w:val="20"/>
                <w:szCs w:val="20"/>
              </w:rPr>
              <w:tab/>
              <w:t>25</w:t>
            </w:r>
          </w:hyperlink>
        </w:p>
        <w:p>
          <w:pPr>
            <w:tabs>
              <w:tab w:val="right" w:leader="dot" w:pos="9020"/>
            </w:tabs>
            <w:spacing w:before="20" w:after="20"/>
            <w:ind w:left="360"/>
          </w:pPr>
          <w:hyperlink w:anchor="_TocV11_33" w:history="1">
            <w:r>
              <w:rPr>
                <w:rFonts w:ascii="Calibri" w:cs="Calibri" w:eastAsia="Calibri" w:hAnsi="Calibri"/>
                <w:sz w:val="20"/>
                <w:szCs w:val="20"/>
              </w:rPr>
              <w:t xml:space="preserve">11.3 Standard reports as built</w:t>
            </w:r>
            <w:r>
              <w:rPr>
                <w:rFonts w:ascii="Calibri" w:cs="Calibri" w:eastAsia="Calibri" w:hAnsi="Calibri"/>
                <w:sz w:val="20"/>
                <w:szCs w:val="20"/>
              </w:rPr>
              <w:tab/>
              <w:t>26</w:t>
            </w:r>
          </w:hyperlink>
        </w:p>
        <w:p>
          <w:pPr>
            <w:tabs>
              <w:tab w:val="right" w:leader="dot" w:pos="9020"/>
            </w:tabs>
            <w:spacing w:before="20" w:after="20"/>
            <w:ind w:left="360"/>
          </w:pPr>
          <w:hyperlink w:anchor="_TocV11_34" w:history="1">
            <w:r>
              <w:rPr>
                <w:rFonts w:ascii="Calibri" w:cs="Calibri" w:eastAsia="Calibri" w:hAnsi="Calibri"/>
                <w:sz w:val="20"/>
                <w:szCs w:val="20"/>
              </w:rPr>
              <w:t xml:space="preserve">11.4 Regulations as configured</w:t>
            </w:r>
            <w:r>
              <w:rPr>
                <w:rFonts w:ascii="Calibri" w:cs="Calibri" w:eastAsia="Calibri" w:hAnsi="Calibri"/>
                <w:sz w:val="20"/>
                <w:szCs w:val="20"/>
              </w:rPr>
              <w:tab/>
              <w:t>26</w:t>
            </w:r>
          </w:hyperlink>
        </w:p>
        <w:p>
          <w:pPr>
            <w:tabs>
              <w:tab w:val="right" w:leader="dot" w:pos="9020"/>
            </w:tabs>
            <w:spacing w:before="20" w:after="20"/>
            <w:ind w:left="360"/>
          </w:pPr>
          <w:hyperlink w:anchor="_TocV11_35" w:history="1">
            <w:r>
              <w:rPr>
                <w:rFonts w:ascii="Calibri" w:cs="Calibri" w:eastAsia="Calibri" w:hAnsi="Calibri"/>
                <w:sz w:val="20"/>
                <w:szCs w:val="20"/>
              </w:rPr>
              <w:t xml:space="preserve">11.5 Integration test server</w:t>
            </w:r>
            <w:r>
              <w:rPr>
                <w:rFonts w:ascii="Calibri" w:cs="Calibri" w:eastAsia="Calibri" w:hAnsi="Calibri"/>
                <w:sz w:val="20"/>
                <w:szCs w:val="20"/>
              </w:rPr>
              <w:tab/>
              <w:t>26</w:t>
            </w:r>
          </w:hyperlink>
        </w:p>
        <w:p>
          <w:r>
            <w:fldChar w:fldCharType="end"/>
          </w:r>
        </w:p>
      </w:sdtContent>
    </w:sdt>
    <w:p>
      <w:pPr>
        <w:spacing w:before="120"/>
      </w:pPr>
      <w:r>
        <w:rPr>
          <w:rFonts w:ascii="Calibri" w:cs="Calibri" w:eastAsia="Calibri" w:hAnsi="Calibri"/>
          <w:i/>
          <w:iCs/>
          <w:color w:val="595959"/>
          <w:sz w:val="16"/>
          <w:szCs w:val="16"/>
        </w:rPr>
        <w:t xml:space="preserve">If page numbers are not shown, right-click the table and choose Update Field.</w:t>
      </w:r>
    </w:p>
    <w:p>
      <w:r>
        <w:br w:type="page"/>
      </w:r>
    </w:p>
    <w:p>
      <w:pPr>
        <w:pStyle w:val="Heading1"/>
      </w:pPr>
      <w:bookmarkStart w:id="1" w:name="_TocV11_1"/>
      <w:r>
        <w:rPr>
          <w:rFonts w:ascii="Calibri" w:cs="Calibri" w:eastAsia="Calibri" w:hAnsi="Calibri"/>
        </w:rPr>
        <w:t xml:space="preserve">1. Introduction</w:t>
      </w:r>
      <w:bookmarkEnd w:id="1"/>
    </w:p>
    <w:p>
      <w:pPr>
        <w:spacing w:after="300"/>
      </w:pPr>
      <w:r>
        <w:rPr>
          <w:i/>
          <w:rFonts w:ascii="Calibri" w:cs="Calibri" w:eastAsia="Calibri" w:hAnsi="Calibri"/>
          <w:color w:val="595959"/>
          <w:sz w:val="22"/>
          <w:szCs w:val="22"/>
        </w:rPr>
        <w:t xml:space="preserve">This section explains what this specification is for, what it covers and how its requirements are written, so that readers can interpret every requirement in the same way.</w:t>
      </w:r>
    </w:p>
    <w:p>
      <w:pPr>
        <w:pStyle w:val="Heading2"/>
      </w:pPr>
      <w:bookmarkStart w:id="2" w:name="_TocV11_2"/>
      <w:r>
        <w:rPr>
          <w:rFonts w:ascii="Calibri" w:cs="Calibri" w:eastAsia="Calibri" w:hAnsi="Calibri"/>
        </w:rPr>
        <w:t xml:space="preserve">1.1 Purpose and scope</w:t>
      </w:r>
      <w:bookmarkEnd w:id="2"/>
    </w:p>
    <w:p>
      <w:pPr>
        <w:spacing w:after="300"/>
      </w:pPr>
      <w:r>
        <w:rPr>
          <w:i/>
          <w:rFonts w:ascii="Calibri" w:cs="Calibri" w:eastAsia="Calibri" w:hAnsi="Calibri"/>
          <w:color w:val="595959"/>
          <w:sz w:val="22"/>
          <w:szCs w:val="22"/>
        </w:rPr>
        <w:t xml:space="preserve">The purpose and scope explain how this document turns the business needs agreed in Document 02 into requirements precise enough to design, build and test against.</w:t>
      </w:r>
    </w:p>
    <w:p>
      <w:pPr>
        <w:spacing w:after="120" w:line="276"/>
        <w:jc w:val="both"/>
      </w:pPr>
      <w:r>
        <w:rPr>
          <w:rFonts w:ascii="Calibri" w:cs="Calibri" w:eastAsia="Calibri" w:hAnsi="Calibri"/>
        </w:rPr>
        <w:t xml:space="preserve">This System Requirements Specification (SRS) translates the business requirements in Document 02 into testable system requirements for CIMS. It is the baseline for design (Documents 05 and 06), development, testing and acceptance. Every functional requirement has a unique ID, a MoSCoW priority, a trace to its business requirement (BR) and a target release.</w:t>
      </w:r>
    </w:p>
    <w:p>
      <w:pPr>
        <w:pStyle w:val="Heading2"/>
      </w:pPr>
      <w:bookmarkStart w:id="3" w:name="_TocV11_3"/>
      <w:r>
        <w:rPr>
          <w:rFonts w:ascii="Calibri" w:cs="Calibri" w:eastAsia="Calibri" w:hAnsi="Calibri"/>
        </w:rPr>
        <w:t xml:space="preserve">1.2 Conventions</w:t>
      </w:r>
      <w:bookmarkEnd w:id="3"/>
    </w:p>
    <w:p>
      <w:pPr>
        <w:spacing w:after="300"/>
      </w:pPr>
      <w:r>
        <w:rPr>
          <w:i/>
          <w:rFonts w:ascii="Calibri" w:cs="Calibri" w:eastAsia="Calibri" w:hAnsi="Calibri"/>
          <w:color w:val="595959"/>
          <w:sz w:val="22"/>
          <w:szCs w:val="22"/>
        </w:rPr>
        <w:t xml:space="preserve">Requirements follow a few naming and priority conventions. Knowing them makes the tables in this document quick to read.</w:t>
      </w:r>
    </w:p>
    <w:p>
      <w:pPr>
        <w:pStyle w:val="ListParagraph"/>
        <w:numPr>
          <w:ilvl w:val="0"/>
          <w:numId w:val="2"/>
        </w:numPr>
        <w:spacing w:after="60" w:line="264"/>
      </w:pPr>
      <w:r>
        <w:rPr>
          <w:rFonts w:ascii="Calibri" w:cs="Calibri" w:eastAsia="Calibri" w:hAnsi="Calibri"/>
        </w:rPr>
        <w:t xml:space="preserve">Requirement IDs: FR-&lt;module&gt;-&lt;nn&gt; for functional, NFR-&lt;area&gt;-&lt;nn&gt; for non-functional, UC-&lt;nn&gt; for use cases.</w:t>
      </w:r>
    </w:p>
    <w:p>
      <w:pPr>
        <w:pStyle w:val="ListParagraph"/>
        <w:numPr>
          <w:ilvl w:val="0"/>
          <w:numId w:val="2"/>
        </w:numPr>
        <w:spacing w:after="60" w:line="264"/>
      </w:pPr>
      <w:r>
        <w:rPr>
          <w:rFonts w:ascii="Calibri" w:cs="Calibri" w:eastAsia="Calibri" w:hAnsi="Calibri"/>
        </w:rPr>
        <w:t xml:space="preserve">Priority: M = Must, S = Should, C = Could.</w:t>
      </w:r>
    </w:p>
    <w:p>
      <w:pPr>
        <w:pStyle w:val="ListParagraph"/>
        <w:numPr>
          <w:ilvl w:val="0"/>
          <w:numId w:val="2"/>
        </w:numPr>
        <w:spacing w:after="60" w:line="264"/>
      </w:pPr>
      <w:r>
        <w:rPr>
          <w:rFonts w:ascii="Calibri" w:cs="Calibri" w:eastAsia="Calibri" w:hAnsi="Calibri"/>
        </w:rPr>
        <w:t xml:space="preserve">"Configurable" means an authorised institution administrator can change the value without software changes.</w:t>
      </w:r>
    </w:p>
    <w:p>
      <w:pPr>
        <w:pStyle w:val="ListParagraph"/>
        <w:numPr>
          <w:ilvl w:val="0"/>
          <w:numId w:val="2"/>
        </w:numPr>
        <w:spacing w:after="60" w:line="264"/>
      </w:pPr>
      <w:r>
        <w:rPr>
          <w:rFonts w:ascii="Calibri" w:cs="Calibri" w:eastAsia="Calibri" w:hAnsi="Calibri"/>
        </w:rPr>
        <w:t xml:space="preserve">Values shown as "e.g." are defaults that each institution sets in line with its NACTVET-approved regulations.</w:t>
      </w:r>
    </w:p>
    <w:p>
      <w:pPr>
        <w:pStyle w:val="Heading1"/>
      </w:pPr>
      <w:bookmarkStart w:id="4" w:name="_TocV11_4"/>
      <w:r>
        <w:rPr>
          <w:rFonts w:ascii="Calibri" w:cs="Calibri" w:eastAsia="Calibri" w:hAnsi="Calibri"/>
        </w:rPr>
        <w:t xml:space="preserve">2. System Overview</w:t>
      </w:r>
      <w:bookmarkEnd w:id="4"/>
    </w:p>
    <w:p>
      <w:pPr>
        <w:spacing w:after="300"/>
      </w:pPr>
      <w:r>
        <w:rPr>
          <w:i/>
          <w:rFonts w:ascii="Calibri" w:cs="Calibri" w:eastAsia="Calibri" w:hAnsi="Calibri"/>
          <w:color w:val="595959"/>
          <w:sz w:val="22"/>
          <w:szCs w:val="22"/>
        </w:rPr>
        <w:t xml:space="preserve">This section gives a short picture of CIMS as a whole: who uses it, how institutions share one platform safely, and which outside systems it connects to. It is the context for the detailed requirements that follow.</w:t>
      </w:r>
    </w:p>
    <w:p>
      <w:pPr>
        <w:spacing w:after="120" w:line="276"/>
        <w:jc w:val="both"/>
      </w:pPr>
      <w:r>
        <w:rPr>
          <w:rFonts w:ascii="Calibri" w:cs="Calibri" w:eastAsia="Calibri" w:hAnsi="Calibri"/>
        </w:rPr>
        <w:t xml:space="preserve">CIMS is a secure, web-based, multi-tenant platform. Each NACTVET-registered institution is a tenant with its own branded admission portal, student portal and staff back-office, on its own web address (for example apply.&lt;institution&gt;.ac.tz). All tenants share one code base and infrastructure, but data, configuration and users are strictly isolated. A dedicated single-tenant installation uses the same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6680"/>
      </w:tblGrid>
      <w:tr>
        <w:trPr>
          <w:tblHeader/>
        </w:trPr>
        <w:tc>
          <w:tcPr>
            <w:tcW w:type="dxa" w:w="234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User channel</w:t>
            </w:r>
          </w:p>
        </w:tc>
        <w:tc>
          <w:tcPr>
            <w:tcW w:type="dxa" w:w="668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Description</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Admission Portal (public)</w:t>
            </w:r>
          </w:p>
        </w:tc>
        <w:tc>
          <w:tcPr>
            <w:tcW w:type="dxa" w:w="66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Applicant registration, application, payment, status tracking, admission letter download, offer acceptance.</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Student Portal</w:t>
            </w:r>
          </w:p>
        </w:tc>
        <w:tc>
          <w:tcPr>
            <w:tcW w:type="dxa" w:w="668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Mobile-first, installable web app for registered students.</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Staff Back-Office</w:t>
            </w:r>
          </w:p>
        </w:tc>
        <w:tc>
          <w:tcPr>
            <w:tcW w:type="dxa" w:w="66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Role-based workspace for admissions, registry, academics, examinations, finance, hostel, IPT, management and administration.</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Public Verification Page</w:t>
            </w:r>
          </w:p>
        </w:tc>
        <w:tc>
          <w:tcPr>
            <w:tcW w:type="dxa" w:w="668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Verification of admission letters, transcripts and certificates by QR code or verification number.</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Integration APIs</w:t>
            </w:r>
          </w:p>
        </w:tc>
        <w:tc>
          <w:tcPr>
            <w:tcW w:type="dxa" w:w="66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Secured REST APIs and file exchanges with external systems.</w:t>
            </w:r>
          </w:p>
        </w:tc>
      </w:tr>
    </w:tbl>
    <w:p>
      <w:pPr>
        <w:spacing w:after="120"/>
      </w:pPr>
    </w:p>
    <w:p>
      <w:pPr>
        <w:pStyle w:val="Heading1"/>
      </w:pPr>
      <w:bookmarkStart w:id="5" w:name="_TocV11_5"/>
      <w:r>
        <w:rPr>
          <w:rFonts w:ascii="Calibri" w:cs="Calibri" w:eastAsia="Calibri" w:hAnsi="Calibri"/>
        </w:rPr>
        <w:t xml:space="preserve">3. User Roles and Access</w:t>
      </w:r>
      <w:bookmarkEnd w:id="5"/>
    </w:p>
    <w:p>
      <w:pPr>
        <w:spacing w:after="300"/>
      </w:pPr>
      <w:r>
        <w:rPr>
          <w:i/>
          <w:rFonts w:ascii="Calibri" w:cs="Calibri" w:eastAsia="Calibri" w:hAnsi="Calibri"/>
          <w:color w:val="595959"/>
          <w:sz w:val="22"/>
          <w:szCs w:val="22"/>
        </w:rPr>
        <w:t xml:space="preserve">Different people at an institution need different things from CIMS and must see only the data their job requires. This section defines the user roles and what each may do.</w:t>
      </w:r>
    </w:p>
    <w:p>
      <w:pPr>
        <w:pStyle w:val="Heading2"/>
      </w:pPr>
      <w:bookmarkStart w:id="6" w:name="_TocV11_6"/>
      <w:r>
        <w:rPr>
          <w:rFonts w:ascii="Calibri" w:cs="Calibri" w:eastAsia="Calibri" w:hAnsi="Calibri"/>
        </w:rPr>
        <w:t xml:space="preserve">3.1 Roles</w:t>
      </w:r>
      <w:bookmarkEnd w:id="6"/>
    </w:p>
    <w:p>
      <w:pPr>
        <w:spacing w:after="300"/>
      </w:pPr>
      <w:r>
        <w:rPr>
          <w:i/>
          <w:rFonts w:ascii="Calibri" w:cs="Calibri" w:eastAsia="Calibri" w:hAnsi="Calibri"/>
          <w:color w:val="595959"/>
          <w:sz w:val="22"/>
          <w:szCs w:val="22"/>
        </w:rPr>
        <w:t xml:space="preserve">The table names each role, its main responsibilities and the range of data it can see by default (for example one department or the whole institution).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4513"/>
        <w:gridCol w:w="2167"/>
      </w:tblGrid>
      <w:tr>
        <w:trPr>
          <w:tblHeader/>
        </w:trPr>
        <w:tc>
          <w:tcPr>
            <w:tcW w:type="dxa" w:w="234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Role</w:t>
            </w:r>
          </w:p>
        </w:tc>
        <w:tc>
          <w:tcPr>
            <w:tcW w:type="dxa" w:w="451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Main responsibilities</w:t>
            </w:r>
          </w:p>
        </w:tc>
        <w:tc>
          <w:tcPr>
            <w:tcW w:type="dxa" w:w="216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Default data scope</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Platform Administrator</w:t>
            </w:r>
          </w:p>
        </w:tc>
        <w:tc>
          <w:tcPr>
            <w:tcW w:type="dxa" w:w="45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Creates tenants, manages platform settings, monitors service (Msingi Technologies Ltd staff).</w:t>
            </w:r>
          </w:p>
        </w:tc>
        <w:tc>
          <w:tcPr>
            <w:tcW w:type="dxa" w:w="216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Platform</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Institution Administrator</w:t>
            </w:r>
          </w:p>
        </w:tc>
        <w:tc>
          <w:tcPr>
            <w:tcW w:type="dxa" w:w="451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Configures institution, users, roles, workflows, templates, integrations.</w:t>
            </w:r>
          </w:p>
        </w:tc>
        <w:tc>
          <w:tcPr>
            <w:tcW w:type="dxa" w:w="216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Institution</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Principal / Management Viewer</w:t>
            </w:r>
          </w:p>
        </w:tc>
        <w:tc>
          <w:tcPr>
            <w:tcW w:type="dxa" w:w="45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Dashboards and reports; no data changes.</w:t>
            </w:r>
          </w:p>
        </w:tc>
        <w:tc>
          <w:tcPr>
            <w:tcW w:type="dxa" w:w="216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Institution</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Deputy Principal (Academic)</w:t>
            </w:r>
          </w:p>
        </w:tc>
        <w:tc>
          <w:tcPr>
            <w:tcW w:type="dxa" w:w="451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Academic calendar; Academic Committee approvals.</w:t>
            </w:r>
          </w:p>
        </w:tc>
        <w:tc>
          <w:tcPr>
            <w:tcW w:type="dxa" w:w="216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Institution</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Admissions Officer</w:t>
            </w:r>
          </w:p>
        </w:tc>
        <w:tc>
          <w:tcPr>
            <w:tcW w:type="dxa" w:w="45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Windows, applications, eligibility, selection, letters, NACTVET verification.</w:t>
            </w:r>
          </w:p>
        </w:tc>
        <w:tc>
          <w:tcPr>
            <w:tcW w:type="dxa" w:w="216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Institution / campus</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Registrar / Registry Officer</w:t>
            </w:r>
          </w:p>
        </w:tc>
        <w:tc>
          <w:tcPr>
            <w:tcW w:type="dxa" w:w="451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Student records, registration, status changes, ID cards, graduation lists.</w:t>
            </w:r>
          </w:p>
        </w:tc>
        <w:tc>
          <w:tcPr>
            <w:tcW w:type="dxa" w:w="216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Institution / campus</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Head of Department</w:t>
            </w:r>
          </w:p>
        </w:tc>
        <w:tc>
          <w:tcPr>
            <w:tcW w:type="dxa" w:w="45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Module offerings, allocations, marks moderation, department approvals.</w:t>
            </w:r>
          </w:p>
        </w:tc>
        <w:tc>
          <w:tcPr>
            <w:tcW w:type="dxa" w:w="216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Department</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Programme Coordinator</w:t>
            </w:r>
          </w:p>
        </w:tc>
        <w:tc>
          <w:tcPr>
            <w:tcW w:type="dxa" w:w="451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Programme curriculum, class management.</w:t>
            </w:r>
          </w:p>
        </w:tc>
        <w:tc>
          <w:tcPr>
            <w:tcW w:type="dxa" w:w="216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Programme</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Lecturer / Tutor</w:t>
            </w:r>
          </w:p>
        </w:tc>
        <w:tc>
          <w:tcPr>
            <w:tcW w:type="dxa" w:w="45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Attendance, CA and SE marks for allocated modules.</w:t>
            </w:r>
          </w:p>
        </w:tc>
        <w:tc>
          <w:tcPr>
            <w:tcW w:type="dxa" w:w="216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Allocated modules</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Assessor (NVA)</w:t>
            </w:r>
          </w:p>
        </w:tc>
        <w:tc>
          <w:tcPr>
            <w:tcW w:type="dxa" w:w="451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Competence assessment records for allocated units.</w:t>
            </w:r>
          </w:p>
        </w:tc>
        <w:tc>
          <w:tcPr>
            <w:tcW w:type="dxa" w:w="216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Allocated units</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Examinations Officer</w:t>
            </w:r>
          </w:p>
        </w:tc>
        <w:tc>
          <w:tcPr>
            <w:tcW w:type="dxa" w:w="45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Assessment plans, marks windows, results processing, publication, NACTVET results files.</w:t>
            </w:r>
          </w:p>
        </w:tc>
        <w:tc>
          <w:tcPr>
            <w:tcW w:type="dxa" w:w="216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Institution</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Approving Body Secretary</w:t>
            </w:r>
          </w:p>
        </w:tc>
        <w:tc>
          <w:tcPr>
            <w:tcW w:type="dxa" w:w="451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Records decisions of Department Board, Academic Committee and Governing Board.</w:t>
            </w:r>
          </w:p>
        </w:tc>
        <w:tc>
          <w:tcPr>
            <w:tcW w:type="dxa" w:w="216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Body scope</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Bursar / Finance Manager</w:t>
            </w:r>
          </w:p>
        </w:tc>
        <w:tc>
          <w:tcPr>
            <w:tcW w:type="dxa" w:w="45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Fee structures, approvals of waivers/refunds, reconciliation sign-off.</w:t>
            </w:r>
          </w:p>
        </w:tc>
        <w:tc>
          <w:tcPr>
            <w:tcW w:type="dxa" w:w="216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Institution</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Accountant / Finance Officer</w:t>
            </w:r>
          </w:p>
        </w:tc>
        <w:tc>
          <w:tcPr>
            <w:tcW w:type="dxa" w:w="451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Invoices, payments, sponsors, exceptions, clearance.</w:t>
            </w:r>
          </w:p>
        </w:tc>
        <w:tc>
          <w:tcPr>
            <w:tcW w:type="dxa" w:w="216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Institution / campus</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Dean of Students / Hostel Warden</w:t>
            </w:r>
          </w:p>
        </w:tc>
        <w:tc>
          <w:tcPr>
            <w:tcW w:type="dxa" w:w="45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Hostels, allocation, check-in/out, discipline holds.</w:t>
            </w:r>
          </w:p>
        </w:tc>
        <w:tc>
          <w:tcPr>
            <w:tcW w:type="dxa" w:w="216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Assigned hostels</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IPT Coordinator</w:t>
            </w:r>
          </w:p>
        </w:tc>
        <w:tc>
          <w:tcPr>
            <w:tcW w:type="dxa" w:w="451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Placements, supervisors, IPT assessment.</w:t>
            </w:r>
          </w:p>
        </w:tc>
        <w:tc>
          <w:tcPr>
            <w:tcW w:type="dxa" w:w="216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Institution / department</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Clearance Officer (e.g. Librarian)</w:t>
            </w:r>
          </w:p>
        </w:tc>
        <w:tc>
          <w:tcPr>
            <w:tcW w:type="dxa" w:w="45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Clears or holds students for a clearance office.</w:t>
            </w:r>
          </w:p>
        </w:tc>
        <w:tc>
          <w:tcPr>
            <w:tcW w:type="dxa" w:w="216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Clearance office</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Auditor</w:t>
            </w:r>
          </w:p>
        </w:tc>
        <w:tc>
          <w:tcPr>
            <w:tcW w:type="dxa" w:w="451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Read-only access to records and audit logs.</w:t>
            </w:r>
          </w:p>
        </w:tc>
        <w:tc>
          <w:tcPr>
            <w:tcW w:type="dxa" w:w="216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Institution</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Applicant</w:t>
            </w:r>
          </w:p>
        </w:tc>
        <w:tc>
          <w:tcPr>
            <w:tcW w:type="dxa" w:w="45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Own application only.</w:t>
            </w:r>
          </w:p>
        </w:tc>
        <w:tc>
          <w:tcPr>
            <w:tcW w:type="dxa" w:w="216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Self</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Student</w:t>
            </w:r>
          </w:p>
        </w:tc>
        <w:tc>
          <w:tcPr>
            <w:tcW w:type="dxa" w:w="451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Own records only.</w:t>
            </w:r>
          </w:p>
        </w:tc>
        <w:tc>
          <w:tcPr>
            <w:tcW w:type="dxa" w:w="216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Self</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Sponsor Officer (optional)</w:t>
            </w:r>
          </w:p>
        </w:tc>
        <w:tc>
          <w:tcPr>
            <w:tcW w:type="dxa" w:w="451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Own sponsored students' statements.</w:t>
            </w:r>
          </w:p>
        </w:tc>
        <w:tc>
          <w:tcPr>
            <w:tcW w:type="dxa" w:w="216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Sponsored students</w:t>
            </w:r>
          </w:p>
        </w:tc>
      </w:tr>
    </w:tbl>
    <w:p>
      <w:pPr>
        <w:spacing w:after="120"/>
      </w:pPr>
    </w:p>
    <w:p>
      <w:pPr>
        <w:pStyle w:val="Heading2"/>
      </w:pPr>
      <w:bookmarkStart w:id="7" w:name="_TocV11_7"/>
      <w:r>
        <w:rPr>
          <w:rFonts w:ascii="Calibri" w:cs="Calibri" w:eastAsia="Calibri" w:hAnsi="Calibri"/>
        </w:rPr>
        <w:t xml:space="preserve">3.2 Permission matrix (summary)</w:t>
      </w:r>
      <w:bookmarkEnd w:id="7"/>
    </w:p>
    <w:p>
      <w:pPr>
        <w:spacing w:after="300"/>
      </w:pPr>
      <w:r>
        <w:rPr>
          <w:i/>
          <w:rFonts w:ascii="Calibri" w:cs="Calibri" w:eastAsia="Calibri" w:hAnsi="Calibri"/>
          <w:color w:val="595959"/>
          <w:sz w:val="22"/>
          <w:szCs w:val="22"/>
        </w:rPr>
        <w:t xml:space="preserve">The permission matrix shows, for each area of work, which roles may create, approve or only read records. It lets offices confirm that duties are separated correctly.</w:t>
      </w:r>
    </w:p>
    <w:p>
      <w:pPr>
        <w:spacing w:after="120" w:line="276"/>
        <w:jc w:val="both"/>
      </w:pPr>
      <w:r>
        <w:rPr>
          <w:rFonts w:ascii="Calibri" w:cs="Calibri" w:eastAsia="Calibri" w:hAnsi="Calibri"/>
        </w:rPr>
        <w:t xml:space="preserve">C = create/update, A = approve, R = read, — = no access. Detailed action-level permissions are configured in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812"/>
        <w:gridCol w:w="812"/>
        <w:gridCol w:w="812"/>
        <w:gridCol w:w="812"/>
        <w:gridCol w:w="812"/>
        <w:gridCol w:w="812"/>
        <w:gridCol w:w="812"/>
        <w:gridCol w:w="1357"/>
      </w:tblGrid>
      <w:tr>
        <w:trPr>
          <w:tblHeader/>
        </w:trPr>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Function</w:t>
            </w:r>
          </w:p>
        </w:tc>
        <w:tc>
          <w:tcPr>
            <w:tcW w:type="dxa" w:w="81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Adm. Off.</w:t>
            </w:r>
          </w:p>
        </w:tc>
        <w:tc>
          <w:tcPr>
            <w:tcW w:type="dxa" w:w="81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Registry</w:t>
            </w:r>
          </w:p>
        </w:tc>
        <w:tc>
          <w:tcPr>
            <w:tcW w:type="dxa" w:w="81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HoD</w:t>
            </w:r>
          </w:p>
        </w:tc>
        <w:tc>
          <w:tcPr>
            <w:tcW w:type="dxa" w:w="81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Lecturer</w:t>
            </w:r>
          </w:p>
        </w:tc>
        <w:tc>
          <w:tcPr>
            <w:tcW w:type="dxa" w:w="81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Exams</w:t>
            </w:r>
          </w:p>
        </w:tc>
        <w:tc>
          <w:tcPr>
            <w:tcW w:type="dxa" w:w="81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Finance</w:t>
            </w:r>
          </w:p>
        </w:tc>
        <w:tc>
          <w:tcPr>
            <w:tcW w:type="dxa" w:w="81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Hostel</w:t>
            </w:r>
          </w:p>
        </w:tc>
        <w:tc>
          <w:tcPr>
            <w:tcW w:type="dxa" w:w="135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Mgmt / Auditor</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Admission windows &amp; selection</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135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NACTVET verification</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135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 records &amp; status</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C/A</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c>
          <w:tcPr>
            <w:tcW w:type="dxa" w:w="135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Module allocation</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135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Attendance &amp; marks entry</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135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Marks moderation &amp; approval</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C/A</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135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Results publication</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135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Fee structures &amp; invoices</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C/A</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135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Waivers &amp; refunds</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C/A</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135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Hostel allocation</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w:t>
            </w:r>
          </w:p>
        </w:tc>
        <w:tc>
          <w:tcPr>
            <w:tcW w:type="dxa" w:w="135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Audit logs</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135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 (Auditor)</w:t>
            </w:r>
          </w:p>
        </w:tc>
      </w:tr>
    </w:tbl>
    <w:p>
      <w:pPr>
        <w:spacing w:after="120"/>
      </w:pPr>
    </w:p>
    <w:p>
      <w:pPr>
        <w:pStyle w:val="Heading2"/>
      </w:pPr>
      <w:bookmarkStart w:id="8" w:name="_TocV11_8"/>
      <w:r>
        <w:rPr>
          <w:rFonts w:ascii="Calibri" w:cs="Calibri" w:eastAsia="Calibri" w:hAnsi="Calibri"/>
        </w:rPr>
        <w:t xml:space="preserve">3.3 Roles as built (October 2026)</w:t>
      </w:r>
      <w:bookmarkEnd w:id="8"/>
    </w:p>
    <w:p>
      <w:pPr>
        <w:spacing w:after="300"/>
      </w:pPr>
      <w:r>
        <w:rPr>
          <w:i/>
          <w:rFonts w:ascii="Calibri" w:cs="Calibri" w:eastAsia="Calibri" w:hAnsi="Calibri"/>
          <w:color w:val="595959"/>
          <w:sz w:val="22"/>
          <w:szCs w:val="22"/>
        </w:rPr>
        <w:t xml:space="preserve">This sub-section describes the roles as they exist in the system built in October 2026, including where they differ from the plan above.</w:t>
      </w:r>
    </w:p>
    <w:p>
      <w:pPr>
        <w:spacing w:after="120" w:line="276"/>
        <w:jc w:val="both"/>
      </w:pPr>
      <w:r>
        <w:rPr>
          <w:rFonts w:ascii="Calibri" w:cs="Calibri" w:eastAsia="Calibri" w:hAnsi="Calibri"/>
        </w:rPr>
        <w:t xml:space="preserve">The system has 20 roles. A person can hold several. Each role lands on its own page after signing in and sees only the menus it can use; the server checks every request. The Approving Body Secretary role in section 3.1 is not separate: Academic Committee decisions are recorded by the Deputy Principal (Academic) and Governing Board decisions by an Institution Administrator other than the person who did the previous step. The full catalogue is kept in docs/ROLES.md in the code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5054"/>
        <w:gridCol w:w="1806"/>
      </w:tblGrid>
      <w:tr>
        <w:trPr>
          <w:tblHeader/>
          <w:cantSplit/>
        </w:trPr>
        <w:tc>
          <w:tcPr>
            <w:tcW w:type="dxa" w:w="216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Role</w:t>
            </w:r>
          </w:p>
        </w:tc>
        <w:tc>
          <w:tcPr>
            <w:tcW w:type="dxa" w:w="505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What it does in the system</w:t>
            </w:r>
          </w:p>
        </w:tc>
        <w:tc>
          <w:tcPr>
            <w:tcW w:type="dxa" w:w="180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Data scope</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Platform Administrator (Msingi)</w:t>
            </w:r>
          </w:p>
        </w:tc>
        <w:tc>
          <w:tcPr>
            <w:tcW w:type="dxa" w:w="505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Separate sign-in to the platform console: NACTVET catalogue, onboarding an institution with its addresses and first administrator, suspension, SMS credit, integration health, platform users and audit.</w:t>
            </w:r>
          </w:p>
        </w:tc>
        <w:tc>
          <w:tcPr>
            <w:tcW w:type="dxa" w:w="180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Platform</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Institution Administrator</w:t>
            </w:r>
          </w:p>
        </w:tc>
        <w:tc>
          <w:tcPr>
            <w:tcW w:type="dxa" w:w="50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Users and roles, institution profile and campus photo, approvals that need a second person (Governing Board confirmation of results, graduand approval, result amendments), every page.</w:t>
            </w:r>
          </w:p>
        </w:tc>
        <w:tc>
          <w:tcPr>
            <w:tcW w:type="dxa" w:w="18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Institution</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Principal / Management Viewer</w:t>
            </w:r>
          </w:p>
        </w:tc>
        <w:tc>
          <w:tcPr>
            <w:tcW w:type="dxa" w:w="505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Institution overview by year, dashboards and reports (named lists hidden), second-level approval of large waivers and refunds.</w:t>
            </w:r>
          </w:p>
        </w:tc>
        <w:tc>
          <w:tcPr>
            <w:tcW w:type="dxa" w:w="180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Institution</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Deputy Principal (Academic)</w:t>
            </w:r>
          </w:p>
        </w:tc>
        <w:tc>
          <w:tcPr>
            <w:tcW w:type="dxa" w:w="50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Curricula approval, academic calendar, regulations, Academic Committee changes and recommendation of results, exemptions, status change decisions.</w:t>
            </w:r>
          </w:p>
        </w:tc>
        <w:tc>
          <w:tcPr>
            <w:tcW w:type="dxa" w:w="18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Institution</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Admissions Officer</w:t>
            </w:r>
          </w:p>
        </w:tc>
        <w:tc>
          <w:tcPr>
            <w:tcW w:type="dxa" w:w="505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Windows, applicants, qualification checks, selection, NACTVET verification, offers and letters.</w:t>
            </w:r>
          </w:p>
        </w:tc>
        <w:tc>
          <w:tcPr>
            <w:tcW w:type="dxa" w:w="180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Institution</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Registrar / Registry Officer</w:t>
            </w:r>
          </w:p>
        </w:tc>
        <w:tc>
          <w:tcPr>
            <w:tcW w:type="dxa" w:w="50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Hand-over, first and semester registration, status changes, ID cards, detail-change requests, clearance set-up and graduations.</w:t>
            </w:r>
          </w:p>
        </w:tc>
        <w:tc>
          <w:tcPr>
            <w:tcW w:type="dxa" w:w="18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Institution</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Head of Department</w:t>
            </w:r>
          </w:p>
        </w:tc>
        <w:tc>
          <w:tcPr>
            <w:tcW w:type="dxa" w:w="505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Curricula, lecturer allocation, moderation, competence verification, status change recommendations, clearance for the department.</w:t>
            </w:r>
          </w:p>
        </w:tc>
        <w:tc>
          <w:tcPr>
            <w:tcW w:type="dxa" w:w="180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Department</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Programme Coordinator</w:t>
            </w:r>
          </w:p>
        </w:tc>
        <w:tc>
          <w:tcPr>
            <w:tcW w:type="dxa" w:w="50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Curricula and class information for the programme.</w:t>
            </w:r>
          </w:p>
        </w:tc>
        <w:tc>
          <w:tcPr>
            <w:tcW w:type="dxa" w:w="18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Programme</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Lecturer / Tutor</w:t>
            </w:r>
          </w:p>
        </w:tc>
        <w:tc>
          <w:tcPr>
            <w:tcW w:type="dxa" w:w="505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My teaching, attendance and self check-in, marks, class lists, remarks assigned, IPT supervision.</w:t>
            </w:r>
          </w:p>
        </w:tc>
        <w:tc>
          <w:tcPr>
            <w:tcW w:type="dxa" w:w="180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Allocated modules</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Assessor (NVA)</w:t>
            </w:r>
          </w:p>
        </w:tc>
        <w:tc>
          <w:tcPr>
            <w:tcW w:type="dxa" w:w="50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Competence outcomes for the units allocated to them.</w:t>
            </w:r>
          </w:p>
        </w:tc>
        <w:tc>
          <w:tcPr>
            <w:tcW w:type="dxa" w:w="18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Allocated units</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Examinations Officer</w:t>
            </w:r>
          </w:p>
        </w:tc>
        <w:tc>
          <w:tcPr>
            <w:tcW w:type="dxa" w:w="505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Examinations office board, marks windows, eligibility, result sheets, publication, resits, appeals, competence set-up, NACTVET results files.</w:t>
            </w:r>
          </w:p>
        </w:tc>
        <w:tc>
          <w:tcPr>
            <w:tcW w:type="dxa" w:w="180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Institution</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Bursar / Finance Manager</w:t>
            </w:r>
          </w:p>
        </w:tc>
        <w:tc>
          <w:tcPr>
            <w:tcW w:type="dxa" w:w="50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Finance overview and targets, fee structure approval, waiver and refund approval, reconciliation sign-off, SMS bundles.</w:t>
            </w:r>
          </w:p>
        </w:tc>
        <w:tc>
          <w:tcPr>
            <w:tcW w:type="dxa" w:w="18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Institution</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Accountant / Finance Officer</w:t>
            </w:r>
          </w:p>
        </w:tc>
        <w:tc>
          <w:tcPr>
            <w:tcW w:type="dxa" w:w="505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Fee structures, invoices, payments, reconciliation exceptions, sponsors, waiver and refund requests.</w:t>
            </w:r>
          </w:p>
        </w:tc>
        <w:tc>
          <w:tcPr>
            <w:tcW w:type="dxa" w:w="180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Institution</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Dean of Students / Hostel Warden</w:t>
            </w:r>
          </w:p>
        </w:tc>
        <w:tc>
          <w:tcPr>
            <w:tcW w:type="dxa" w:w="50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Hostel inventory, allocation, check-in and check-out, repairs, hostel clearance.</w:t>
            </w:r>
          </w:p>
        </w:tc>
        <w:tc>
          <w:tcPr>
            <w:tcW w:type="dxa" w:w="18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Assigned hostels (none = all)</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IPT Coordinator</w:t>
            </w:r>
          </w:p>
        </w:tc>
        <w:tc>
          <w:tcPr>
            <w:tcW w:type="dxa" w:w="505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Organisations, IPT periods, placements, letters, logbooks and IPT marks.</w:t>
            </w:r>
          </w:p>
        </w:tc>
        <w:tc>
          <w:tcPr>
            <w:tcW w:type="dxa" w:w="180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Institution or department</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Clearance Officer</w:t>
            </w:r>
          </w:p>
        </w:tc>
        <w:tc>
          <w:tcPr>
            <w:tcW w:type="dxa" w:w="50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Clears or holds finalists for their office.</w:t>
            </w:r>
          </w:p>
        </w:tc>
        <w:tc>
          <w:tcPr>
            <w:tcW w:type="dxa" w:w="18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Clearance office</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Auditor</w:t>
            </w:r>
          </w:p>
        </w:tc>
        <w:tc>
          <w:tcPr>
            <w:tcW w:type="dxa" w:w="505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Read-only records, users, messages and the audit trail.</w:t>
            </w:r>
          </w:p>
        </w:tc>
        <w:tc>
          <w:tcPr>
            <w:tcW w:type="dxa" w:w="180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Institution</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Sponsor Officer</w:t>
            </w:r>
          </w:p>
        </w:tc>
        <w:tc>
          <w:tcPr>
            <w:tcW w:type="dxa" w:w="50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Their sponsor's students, invoices, control numbers and statement (read-only otherwise).</w:t>
            </w:r>
          </w:p>
        </w:tc>
        <w:tc>
          <w:tcPr>
            <w:tcW w:type="dxa" w:w="18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One sponsor</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Applicant</w:t>
            </w:r>
          </w:p>
        </w:tc>
        <w:tc>
          <w:tcPr>
            <w:tcW w:type="dxa" w:w="505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Own application, payments, offer and letter.</w:t>
            </w:r>
          </w:p>
        </w:tc>
        <w:tc>
          <w:tcPr>
            <w:tcW w:type="dxa" w:w="180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Self</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Student</w:t>
            </w:r>
          </w:p>
        </w:tc>
        <w:tc>
          <w:tcPr>
            <w:tcW w:type="dxa" w:w="505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Own records in the student portal.</w:t>
            </w:r>
          </w:p>
        </w:tc>
        <w:tc>
          <w:tcPr>
            <w:tcW w:type="dxa" w:w="180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Self</w:t>
            </w:r>
          </w:p>
        </w:tc>
      </w:tr>
    </w:tbl>
    <w:p>
      <w:pPr>
        <w:spacing w:after="120"/>
      </w:pPr>
    </w:p>
    <w:p>
      <w:pPr>
        <w:pStyle w:val="Heading1"/>
      </w:pPr>
      <w:bookmarkStart w:id="9" w:name="_TocV11_9"/>
      <w:r>
        <w:rPr>
          <w:rFonts w:ascii="Calibri" w:cs="Calibri" w:eastAsia="Calibri" w:hAnsi="Calibri"/>
        </w:rPr>
        <w:t xml:space="preserve">4. Functional Requirements</w:t>
      </w:r>
      <w:bookmarkEnd w:id="9"/>
    </w:p>
    <w:p>
      <w:pPr>
        <w:spacing w:after="300"/>
      </w:pPr>
      <w:r>
        <w:rPr>
          <w:i/>
          <w:rFonts w:ascii="Calibri" w:cs="Calibri" w:eastAsia="Calibri" w:hAnsi="Calibri"/>
          <w:color w:val="595959"/>
          <w:sz w:val="22"/>
          <w:szCs w:val="22"/>
        </w:rPr>
        <w:t xml:space="preserve">This section is the core of the specification: what the system shall do, module by module. Each module matches an area of the institution's work, and together they cover the full student lifecycle from application to graduation.</w:t>
      </w:r>
    </w:p>
    <w:p>
      <w:pPr>
        <w:pStyle w:val="Heading2"/>
      </w:pPr>
      <w:bookmarkStart w:id="10" w:name="_TocV11_10"/>
      <w:r>
        <w:rPr>
          <w:rFonts w:ascii="Calibri" w:cs="Calibri" w:eastAsia="Calibri" w:hAnsi="Calibri"/>
        </w:rPr>
        <w:t xml:space="preserve">4.1 M01 — Online Admission Portal</w:t>
      </w:r>
      <w:bookmarkEnd w:id="10"/>
    </w:p>
    <w:p>
      <w:pPr>
        <w:spacing w:after="300"/>
      </w:pPr>
      <w:r>
        <w:rPr>
          <w:i/>
          <w:rFonts w:ascii="Calibri" w:cs="Calibri" w:eastAsia="Calibri" w:hAnsi="Calibri"/>
          <w:color w:val="595959"/>
          <w:sz w:val="22"/>
          <w:szCs w:val="22"/>
        </w:rPr>
        <w:t xml:space="preserve">This sub-section lists what the system shall do for the online admission portal: applicant accounts, applications, eligibility checks, selection, offers and verification by NACTVET. Each requirement has an identifier used in testing and tracing, a priority (Must, Should or Could), the business requirement it serves and the release that delivers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5"/>
        <w:gridCol w:w="631"/>
        <w:gridCol w:w="902"/>
        <w:gridCol w:w="995"/>
      </w:tblGrid>
      <w:tr>
        <w:trPr>
          <w:tblHeader/>
        </w:trPr>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The system shall…</w:t>
            </w:r>
          </w:p>
        </w:tc>
        <w:tc>
          <w:tcPr>
            <w:tcW w:type="dxa" w:w="63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w:t>
            </w:r>
          </w:p>
        </w:tc>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BR</w:t>
            </w:r>
          </w:p>
        </w:tc>
        <w:tc>
          <w:tcPr>
            <w:tcW w:type="dxa" w:w="99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Release</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FR-ADM-01</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Publish a branded admission portal per institution with logo, colours, contacts, programme catalogue and admission guidelines.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BR-01</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FR-ADM-02</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Allow applicants to create an account verified by phone (SMS OTP) and email, with password reset.</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BR-01</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FR-ADM-03</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Allow the Admissions Officer to create admission windows per academic year and intake with opening/closing dates, programmes, capacity, application fee and number of choices allowed.</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BR-02</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FR-ADM-04</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Store NACTVET minimum entry requirements per programme as configurable rules (subjects, minimum grades, number of passes, prior award level, alternative pathways).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BR-03</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FR-ADM-05</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Retrieve CSEE and ACSEE results from NECTA using index number and year; flag mismatches between applicant-entered and NECTA data.</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BR-04</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FR-ADM-06</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Capture prior NTA awards by AVN and NVA awards by certificate number; record verification status.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BR-04</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FR-ADM-07</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Capture personal details, contacts, next of kin, disability support needs (optional), sponsor, and upload of required documents (PDF/JPG, size-limited).</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BR-01</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FR-ADM-08</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Generate a GePG control number for the application fee and release the application only on payment confirmation.</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BR-05</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FR-ADM-09</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Evaluate eligibility automatically per choice and show applicants which choices they qualify for before submission.</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BR-03</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FR-ADM-10</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Rank eligible applicants per programme using configurable criteria (e.g. points from grades, choice order, application date) and propose selections within capacity.</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BR-06</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FR-ADM-11</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Allow authorised users to approve, adjust or reject selections with reasons; record Admissions Committee approval.</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BR-06</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FR-ADM-12</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Generate NACTVET verification submission files/API calls for selected applicants and record per-applicant outcome, query reason and confirmation code.</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BR-07</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FR-ADM-13</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Generate admission letters and joining instructions from templates with QR verification code; notify applicants by SMS and email.</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BR-06</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FR-ADM-14</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Record offer acceptance, decline and confirmation for multiple-admission applicants within a deadline; release unaccepted places to the next ranked applicants.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BR-07</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FR-ADM-15</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Import externally selected students (e.g. TAMISEMI) from file or API and process them through verification and registration.</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BR-08</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FR-ADM-16</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Provide live admission statistics by programme, gender, region, qualification and status.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BR-34</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bl>
    <w:p>
      <w:pPr>
        <w:spacing w:after="120"/>
      </w:pPr>
    </w:p>
    <w:p>
      <w:pPr>
        <w:pStyle w:val="Heading2"/>
      </w:pPr>
      <w:bookmarkStart w:id="11" w:name="_TocV11_11"/>
      <w:r>
        <w:rPr>
          <w:rFonts w:ascii="Calibri" w:cs="Calibri" w:eastAsia="Calibri" w:hAnsi="Calibri"/>
        </w:rPr>
        <w:t xml:space="preserve">4.2 M02 — Student Registry</w:t>
      </w:r>
      <w:bookmarkEnd w:id="11"/>
    </w:p>
    <w:p>
      <w:pPr>
        <w:spacing w:after="300"/>
      </w:pPr>
      <w:r>
        <w:rPr>
          <w:i/>
          <w:rFonts w:ascii="Calibri" w:cs="Calibri" w:eastAsia="Calibri" w:hAnsi="Calibri"/>
          <w:color w:val="595959"/>
          <w:sz w:val="22"/>
          <w:szCs w:val="22"/>
        </w:rPr>
        <w:t xml:space="preserve">This sub-section lists what the system shall do for the student registry: creating the student record, registration numbers, semester registration and changes of status. Each requirement has an identifier used in testing and tracing, a priority (Must, Should or Could), the business requirement it serves and the release that delivers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5"/>
        <w:gridCol w:w="631"/>
        <w:gridCol w:w="902"/>
        <w:gridCol w:w="995"/>
      </w:tblGrid>
      <w:tr>
        <w:trPr>
          <w:tblHeader/>
        </w:trPr>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The system shall…</w:t>
            </w:r>
          </w:p>
        </w:tc>
        <w:tc>
          <w:tcPr>
            <w:tcW w:type="dxa" w:w="63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w:t>
            </w:r>
          </w:p>
        </w:tc>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BR</w:t>
            </w:r>
          </w:p>
        </w:tc>
        <w:tc>
          <w:tcPr>
            <w:tcW w:type="dxa" w:w="99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Release</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FR-REG-01</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Create a student record from an accepted, verified applicant without re-entering data.</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BR-09</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FR-REG-02</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Generate registration numbers using a configurable pattern (e.g. institution code/level/year/sequence) guaranteed unique.</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BR-09</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FR-REG-03</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Manage semester/annual registration: student confirms details and modules, system checks clearance, Registry approves.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BR-10</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FR-REG-04</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Record status changes (postponement, resumption, suspension, discontinuation, withdrawal, completion, graduation, death) with reason, approval, effective date and documents.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BR-11</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FR-REG-05</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Manage programme and campus transfers with history.</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BR-13</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FR-REG-06</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Produce student ID cards with photo and QR code (print-ready).</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BR-09</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FR-REG-07</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Produce NACTVET student registration submissions and record outcomes.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BR-07</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FR-REG-08</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Allow students to request updates to personal details, subject to Registry approval and audit.</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BR-32</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bl>
    <w:p>
      <w:pPr>
        <w:spacing w:after="120"/>
      </w:pPr>
    </w:p>
    <w:p>
      <w:pPr>
        <w:pStyle w:val="Heading2"/>
      </w:pPr>
      <w:bookmarkStart w:id="12" w:name="_TocV11_12"/>
      <w:r>
        <w:rPr>
          <w:rFonts w:ascii="Calibri" w:cs="Calibri" w:eastAsia="Calibri" w:hAnsi="Calibri"/>
        </w:rPr>
        <w:t xml:space="preserve">4.3 M03 — Academic Structure</w:t>
      </w:r>
      <w:bookmarkEnd w:id="12"/>
    </w:p>
    <w:p>
      <w:pPr>
        <w:spacing w:after="300"/>
      </w:pPr>
      <w:r>
        <w:rPr>
          <w:i/>
          <w:rFonts w:ascii="Calibri" w:cs="Calibri" w:eastAsia="Calibri" w:hAnsi="Calibri"/>
          <w:color w:val="595959"/>
          <w:sz w:val="22"/>
          <w:szCs w:val="22"/>
        </w:rPr>
        <w:t xml:space="preserve">This sub-section lists what the system shall do for the academic structure: campuses, departments, programmes, curricula, modules and academic calendars. Each requirement has an identifier used in testing and tracing, a priority (Must, Should or Could), the business requirement it serves and the release that delivers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5"/>
        <w:gridCol w:w="631"/>
        <w:gridCol w:w="902"/>
        <w:gridCol w:w="995"/>
      </w:tblGrid>
      <w:tr>
        <w:trPr>
          <w:tblHeader/>
        </w:trPr>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The system shall…</w:t>
            </w:r>
          </w:p>
        </w:tc>
        <w:tc>
          <w:tcPr>
            <w:tcW w:type="dxa" w:w="63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w:t>
            </w:r>
          </w:p>
        </w:tc>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BR</w:t>
            </w:r>
          </w:p>
        </w:tc>
        <w:tc>
          <w:tcPr>
            <w:tcW w:type="dxa" w:w="99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Release</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FR-ACA-01</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Maintain campuses, faculties/schools (optional), departments and programmes with award family (NVA/NTA), level, duration and NACTVET programme code.</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BR-12</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FR-ACA-02</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Maintain curricula with versions; modules/units with code, title, credits, NTA level, semester, core/elective, assessment type.</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BR-12</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FR-ACA-03</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Allow one module to be shared by several programmes through curriculum mapping.</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BR-12</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FR-ACA-04</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Maintain academic years, semesters, intakes and an academic calendar with key dates (registration, marks windows, examinations).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BR-12</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FR-ACA-05</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Maintain grading schemes and examination regulations per award level, versioned by effective academic year (see section 5).</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BR-18</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bl>
    <w:p>
      <w:pPr>
        <w:spacing w:after="120"/>
      </w:pPr>
    </w:p>
    <w:p>
      <w:pPr>
        <w:pStyle w:val="Heading2"/>
      </w:pPr>
      <w:bookmarkStart w:id="13" w:name="_TocV11_13"/>
      <w:r>
        <w:rPr>
          <w:rFonts w:ascii="Calibri" w:cs="Calibri" w:eastAsia="Calibri" w:hAnsi="Calibri"/>
        </w:rPr>
        <w:t xml:space="preserve">4.4 M04 — Teaching &amp; Attendance</w:t>
      </w:r>
      <w:bookmarkEnd w:id="13"/>
    </w:p>
    <w:p>
      <w:pPr>
        <w:spacing w:after="300"/>
      </w:pPr>
      <w:r>
        <w:rPr>
          <w:i/>
          <w:rFonts w:ascii="Calibri" w:cs="Calibri" w:eastAsia="Calibri" w:hAnsi="Calibri"/>
          <w:color w:val="595959"/>
          <w:sz w:val="22"/>
          <w:szCs w:val="22"/>
        </w:rPr>
        <w:t xml:space="preserve">This sub-section lists what the system shall do for teaching and attendance: module offerings, lecturer allocation, class lists and attendance records. Each requirement has an identifier used in testing and tracing, a priority (Must, Should or Could), the business requirement it serves and the release that delivers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5"/>
        <w:gridCol w:w="631"/>
        <w:gridCol w:w="902"/>
        <w:gridCol w:w="995"/>
      </w:tblGrid>
      <w:tr>
        <w:trPr>
          <w:tblHeader/>
        </w:trPr>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The system shall…</w:t>
            </w:r>
          </w:p>
        </w:tc>
        <w:tc>
          <w:tcPr>
            <w:tcW w:type="dxa" w:w="63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w:t>
            </w:r>
          </w:p>
        </w:tc>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BR</w:t>
            </w:r>
          </w:p>
        </w:tc>
        <w:tc>
          <w:tcPr>
            <w:tcW w:type="dxa" w:w="99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Release</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FR-TCH-01</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Create module offerings per semester and allocate lecturers/assessors.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BR-14</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FR-TCH-02</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Generate class lists from approved registrations.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BR-14</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FR-TCH-03</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Record attendance per session (web or tablet), including bulk entry and QR self check-in (optional).</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BR-15</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FR-TCH-04</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Calculate attendance percentage and flag students below threshold for examination eligibility.</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BR-15</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bl>
    <w:p>
      <w:pPr>
        <w:spacing w:after="120"/>
      </w:pPr>
    </w:p>
    <w:p>
      <w:pPr>
        <w:pStyle w:val="Heading2"/>
      </w:pPr>
      <w:bookmarkStart w:id="14" w:name="_TocV11_14"/>
      <w:r>
        <w:rPr>
          <w:rFonts w:ascii="Calibri" w:cs="Calibri" w:eastAsia="Calibri" w:hAnsi="Calibri"/>
        </w:rPr>
        <w:t xml:space="preserve">4.5 M05 — Assessment &amp; Examination</w:t>
      </w:r>
      <w:bookmarkEnd w:id="14"/>
    </w:p>
    <w:p>
      <w:pPr>
        <w:spacing w:after="300"/>
      </w:pPr>
      <w:r>
        <w:rPr>
          <w:i/>
          <w:rFonts w:ascii="Calibri" w:cs="Calibri" w:eastAsia="Calibri" w:hAnsi="Calibri"/>
          <w:color w:val="595959"/>
          <w:sz w:val="22"/>
          <w:szCs w:val="22"/>
        </w:rPr>
        <w:t xml:space="preserve">This sub-section lists what the system shall do for assessment and examinations: assessment plans, marks entry, moderation, results approval, supplementary examinations and submission to NACTVET. Each requirement has an identifier used in testing and tracing, a priority (Must, Should or Could), the business requirement it serves and the release that delivers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5"/>
        <w:gridCol w:w="631"/>
        <w:gridCol w:w="902"/>
        <w:gridCol w:w="995"/>
      </w:tblGrid>
      <w:tr>
        <w:trPr>
          <w:tblHeader/>
        </w:trPr>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The system shall…</w:t>
            </w:r>
          </w:p>
        </w:tc>
        <w:tc>
          <w:tcPr>
            <w:tcW w:type="dxa" w:w="63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w:t>
            </w:r>
          </w:p>
        </w:tc>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BR</w:t>
            </w:r>
          </w:p>
        </w:tc>
        <w:tc>
          <w:tcPr>
            <w:tcW w:type="dxa" w:w="99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Release</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FR-EXM-01</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Define assessment plans per module offering (components such as tests, assignments, practicals, with weights) consistent with the curriculum.</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BR-16</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FR-EXM-02</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Open and close marks entry windows per component; allow entry on screen or by validated Excel upload.</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BR-16</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FR-EXM-03</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Compute CA and SE totals, apply component pass thresholds, determine grade and grade points from the configured scale.</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BR-18</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FR-EXM-04</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Generate examination eligibility lists combining attendance, CA and financial clearance; allow authorised exemptions with reason.</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BR-16</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FR-EXM-05</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Route results through configurable approval stages; allow return with comments; lock on final approval.</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BR-17</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FR-EXM-06</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Compute semester, annual and cumulative GPA and award classification.</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BR-18</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FR-EXM-07</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Determine progression status per student (pass, supplementary, special, carry-over, repeat, discontinue) and present it for committee confirmation.</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BR-18</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FR-EXM-08</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Manage supplementary and special examinations, including registration, fees, marks and capping rules.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BR-18</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FR-EXM-09</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Record NVA competence assessment per unit/task: competent / not yet competent, practical and theory scores, assessor, date, evidence reference.</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BR-16</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FR-EXM-10</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Publish approved results to the student portal and by SMS; withhold for students without results clearance if configured.</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BR-19</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FR-EXM-11</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Produce NACTVET results submission files in the required template and record submission status.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BR-19</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FR-EXM-12</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Manage remarking/appeal requests: application, fee, assignment, outcome, result amendment through authorised workflow.</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BR-20</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FR-EXM-13</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Produce statements of results and provisional transcripts.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BR-30</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FR-EXM-14</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Provide examination analytics: pass rates, grade distributions, module performance, comparisons across years.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BR-34</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bl>
    <w:p>
      <w:pPr>
        <w:spacing w:after="120"/>
      </w:pPr>
    </w:p>
    <w:p>
      <w:pPr>
        <w:pStyle w:val="Heading2"/>
      </w:pPr>
      <w:bookmarkStart w:id="15" w:name="_TocV11_15"/>
      <w:r>
        <w:rPr>
          <w:rFonts w:ascii="Calibri" w:cs="Calibri" w:eastAsia="Calibri" w:hAnsi="Calibri"/>
        </w:rPr>
        <w:t xml:space="preserve">4.6 M06 — Finance &amp; Fees</w:t>
      </w:r>
      <w:bookmarkEnd w:id="15"/>
    </w:p>
    <w:p>
      <w:pPr>
        <w:spacing w:after="300"/>
      </w:pPr>
      <w:r>
        <w:rPr>
          <w:i/>
          <w:rFonts w:ascii="Calibri" w:cs="Calibri" w:eastAsia="Calibri" w:hAnsi="Calibri"/>
          <w:color w:val="595959"/>
          <w:sz w:val="22"/>
          <w:szCs w:val="22"/>
        </w:rPr>
        <w:t xml:space="preserve">This sub-section lists what the system shall do for finance and fees: fee structures, invoices, control numbers, payments, sponsors, waivers and refunds. Each requirement has an identifier used in testing and tracing, a priority (Must, Should or Could), the business requirement it serves and the release that delivers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5"/>
        <w:gridCol w:w="631"/>
        <w:gridCol w:w="902"/>
        <w:gridCol w:w="995"/>
      </w:tblGrid>
      <w:tr>
        <w:trPr>
          <w:tblHeader/>
        </w:trPr>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The system shall…</w:t>
            </w:r>
          </w:p>
        </w:tc>
        <w:tc>
          <w:tcPr>
            <w:tcW w:type="dxa" w:w="63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w:t>
            </w:r>
          </w:p>
        </w:tc>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BR</w:t>
            </w:r>
          </w:p>
        </w:tc>
        <w:tc>
          <w:tcPr>
            <w:tcW w:type="dxa" w:w="99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Release</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FR-FIN-01</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Configure fee items and fee structures by programme, level, year of study, intake, nationality and student category, with effective dates.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BR-22</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FR-FIN-02</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Generate itemised invoices individually or in bulk on events (admission, registration, hostel allocation, supplementary registration).</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BR-23</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FR-FIN-03</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Request GePG control numbers automatically and display them to students with payment instructions.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BR-23</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FR-FIN-04</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Receive GePG payment notifications, allocate payments to invoice lines in a configured order, issue electronic receipts and update balances in real time.</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BR-23</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FR-FIN-05</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Reconcile daily against GePG reconciliation files/statements and list unmatched or duplicate transactions for resolution.</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BR-25</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FR-FIN-06</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Evaluate clearance gates (registration, examinations, results, hostel, graduation) against configured thresholds (e.g. at least 50% of annual fees paid before examinations).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BR-26</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FR-FIN-07</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Manage instalment plans with due dates and reminders.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BR-24</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FR-FIN-08</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Manage waivers, discounts and scholarships with approval thresholds.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BR-24</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FR-FIN-09</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Manage sponsors (including HESLB): sponsored students, sponsor invoices, bulk payment allocation and sponsor statements; import HESLB beneficiary and disbursement lists.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BR-24</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FR-FIN-10</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Process refunds and credit notes with two-level approval.</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BR-24</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FR-FIN-11</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Export summarised postings by fee item and period to MUSE or the accounting system (file or API).</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BR-27</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FR-FIN-12</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Provide statements of account, debtor ageing, collection reports and dashboards.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BR-34</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bl>
    <w:p>
      <w:pPr>
        <w:spacing w:after="120"/>
      </w:pPr>
    </w:p>
    <w:p>
      <w:pPr>
        <w:pStyle w:val="Heading2"/>
      </w:pPr>
      <w:bookmarkStart w:id="16" w:name="_TocV11_16"/>
      <w:r>
        <w:rPr>
          <w:rFonts w:ascii="Calibri" w:cs="Calibri" w:eastAsia="Calibri" w:hAnsi="Calibri"/>
        </w:rPr>
        <w:t xml:space="preserve">4.7 M07 — Hostel &amp; Accommodation</w:t>
      </w:r>
      <w:bookmarkEnd w:id="16"/>
    </w:p>
    <w:p>
      <w:pPr>
        <w:spacing w:after="300"/>
      </w:pPr>
      <w:r>
        <w:rPr>
          <w:i/>
          <w:rFonts w:ascii="Calibri" w:cs="Calibri" w:eastAsia="Calibri" w:hAnsi="Calibri"/>
          <w:color w:val="595959"/>
          <w:sz w:val="22"/>
          <w:szCs w:val="22"/>
        </w:rPr>
        <w:t xml:space="preserve">This sub-section lists what the system shall do for hostels and accommodation: rooms and beds, applications, allocation, check-in and charges. Each requirement has an identifier used in testing and tracing, a priority (Must, Should or Could), the business requirement it serves and the release that delivers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5"/>
        <w:gridCol w:w="631"/>
        <w:gridCol w:w="902"/>
        <w:gridCol w:w="995"/>
      </w:tblGrid>
      <w:tr>
        <w:trPr>
          <w:tblHeader/>
        </w:trPr>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The system shall…</w:t>
            </w:r>
          </w:p>
        </w:tc>
        <w:tc>
          <w:tcPr>
            <w:tcW w:type="dxa" w:w="63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w:t>
            </w:r>
          </w:p>
        </w:tc>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BR</w:t>
            </w:r>
          </w:p>
        </w:tc>
        <w:tc>
          <w:tcPr>
            <w:tcW w:type="dxa" w:w="99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Release</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FR-HST-01</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Maintain hostels, blocks, floors, rooms and beds with gender designation, capacity, room type, fee category and status.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BR-28</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FR-HST-02</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Open hostel application windows; let students apply with preferences.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BR-28</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FR-HST-03</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Allocate beds automatically or manually by priority rules (e.g. first years, special needs, payment) without double allocation.</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BR-28</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FR-HST-04</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Invoice hostel fees on allocation and release unpaid allocations after a configured period.</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BR-28</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FR-HST-05</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Record check-in and check-out with inventory condition, damages and charges.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BR-28</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FR-HST-06</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Record and track maintenance requests.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BR-28</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bl>
    <w:p>
      <w:pPr>
        <w:spacing w:after="120"/>
      </w:pPr>
    </w:p>
    <w:p>
      <w:pPr>
        <w:pStyle w:val="Heading2"/>
      </w:pPr>
      <w:bookmarkStart w:id="17" w:name="_TocV11_17"/>
      <w:r>
        <w:rPr>
          <w:rFonts w:ascii="Calibri" w:cs="Calibri" w:eastAsia="Calibri" w:hAnsi="Calibri"/>
        </w:rPr>
        <w:t xml:space="preserve">4.8 M08 — Industrial Practical Training</w:t>
      </w:r>
      <w:bookmarkEnd w:id="17"/>
    </w:p>
    <w:p>
      <w:pPr>
        <w:spacing w:after="300"/>
      </w:pPr>
      <w:r>
        <w:rPr>
          <w:i/>
          <w:rFonts w:ascii="Calibri" w:cs="Calibri" w:eastAsia="Calibri" w:hAnsi="Calibri"/>
          <w:color w:val="595959"/>
          <w:sz w:val="22"/>
          <w:szCs w:val="22"/>
        </w:rPr>
        <w:t xml:space="preserve">This sub-section lists what the system shall do for industrial practical training: placements, supervisors, logbooks and assessment of field work. Each requirement has an identifier used in testing and tracing, a priority (Must, Should or Could), the business requirement it serves and the release that delivers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5"/>
        <w:gridCol w:w="631"/>
        <w:gridCol w:w="902"/>
        <w:gridCol w:w="995"/>
      </w:tblGrid>
      <w:tr>
        <w:trPr>
          <w:tblHeader/>
        </w:trPr>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The system shall…</w:t>
            </w:r>
          </w:p>
        </w:tc>
        <w:tc>
          <w:tcPr>
            <w:tcW w:type="dxa" w:w="63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w:t>
            </w:r>
          </w:p>
        </w:tc>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BR</w:t>
            </w:r>
          </w:p>
        </w:tc>
        <w:tc>
          <w:tcPr>
            <w:tcW w:type="dxa" w:w="99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Release</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FR-IPT-01</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Maintain placement organisations and contacts.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BR-21</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FR-IPT-02</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Record student placements, dates, workplace supervisor and institution supervisor.</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BR-21</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FR-IPT-03</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Capture electronic logbook entries and supervisor assessments; transfer IPT results to the examination record.</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BR-21</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bl>
    <w:p>
      <w:pPr>
        <w:spacing w:after="120"/>
      </w:pPr>
    </w:p>
    <w:p>
      <w:pPr>
        <w:pStyle w:val="Heading2"/>
      </w:pPr>
      <w:bookmarkStart w:id="18" w:name="_TocV11_18"/>
      <w:r>
        <w:rPr>
          <w:rFonts w:ascii="Calibri" w:cs="Calibri" w:eastAsia="Calibri" w:hAnsi="Calibri"/>
        </w:rPr>
        <w:t xml:space="preserve">4.9 M09 — Clearance, Graduation &amp; Alumni</w:t>
      </w:r>
      <w:bookmarkEnd w:id="18"/>
    </w:p>
    <w:p>
      <w:pPr>
        <w:spacing w:after="300"/>
      </w:pPr>
      <w:r>
        <w:rPr>
          <w:i/>
          <w:rFonts w:ascii="Calibri" w:cs="Calibri" w:eastAsia="Calibri" w:hAnsi="Calibri"/>
          <w:color w:val="595959"/>
          <w:sz w:val="22"/>
          <w:szCs w:val="22"/>
        </w:rPr>
        <w:t xml:space="preserve">This sub-section lists what the system shall do for clearance, graduation and alumni: clearance by each office, graduand lists, transcripts and certificates. Each requirement has an identifier used in testing and tracing, a priority (Must, Should or Could), the business requirement it serves and the release that delivers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5"/>
        <w:gridCol w:w="631"/>
        <w:gridCol w:w="902"/>
        <w:gridCol w:w="995"/>
      </w:tblGrid>
      <w:tr>
        <w:trPr>
          <w:tblHeader/>
        </w:trPr>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The system shall…</w:t>
            </w:r>
          </w:p>
        </w:tc>
        <w:tc>
          <w:tcPr>
            <w:tcW w:type="dxa" w:w="63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w:t>
            </w:r>
          </w:p>
        </w:tc>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BR</w:t>
            </w:r>
          </w:p>
        </w:tc>
        <w:tc>
          <w:tcPr>
            <w:tcW w:type="dxa" w:w="99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Release</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FR-GRD-01</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Configure clearance offices and run online clearance with clear/hold decisions and reasons.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BR-29</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FR-GRD-02</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Generate graduand lists from approved final results and clearance status for Governing Board approval and NACTVET submission.</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BR-30</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FR-GRD-03</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Generate transcripts and certificates with unique verification number and QR code; record issue and reprints.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BR-30</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FR-GRD-04</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Provide a public verification page that confirms authenticity without exposing unnecessary personal data.</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BR-30</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FR-GRD-05</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Maintain alumni contacts and run tracer surveys.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BR-31</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bl>
    <w:p>
      <w:pPr>
        <w:spacing w:after="120"/>
      </w:pPr>
    </w:p>
    <w:p>
      <w:pPr>
        <w:pStyle w:val="Heading2"/>
      </w:pPr>
      <w:bookmarkStart w:id="19" w:name="_TocV11_19"/>
      <w:r>
        <w:rPr>
          <w:rFonts w:ascii="Calibri" w:cs="Calibri" w:eastAsia="Calibri" w:hAnsi="Calibri"/>
        </w:rPr>
        <w:t xml:space="preserve">4.10 M10 — Student Self-Service</w:t>
      </w:r>
      <w:bookmarkEnd w:id="19"/>
    </w:p>
    <w:p>
      <w:pPr>
        <w:spacing w:after="300"/>
      </w:pPr>
      <w:r>
        <w:rPr>
          <w:i/>
          <w:rFonts w:ascii="Calibri" w:cs="Calibri" w:eastAsia="Calibri" w:hAnsi="Calibri"/>
          <w:color w:val="595959"/>
          <w:sz w:val="22"/>
          <w:szCs w:val="22"/>
        </w:rPr>
        <w:t xml:space="preserve">This sub-section lists what the system shall do for student self-service: the portal where students register, pay, see results and make requests themselves. Each requirement has an identifier used in testing and tracing, a priority (Must, Should or Could), the business requirement it serves and the release that delivers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5"/>
        <w:gridCol w:w="631"/>
        <w:gridCol w:w="902"/>
        <w:gridCol w:w="995"/>
      </w:tblGrid>
      <w:tr>
        <w:trPr>
          <w:tblHeader/>
        </w:trPr>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The system shall…</w:t>
            </w:r>
          </w:p>
        </w:tc>
        <w:tc>
          <w:tcPr>
            <w:tcW w:type="dxa" w:w="63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w:t>
            </w:r>
          </w:p>
        </w:tc>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BR</w:t>
            </w:r>
          </w:p>
        </w:tc>
        <w:tc>
          <w:tcPr>
            <w:tcW w:type="dxa" w:w="99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Release</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FR-STU-01</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Provide a mobile-first, installable web portal with dashboard, notices and profile.</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BR-32</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FR-STU-02</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Allow semester registration, invoice view, control numbers, payment history and receipts.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BR-32</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FR-STU-03</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Show published results, GPA and progression status; allow supplementary and remark applications.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BR-32</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FR-STU-04</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Allow hostel application, IPT details, clearance tracking and document downloads.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BR-32</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bl>
    <w:p>
      <w:pPr>
        <w:spacing w:after="120"/>
      </w:pPr>
    </w:p>
    <w:p>
      <w:pPr>
        <w:pStyle w:val="Heading2"/>
      </w:pPr>
      <w:bookmarkStart w:id="20" w:name="_TocV11_20"/>
      <w:r>
        <w:rPr>
          <w:rFonts w:ascii="Calibri" w:cs="Calibri" w:eastAsia="Calibri" w:hAnsi="Calibri"/>
        </w:rPr>
        <w:t xml:space="preserve">4.11 M11 — Reports &amp; Dashboards</w:t>
      </w:r>
      <w:bookmarkEnd w:id="20"/>
    </w:p>
    <w:p>
      <w:pPr>
        <w:spacing w:after="300"/>
      </w:pPr>
      <w:r>
        <w:rPr>
          <w:i/>
          <w:rFonts w:ascii="Calibri" w:cs="Calibri" w:eastAsia="Calibri" w:hAnsi="Calibri"/>
          <w:color w:val="595959"/>
          <w:sz w:val="22"/>
          <w:szCs w:val="22"/>
        </w:rPr>
        <w:t xml:space="preserve">This sub-section lists what the system shall do for reports and dashboards: the figures management and offices need, on screen and for export. Each requirement has an identifier used in testing and tracing, a priority (Must, Should or Could), the business requirement it serves and the release that delivers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5"/>
        <w:gridCol w:w="631"/>
        <w:gridCol w:w="902"/>
        <w:gridCol w:w="995"/>
      </w:tblGrid>
      <w:tr>
        <w:trPr>
          <w:tblHeader/>
        </w:trPr>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The system shall…</w:t>
            </w:r>
          </w:p>
        </w:tc>
        <w:tc>
          <w:tcPr>
            <w:tcW w:type="dxa" w:w="63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w:t>
            </w:r>
          </w:p>
        </w:tc>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BR</w:t>
            </w:r>
          </w:p>
        </w:tc>
        <w:tc>
          <w:tcPr>
            <w:tcW w:type="dxa" w:w="99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Release</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FR-RPT-01</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Provide role-based dashboards (management, admissions, academic, finance, hostel).</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BR-34</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R1–R3</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FR-RPT-02</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Provide the standard report catalogue in section 7 in PDF and Excel, filterable by year, intake, campus, programme, level, gender and status.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BR-34</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R1–R3</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FR-RPT-03</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Allow authorised users to schedule reports for email delivery.</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BR-34</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bl>
    <w:p>
      <w:pPr>
        <w:spacing w:after="120"/>
      </w:pPr>
    </w:p>
    <w:p>
      <w:pPr>
        <w:pStyle w:val="Heading2"/>
      </w:pPr>
      <w:bookmarkStart w:id="21" w:name="_TocV11_21"/>
      <w:r>
        <w:rPr>
          <w:rFonts w:ascii="Calibri" w:cs="Calibri" w:eastAsia="Calibri" w:hAnsi="Calibri"/>
        </w:rPr>
        <w:t xml:space="preserve">4.12 M12 — Communication</w:t>
      </w:r>
      <w:bookmarkEnd w:id="21"/>
    </w:p>
    <w:p>
      <w:pPr>
        <w:spacing w:after="300"/>
      </w:pPr>
      <w:r>
        <w:rPr>
          <w:i/>
          <w:rFonts w:ascii="Calibri" w:cs="Calibri" w:eastAsia="Calibri" w:hAnsi="Calibri"/>
          <w:color w:val="595959"/>
          <w:sz w:val="22"/>
          <w:szCs w:val="22"/>
        </w:rPr>
        <w:t xml:space="preserve">This sub-section lists what the system shall do for communication: SMS, email and in-app messages, both automatic and sent in bulk. Each requirement has an identifier used in testing and tracing, a priority (Must, Should or Could), the business requirement it serves and the release that delivers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5"/>
        <w:gridCol w:w="631"/>
        <w:gridCol w:w="902"/>
        <w:gridCol w:w="995"/>
      </w:tblGrid>
      <w:tr>
        <w:trPr>
          <w:tblHeader/>
        </w:trPr>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The system shall…</w:t>
            </w:r>
          </w:p>
        </w:tc>
        <w:tc>
          <w:tcPr>
            <w:tcW w:type="dxa" w:w="63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w:t>
            </w:r>
          </w:p>
        </w:tc>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BR</w:t>
            </w:r>
          </w:p>
        </w:tc>
        <w:tc>
          <w:tcPr>
            <w:tcW w:type="dxa" w:w="99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Release</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FR-COM-01</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Send event notifications (application received, payment confirmed, selected, verified, results published, invoice due, hostel allocated) via SMS, email and in-app.</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BR-33</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FR-COM-02</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Send bulk messages to filtered groups with delivery reports and cost tracking.</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BR-33</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FR-COM-03</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Maintain message templates in English and Kiswahili.</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BR-33</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bl>
    <w:p>
      <w:pPr>
        <w:spacing w:after="120"/>
      </w:pPr>
    </w:p>
    <w:p>
      <w:pPr>
        <w:pStyle w:val="Heading2"/>
      </w:pPr>
      <w:bookmarkStart w:id="22" w:name="_TocV11_22"/>
      <w:r>
        <w:rPr>
          <w:rFonts w:ascii="Calibri" w:cs="Calibri" w:eastAsia="Calibri" w:hAnsi="Calibri"/>
        </w:rPr>
        <w:t xml:space="preserve">4.13 M13 — Administration &amp; Security</w:t>
      </w:r>
      <w:bookmarkEnd w:id="22"/>
    </w:p>
    <w:p>
      <w:pPr>
        <w:spacing w:after="300"/>
      </w:pPr>
      <w:r>
        <w:rPr>
          <w:i/>
          <w:rFonts w:ascii="Calibri" w:cs="Calibri" w:eastAsia="Calibri" w:hAnsi="Calibri"/>
          <w:color w:val="595959"/>
          <w:sz w:val="22"/>
          <w:szCs w:val="22"/>
        </w:rPr>
        <w:t xml:space="preserve">This sub-section lists what the system shall do for administration and security: onboarding institutions, users, roles, sign-in protection and the audit trail. Each requirement has an identifier used in testing and tracing, a priority (Must, Should or Could), the business requirement it serves and the release that delivers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5415"/>
        <w:gridCol w:w="631"/>
        <w:gridCol w:w="902"/>
        <w:gridCol w:w="995"/>
      </w:tblGrid>
      <w:tr>
        <w:trPr>
          <w:tblHeader/>
        </w:trPr>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541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The system shall…</w:t>
            </w:r>
          </w:p>
        </w:tc>
        <w:tc>
          <w:tcPr>
            <w:tcW w:type="dxa" w:w="63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w:t>
            </w:r>
          </w:p>
        </w:tc>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BR</w:t>
            </w:r>
          </w:p>
        </w:tc>
        <w:tc>
          <w:tcPr>
            <w:tcW w:type="dxa" w:w="99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Release</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FR-ADM-S01</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Onboard a new institution (tenant): profile, NACTVET registration number, domains, branding, campuses, GePG settings.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BR-35</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FR-ADM-S02</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Manage users, roles, permissions and data scopes; enforce MFA for privileged roles.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BR-36</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FR-ADM-S03</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Configure approval workflows (stages, approvers, thresholds) for admissions, results, status changes and finance.</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BR-17</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FR-ADM-S04</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Record audit logs for logins and all create/update/approve/delete actions on sensitive data, with before/after values; logs are read-only.</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BR-37</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FR-ADM-S05</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Manage document and letter templates, numbering sequences and system parameters.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BR-35</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FR-ADM-S06</w:t>
            </w:r>
          </w:p>
        </w:tc>
        <w:tc>
          <w:tcPr>
            <w:tcW w:type="dxa" w:w="541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Support data subject requests (access, correction) and retention/anonymisation jobs.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BR-38</w:t>
            </w:r>
          </w:p>
        </w:tc>
        <w:tc>
          <w:tcPr>
            <w:tcW w:type="dxa" w:w="99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FR-ADM-S07</w:t>
            </w:r>
          </w:p>
        </w:tc>
        <w:tc>
          <w:tcPr>
            <w:tcW w:type="dxa" w:w="541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Provide data import tools with validation reports for migration.</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BR-39</w:t>
            </w:r>
          </w:p>
        </w:tc>
        <w:tc>
          <w:tcPr>
            <w:tcW w:type="dxa" w:w="99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bl>
    <w:p>
      <w:pPr>
        <w:spacing w:after="120"/>
      </w:pPr>
    </w:p>
    <w:p>
      <w:pPr>
        <w:pStyle w:val="Heading2"/>
      </w:pPr>
      <w:bookmarkStart w:id="23" w:name="_TocV11_23"/>
      <w:r>
        <w:rPr>
          <w:rFonts w:ascii="Calibri" w:cs="Calibri" w:eastAsia="Calibri" w:hAnsi="Calibri"/>
        </w:rPr>
        <w:t xml:space="preserve">4.14 M14 — Integration Hub</w:t>
      </w:r>
      <w:bookmarkEnd w:id="23"/>
    </w:p>
    <w:p>
      <w:pPr>
        <w:spacing w:after="300"/>
      </w:pPr>
      <w:r>
        <w:rPr>
          <w:i/>
          <w:rFonts w:ascii="Calibri" w:cs="Calibri" w:eastAsia="Calibri" w:hAnsi="Calibri"/>
          <w:color w:val="595959"/>
          <w:sz w:val="22"/>
          <w:szCs w:val="22"/>
        </w:rPr>
        <w:t xml:space="preserve">This sub-section lists each national or outside system CIMS must exchange data with, what is exchanged and why, with the priority and release of each connection.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3"/>
        <w:gridCol w:w="1985"/>
        <w:gridCol w:w="3971"/>
        <w:gridCol w:w="902"/>
        <w:gridCol w:w="905"/>
      </w:tblGrid>
      <w:tr>
        <w:trPr>
          <w:tblHeader/>
        </w:trPr>
        <w:tc>
          <w:tcPr>
            <w:tcW w:type="dxa" w:w="126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External system</w:t>
            </w:r>
          </w:p>
        </w:tc>
        <w:tc>
          <w:tcPr>
            <w:tcW w:type="dxa" w:w="397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Interaction</w:t>
            </w:r>
          </w:p>
        </w:tc>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w:t>
            </w:r>
          </w:p>
        </w:tc>
        <w:tc>
          <w:tcPr>
            <w:tcW w:type="dxa" w:w="90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Release</w:t>
            </w:r>
          </w:p>
        </w:tc>
      </w:tr>
      <w:tr>
        <w:trPr>
          <w:cantSplit/>
        </w:trPr>
        <w:tc>
          <w:tcPr>
            <w:tcW w:type="dxa" w:w="12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FR-INT-01</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NECTA</w:t>
            </w:r>
          </w:p>
        </w:tc>
        <w:tc>
          <w:tcPr>
            <w:tcW w:type="dxa" w:w="397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Retrieve CSEE/ACSEE results by index number and year.</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26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FR-INT-02</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NACTVET</w:t>
            </w:r>
          </w:p>
        </w:tc>
        <w:tc>
          <w:tcPr>
            <w:tcW w:type="dxa" w:w="397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Admission verification submission and outcomes; student registration; results and graduand submission; AVN verification. API where available, otherwise generated files in NACTVET templates with outcome import.</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R1–R3</w:t>
            </w:r>
          </w:p>
        </w:tc>
      </w:tr>
      <w:tr>
        <w:trPr>
          <w:cantSplit/>
        </w:trPr>
        <w:tc>
          <w:tcPr>
            <w:tcW w:type="dxa" w:w="12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FR-INT-03</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GePG</w:t>
            </w:r>
          </w:p>
        </w:tc>
        <w:tc>
          <w:tcPr>
            <w:tcW w:type="dxa" w:w="397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Bill submission, control number response, payment notification, reconciliation (signed messages per GePG specification).</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26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FR-INT-04</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SMS gateway / Email</w:t>
            </w:r>
          </w:p>
        </w:tc>
        <w:tc>
          <w:tcPr>
            <w:tcW w:type="dxa" w:w="397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Outbound messages with delivery reports.</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9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2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FR-INT-05</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HESLB</w:t>
            </w:r>
          </w:p>
        </w:tc>
        <w:tc>
          <w:tcPr>
            <w:tcW w:type="dxa" w:w="397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Import beneficiaries and disbursements; export registration/continuation data.</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r>
        <w:trPr>
          <w:cantSplit/>
        </w:trPr>
        <w:tc>
          <w:tcPr>
            <w:tcW w:type="dxa" w:w="126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FR-INT-06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NIDA</w:t>
            </w:r>
          </w:p>
        </w:tc>
        <w:tc>
          <w:tcPr>
            <w:tcW w:type="dxa" w:w="397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Verify national identification number (optional per institution).</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w:t>
            </w:r>
          </w:p>
        </w:tc>
        <w:tc>
          <w:tcPr>
            <w:tcW w:type="dxa" w:w="9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r>
        <w:trPr>
          <w:cantSplit/>
        </w:trPr>
        <w:tc>
          <w:tcPr>
            <w:tcW w:type="dxa" w:w="12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FR-INT-07</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MUSE / ERP</w:t>
            </w:r>
          </w:p>
        </w:tc>
        <w:tc>
          <w:tcPr>
            <w:tcW w:type="dxa" w:w="397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Export summarised fee postings.</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r>
        <w:trPr>
          <w:cantSplit/>
        </w:trPr>
        <w:tc>
          <w:tcPr>
            <w:tcW w:type="dxa" w:w="126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FR-INT-08</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TAMISEMI selections</w:t>
            </w:r>
          </w:p>
        </w:tc>
        <w:tc>
          <w:tcPr>
            <w:tcW w:type="dxa" w:w="397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Import selected students where applicable.</w:t>
            </w:r>
          </w:p>
        </w:tc>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126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FR-INT-09</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Open API</w:t>
            </w:r>
          </w:p>
        </w:tc>
        <w:tc>
          <w:tcPr>
            <w:tcW w:type="dxa" w:w="397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Documented REST API (OpenAPI) with OAuth2 client credentials for approved third parties (e.g. library, LMS).</w:t>
            </w:r>
          </w:p>
        </w:tc>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9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bl>
    <w:p>
      <w:pPr>
        <w:spacing w:after="120"/>
      </w:pPr>
    </w:p>
    <w:p>
      <w:pPr>
        <w:pStyle w:val="Heading1"/>
      </w:pPr>
      <w:bookmarkStart w:id="24" w:name="_TocV11_24"/>
      <w:r>
        <w:rPr>
          <w:rFonts w:ascii="Calibri" w:cs="Calibri" w:eastAsia="Calibri" w:hAnsi="Calibri"/>
        </w:rPr>
        <w:t xml:space="preserve">5. Grading and Regulations Configuration</w:t>
      </w:r>
      <w:bookmarkEnd w:id="24"/>
    </w:p>
    <w:p>
      <w:pPr>
        <w:spacing w:after="300"/>
      </w:pPr>
      <w:r>
        <w:rPr>
          <w:i/>
          <w:rFonts w:ascii="Calibri" w:cs="Calibri" w:eastAsia="Calibri" w:hAnsi="Calibri"/>
          <w:color w:val="595959"/>
          <w:sz w:val="22"/>
          <w:szCs w:val="22"/>
        </w:rPr>
        <w:t xml:space="preserve">Grading, pass marks and progression rules differ between award levels and can be changed by NACTVET or the institution. This section explains how CIMS keeps them as settings rather than fixed in the software, with examples.</w:t>
      </w:r>
    </w:p>
    <w:p>
      <w:pPr>
        <w:spacing w:after="120" w:line="276"/>
        <w:jc w:val="both"/>
      </w:pPr>
      <w:r>
        <w:rPr>
          <w:rFonts w:ascii="Calibri" w:cs="Calibri" w:eastAsia="Calibri" w:hAnsi="Calibri"/>
        </w:rPr>
        <w:t xml:space="preserve">Grading and progression rules differ by award level and may be revised by NACTVET or the institution. CIMS therefore stores them as versioned configuration rather than code. The tables below show an indicative configuration as used in published NACTVET-aligned institutional regulations; each institution confirms its own values during inception.</w:t>
      </w:r>
    </w:p>
    <w:p>
      <w:pPr>
        <w:pStyle w:val="Heading3"/>
      </w:pPr>
      <w:r>
        <w:rPr>
          <w:rFonts w:ascii="Calibri" w:cs="Calibri" w:eastAsia="Calibri" w:hAnsi="Calibri"/>
        </w:rPr>
        <w:t xml:space="preserve">Example: NTA Levels 4–5 grading scale</w:t>
      </w:r>
    </w:p>
    <w:p>
      <w:pPr>
        <w:spacing w:after="300"/>
      </w:pPr>
      <w:r>
        <w:rPr>
          <w:i/>
          <w:rFonts w:ascii="Calibri" w:cs="Calibri" w:eastAsia="Calibri" w:hAnsi="Calibri"/>
          <w:color w:val="595959"/>
          <w:sz w:val="22"/>
          <w:szCs w:val="22"/>
        </w:rPr>
        <w:t xml:space="preserve">This example shows how marks convert to grades and grade points for NTA Levels 4 and 5. Institutions confirm their own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1805"/>
        <w:gridCol w:w="2256"/>
        <w:gridCol w:w="2258"/>
      </w:tblGrid>
      <w:tr>
        <w:trPr>
          <w:tblHeader/>
        </w:trPr>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Marks</w:t>
            </w:r>
          </w:p>
        </w:tc>
        <w:tc>
          <w:tcPr>
            <w:tcW w:type="dxa" w:w="180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Grade</w:t>
            </w:r>
          </w:p>
        </w:tc>
        <w:tc>
          <w:tcPr>
            <w:tcW w:type="dxa" w:w="225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Grade points</w:t>
            </w:r>
          </w:p>
        </w:tc>
        <w:tc>
          <w:tcPr>
            <w:tcW w:type="dxa" w:w="225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Remark</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80–100</w:t>
            </w:r>
          </w:p>
        </w:tc>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w:t>
            </w:r>
          </w:p>
        </w:tc>
        <w:tc>
          <w:tcPr>
            <w:tcW w:type="dxa" w:w="2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4</w:t>
            </w:r>
          </w:p>
        </w:tc>
        <w:tc>
          <w:tcPr>
            <w:tcW w:type="dxa" w:w="225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Excellent</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65–79</w:t>
            </w:r>
          </w:p>
        </w:tc>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w:t>
            </w:r>
          </w:p>
        </w:tc>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w:t>
            </w:r>
          </w:p>
        </w:tc>
        <w:tc>
          <w:tcPr>
            <w:tcW w:type="dxa" w:w="225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Good</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50–64</w:t>
            </w:r>
          </w:p>
        </w:tc>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w:t>
            </w:r>
          </w:p>
        </w:tc>
        <w:tc>
          <w:tcPr>
            <w:tcW w:type="dxa" w:w="2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2</w:t>
            </w:r>
          </w:p>
        </w:tc>
        <w:tc>
          <w:tcPr>
            <w:tcW w:type="dxa" w:w="225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Average</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40–49</w:t>
            </w:r>
          </w:p>
        </w:tc>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w:t>
            </w:r>
          </w:p>
        </w:tc>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1</w:t>
            </w:r>
          </w:p>
        </w:tc>
        <w:tc>
          <w:tcPr>
            <w:tcW w:type="dxa" w:w="225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Poor</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0–39</w:t>
            </w:r>
          </w:p>
        </w:tc>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w:t>
            </w:r>
          </w:p>
        </w:tc>
        <w:tc>
          <w:tcPr>
            <w:tcW w:type="dxa" w:w="2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w:t>
            </w:r>
          </w:p>
        </w:tc>
        <w:tc>
          <w:tcPr>
            <w:tcW w:type="dxa" w:w="225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Failure</w:t>
            </w:r>
          </w:p>
        </w:tc>
      </w:tr>
    </w:tbl>
    <w:p>
      <w:pPr>
        <w:spacing w:after="120"/>
      </w:pPr>
    </w:p>
    <w:p>
      <w:pPr>
        <w:pStyle w:val="Heading3"/>
      </w:pPr>
      <w:r>
        <w:rPr>
          <w:rFonts w:ascii="Calibri" w:cs="Calibri" w:eastAsia="Calibri" w:hAnsi="Calibri"/>
        </w:rPr>
        <w:t xml:space="preserve">Example: NTA Level 6 grading scale</w:t>
      </w:r>
    </w:p>
    <w:p>
      <w:pPr>
        <w:spacing w:after="300"/>
      </w:pPr>
      <w:r>
        <w:rPr>
          <w:i/>
          <w:rFonts w:ascii="Calibri" w:cs="Calibri" w:eastAsia="Calibri" w:hAnsi="Calibri"/>
          <w:color w:val="595959"/>
          <w:sz w:val="22"/>
          <w:szCs w:val="22"/>
        </w:rPr>
        <w:t xml:space="preserve">This example shows the grading scale for NTA Level 6, which uses five grade points and a B+ grade.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1805"/>
        <w:gridCol w:w="2256"/>
        <w:gridCol w:w="2258"/>
      </w:tblGrid>
      <w:tr>
        <w:trPr>
          <w:tblHeader/>
        </w:trPr>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Marks</w:t>
            </w:r>
          </w:p>
        </w:tc>
        <w:tc>
          <w:tcPr>
            <w:tcW w:type="dxa" w:w="180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Grade</w:t>
            </w:r>
          </w:p>
        </w:tc>
        <w:tc>
          <w:tcPr>
            <w:tcW w:type="dxa" w:w="225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Grade points</w:t>
            </w:r>
          </w:p>
        </w:tc>
        <w:tc>
          <w:tcPr>
            <w:tcW w:type="dxa" w:w="225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Remark</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75–100</w:t>
            </w:r>
          </w:p>
        </w:tc>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w:t>
            </w:r>
          </w:p>
        </w:tc>
        <w:tc>
          <w:tcPr>
            <w:tcW w:type="dxa" w:w="2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5</w:t>
            </w:r>
          </w:p>
        </w:tc>
        <w:tc>
          <w:tcPr>
            <w:tcW w:type="dxa" w:w="225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Excellent</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70–74</w:t>
            </w:r>
          </w:p>
        </w:tc>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w:t>
            </w:r>
          </w:p>
        </w:tc>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4</w:t>
            </w:r>
          </w:p>
        </w:tc>
        <w:tc>
          <w:tcPr>
            <w:tcW w:type="dxa" w:w="225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Very good</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65–69</w:t>
            </w:r>
          </w:p>
        </w:tc>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w:t>
            </w:r>
          </w:p>
        </w:tc>
        <w:tc>
          <w:tcPr>
            <w:tcW w:type="dxa" w:w="2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w:t>
            </w:r>
          </w:p>
        </w:tc>
        <w:tc>
          <w:tcPr>
            <w:tcW w:type="dxa" w:w="225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Good</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50–64</w:t>
            </w:r>
          </w:p>
        </w:tc>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w:t>
            </w:r>
          </w:p>
        </w:tc>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2</w:t>
            </w:r>
          </w:p>
        </w:tc>
        <w:tc>
          <w:tcPr>
            <w:tcW w:type="dxa" w:w="225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Average</w:t>
            </w:r>
          </w:p>
        </w:tc>
      </w:tr>
      <w:tr>
        <w:trPr>
          <w:cantSplit/>
        </w:trPr>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40–49</w:t>
            </w:r>
          </w:p>
        </w:tc>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w:t>
            </w:r>
          </w:p>
        </w:tc>
        <w:tc>
          <w:tcPr>
            <w:tcW w:type="dxa" w:w="225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1</w:t>
            </w:r>
          </w:p>
        </w:tc>
        <w:tc>
          <w:tcPr>
            <w:tcW w:type="dxa" w:w="225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Poor</w:t>
            </w:r>
          </w:p>
        </w:tc>
      </w:tr>
      <w:tr>
        <w:trPr>
          <w:cantSplit/>
        </w:trPr>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0–39</w:t>
            </w:r>
          </w:p>
        </w:tc>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w:t>
            </w:r>
          </w:p>
        </w:tc>
        <w:tc>
          <w:tcPr>
            <w:tcW w:type="dxa" w:w="225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w:t>
            </w:r>
          </w:p>
        </w:tc>
        <w:tc>
          <w:tcPr>
            <w:tcW w:type="dxa" w:w="225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Failure</w:t>
            </w:r>
          </w:p>
        </w:tc>
      </w:tr>
    </w:tbl>
    <w:p>
      <w:pPr>
        <w:spacing w:after="120"/>
      </w:pPr>
    </w:p>
    <w:p>
      <w:pPr>
        <w:pStyle w:val="Heading3"/>
      </w:pPr>
      <w:r>
        <w:rPr>
          <w:rFonts w:ascii="Calibri" w:cs="Calibri" w:eastAsia="Calibri" w:hAnsi="Calibri"/>
        </w:rPr>
        <w:t xml:space="preserve">Example: award classification</w:t>
      </w:r>
    </w:p>
    <w:p>
      <w:pPr>
        <w:spacing w:after="300"/>
      </w:pPr>
      <w:r>
        <w:rPr>
          <w:i/>
          <w:rFonts w:ascii="Calibri" w:cs="Calibri" w:eastAsia="Calibri" w:hAnsi="Calibri"/>
          <w:color w:val="595959"/>
          <w:sz w:val="22"/>
          <w:szCs w:val="22"/>
        </w:rPr>
        <w:t xml:space="preserve">This example shows how a final grade point average (GPA) translates into the class of award printed on the certificate.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8"/>
        <w:gridCol w:w="2978"/>
        <w:gridCol w:w="2980"/>
      </w:tblGrid>
      <w:tr>
        <w:trPr>
          <w:tblHeader/>
        </w:trPr>
        <w:tc>
          <w:tcPr>
            <w:tcW w:type="dxa" w:w="306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Class</w:t>
            </w:r>
          </w:p>
        </w:tc>
        <w:tc>
          <w:tcPr>
            <w:tcW w:type="dxa" w:w="297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NTA 4–5 GPA</w:t>
            </w:r>
          </w:p>
        </w:tc>
        <w:tc>
          <w:tcPr>
            <w:tcW w:type="dxa" w:w="298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NTA 6 GPA</w:t>
            </w:r>
          </w:p>
        </w:tc>
      </w:tr>
      <w:tr>
        <w:trPr>
          <w:cantSplit/>
        </w:trPr>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First Class</w:t>
            </w:r>
          </w:p>
        </w:tc>
        <w:tc>
          <w:tcPr>
            <w:tcW w:type="dxa" w:w="297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3.5–4.0</w:t>
            </w:r>
          </w:p>
        </w:tc>
        <w:tc>
          <w:tcPr>
            <w:tcW w:type="dxa" w:w="29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4.4–5.0</w:t>
            </w:r>
          </w:p>
        </w:tc>
      </w:tr>
      <w:tr>
        <w:trPr>
          <w:cantSplit/>
        </w:trPr>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Upper Second Class</w:t>
            </w:r>
          </w:p>
        </w:tc>
        <w:tc>
          <w:tcPr>
            <w:tcW w:type="dxa" w:w="297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w:t>
            </w:r>
          </w:p>
        </w:tc>
        <w:tc>
          <w:tcPr>
            <w:tcW w:type="dxa" w:w="298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3.5–4.3</w:t>
            </w:r>
          </w:p>
        </w:tc>
      </w:tr>
      <w:tr>
        <w:trPr>
          <w:cantSplit/>
        </w:trPr>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Second Class / Lower Second</w:t>
            </w:r>
          </w:p>
        </w:tc>
        <w:tc>
          <w:tcPr>
            <w:tcW w:type="dxa" w:w="297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3.0–3.4</w:t>
            </w:r>
          </w:p>
        </w:tc>
        <w:tc>
          <w:tcPr>
            <w:tcW w:type="dxa" w:w="29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2.7–3.4</w:t>
            </w:r>
          </w:p>
        </w:tc>
      </w:tr>
      <w:tr>
        <w:trPr>
          <w:cantSplit/>
        </w:trPr>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Pass</w:t>
            </w:r>
          </w:p>
        </w:tc>
        <w:tc>
          <w:tcPr>
            <w:tcW w:type="dxa" w:w="297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2.0–2.9</w:t>
            </w:r>
          </w:p>
        </w:tc>
        <w:tc>
          <w:tcPr>
            <w:tcW w:type="dxa" w:w="298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2.0–2.6</w:t>
            </w:r>
          </w:p>
        </w:tc>
      </w:tr>
    </w:tbl>
    <w:p>
      <w:pPr>
        <w:spacing w:after="120"/>
      </w:pPr>
    </w:p>
    <w:p>
      <w:pPr>
        <w:pStyle w:val="Heading3"/>
      </w:pPr>
      <w:r>
        <w:rPr>
          <w:rFonts w:ascii="Calibri" w:cs="Calibri" w:eastAsia="Calibri" w:hAnsi="Calibri"/>
        </w:rPr>
        <w:t xml:space="preserve">Other configurable regulation parameters</w:t>
      </w:r>
    </w:p>
    <w:p>
      <w:pPr>
        <w:spacing w:after="300"/>
      </w:pPr>
      <w:r>
        <w:rPr>
          <w:i/>
          <w:rFonts w:ascii="Calibri" w:cs="Calibri" w:eastAsia="Calibri" w:hAnsi="Calibri"/>
          <w:color w:val="595959"/>
          <w:sz w:val="22"/>
          <w:szCs w:val="22"/>
        </w:rPr>
        <w:t xml:space="preserve">Beyond the grading scale, other rules can also be set per institution and award level, such as attendance limits and supplementary examination rules. They are listed here.</w:t>
      </w:r>
    </w:p>
    <w:p>
      <w:pPr>
        <w:pStyle w:val="ListParagraph"/>
        <w:numPr>
          <w:ilvl w:val="0"/>
          <w:numId w:val="2"/>
        </w:numPr>
        <w:spacing w:after="60" w:line="264"/>
      </w:pPr>
      <w:r>
        <w:rPr>
          <w:rFonts w:ascii="Calibri" w:cs="Calibri" w:eastAsia="Calibri" w:hAnsi="Calibri"/>
        </w:rPr>
        <w:t xml:space="preserve">CA/SE weights (e.g. 40/60) and component pass marks (e.g. CA ≥ 20/40 and SE ≥ 30/60).</w:t>
      </w:r>
    </w:p>
    <w:p>
      <w:pPr>
        <w:pStyle w:val="ListParagraph"/>
        <w:numPr>
          <w:ilvl w:val="0"/>
          <w:numId w:val="2"/>
        </w:numPr>
        <w:spacing w:after="60" w:line="264"/>
      </w:pPr>
      <w:r>
        <w:rPr>
          <w:rFonts w:ascii="Calibri" w:cs="Calibri" w:eastAsia="Calibri" w:hAnsi="Calibri"/>
        </w:rPr>
        <w:t xml:space="preserve">Minimum attendance for examination eligibility (e.g. 75%).</w:t>
      </w:r>
    </w:p>
    <w:p>
      <w:pPr>
        <w:pStyle w:val="ListParagraph"/>
        <w:numPr>
          <w:ilvl w:val="0"/>
          <w:numId w:val="2"/>
        </w:numPr>
        <w:spacing w:after="60" w:line="264"/>
      </w:pPr>
      <w:r>
        <w:rPr>
          <w:rFonts w:ascii="Calibri" w:cs="Calibri" w:eastAsia="Calibri" w:hAnsi="Calibri"/>
        </w:rPr>
        <w:t xml:space="preserve">Supplementary eligibility (e.g. failed fewer than 50% of modules) and maximum grade after supplementary or carry-over (e.g. C).</w:t>
      </w:r>
    </w:p>
    <w:p>
      <w:pPr>
        <w:pStyle w:val="ListParagraph"/>
        <w:numPr>
          <w:ilvl w:val="0"/>
          <w:numId w:val="2"/>
        </w:numPr>
        <w:spacing w:after="60" w:line="264"/>
      </w:pPr>
      <w:r>
        <w:rPr>
          <w:rFonts w:ascii="Calibri" w:cs="Calibri" w:eastAsia="Calibri" w:hAnsi="Calibri"/>
        </w:rPr>
        <w:t xml:space="preserve">Discontinuation thresholds (e.g. annual GPA below 2.0) and repeat-year conditions.</w:t>
      </w:r>
    </w:p>
    <w:p>
      <w:pPr>
        <w:pStyle w:val="ListParagraph"/>
        <w:numPr>
          <w:ilvl w:val="0"/>
          <w:numId w:val="2"/>
        </w:numPr>
        <w:spacing w:after="60" w:line="264"/>
      </w:pPr>
      <w:r>
        <w:rPr>
          <w:rFonts w:ascii="Calibri" w:cs="Calibri" w:eastAsia="Calibri" w:hAnsi="Calibri"/>
        </w:rPr>
        <w:t xml:space="preserve">NVA competence rules: units required, evidence types, competent/not-yet-competent outcomes, re-assessment limits.</w:t>
      </w:r>
    </w:p>
    <w:p>
      <w:pPr>
        <w:pStyle w:val="ListParagraph"/>
        <w:numPr>
          <w:ilvl w:val="0"/>
          <w:numId w:val="2"/>
        </w:numPr>
        <w:spacing w:after="60" w:line="264"/>
      </w:pPr>
      <w:r>
        <w:rPr>
          <w:rFonts w:ascii="Calibri" w:cs="Calibri" w:eastAsia="Calibri" w:hAnsi="Calibri"/>
        </w:rPr>
        <w:t xml:space="preserve">Rounding rules and the number of decimal places for GPA.</w:t>
      </w:r>
    </w:p>
    <w:p>
      <w:pPr>
        <w:pStyle w:val="Heading1"/>
      </w:pPr>
      <w:bookmarkStart w:id="25" w:name="_TocV11_25"/>
      <w:r>
        <w:rPr>
          <w:rFonts w:ascii="Calibri" w:cs="Calibri" w:eastAsia="Calibri" w:hAnsi="Calibri"/>
        </w:rPr>
        <w:t xml:space="preserve">6. Key Use Cases</w:t>
      </w:r>
      <w:bookmarkEnd w:id="25"/>
    </w:p>
    <w:p>
      <w:pPr>
        <w:spacing w:after="300"/>
      </w:pPr>
      <w:r>
        <w:rPr>
          <w:i/>
          <w:rFonts w:ascii="Calibri" w:cs="Calibri" w:eastAsia="Calibri" w:hAnsi="Calibri"/>
          <w:color w:val="595959"/>
          <w:sz w:val="22"/>
          <w:szCs w:val="22"/>
        </w:rPr>
        <w:t xml:space="preserve">A use case describes, from the user's point of view, one task the system supports from start to finish. This section lists the key use cases with the person who performs each and the outcome expected.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1805"/>
        <w:gridCol w:w="1624"/>
        <w:gridCol w:w="4875"/>
      </w:tblGrid>
      <w:tr>
        <w:trPr>
          <w:tblHeader/>
        </w:trPr>
        <w:tc>
          <w:tcPr>
            <w:tcW w:type="dxa" w:w="72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180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Use case</w:t>
            </w:r>
          </w:p>
        </w:tc>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Primary actor</w:t>
            </w:r>
          </w:p>
        </w:tc>
        <w:tc>
          <w:tcPr>
            <w:tcW w:type="dxa" w:w="487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Main success outcome</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UC-01</w:t>
            </w:r>
          </w:p>
        </w:tc>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Register applicant account</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Applicant</w:t>
            </w:r>
          </w:p>
        </w:tc>
        <w:tc>
          <w:tcPr>
            <w:tcW w:type="dxa" w:w="487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Account created and verified by SMS OTP.</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UC-02</w:t>
            </w:r>
          </w:p>
        </w:tc>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Submit application</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Applicant</w:t>
            </w:r>
          </w:p>
        </w:tc>
        <w:tc>
          <w:tcPr>
            <w:tcW w:type="dxa" w:w="487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Results verified from NECTA/AVN, fee paid via GePG, eligible choices submitted; reference number issued.</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UC-03</w:t>
            </w:r>
          </w:p>
        </w:tc>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Configure admission window</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Admissions Officer</w:t>
            </w:r>
          </w:p>
        </w:tc>
        <w:tc>
          <w:tcPr>
            <w:tcW w:type="dxa" w:w="487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Window, programmes, capacity, fees and entry rules published.</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UC-04</w:t>
            </w:r>
          </w:p>
        </w:tc>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Run selection</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Admissions Officer</w:t>
            </w:r>
          </w:p>
        </w:tc>
        <w:tc>
          <w:tcPr>
            <w:tcW w:type="dxa" w:w="487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Ranked list within capacity approved by Admissions Committee.</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UC-05</w:t>
            </w:r>
          </w:p>
        </w:tc>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Submit for NACTVET verification</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Admissions Officer</w:t>
            </w:r>
          </w:p>
        </w:tc>
        <w:tc>
          <w:tcPr>
            <w:tcW w:type="dxa" w:w="487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Selected applicants submitted; outcomes and confirmation codes recorded.</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UC-06</w:t>
            </w:r>
          </w:p>
        </w:tc>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Accept offer</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Applicant</w:t>
            </w:r>
          </w:p>
        </w:tc>
        <w:tc>
          <w:tcPr>
            <w:tcW w:type="dxa" w:w="487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Offer accepted (and confirmed where multiple admission); admission letter downloaded.</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UC-07</w:t>
            </w:r>
          </w:p>
        </w:tc>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Register for semester</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Student / Registry</w:t>
            </w:r>
          </w:p>
        </w:tc>
        <w:tc>
          <w:tcPr>
            <w:tcW w:type="dxa" w:w="487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Registration approved after clearance; student on class lists.</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UC-08</w:t>
            </w:r>
          </w:p>
        </w:tc>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Pay fees</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Student</w:t>
            </w:r>
          </w:p>
        </w:tc>
        <w:tc>
          <w:tcPr>
            <w:tcW w:type="dxa" w:w="487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Control number issued, payment notified by GePG, receipt issued, balance updated.</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UC-09</w:t>
            </w:r>
          </w:p>
        </w:tc>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Allocate modules</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Head of Department</w:t>
            </w:r>
          </w:p>
        </w:tc>
        <w:tc>
          <w:tcPr>
            <w:tcW w:type="dxa" w:w="487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Lecturers assigned; class lists available.</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UC-10</w:t>
            </w:r>
          </w:p>
        </w:tc>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Record attendance</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Lecturer</w:t>
            </w:r>
          </w:p>
        </w:tc>
        <w:tc>
          <w:tcPr>
            <w:tcW w:type="dxa" w:w="487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Attendance saved; eligibility updated.</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UC-11</w:t>
            </w:r>
          </w:p>
        </w:tc>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Enter marks</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Lecturer</w:t>
            </w:r>
          </w:p>
        </w:tc>
        <w:tc>
          <w:tcPr>
            <w:tcW w:type="dxa" w:w="487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CA/SE marks submitted for moderation.</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UC-12</w:t>
            </w:r>
          </w:p>
        </w:tc>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Approve results</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HoD → Boards</w:t>
            </w:r>
          </w:p>
        </w:tc>
        <w:tc>
          <w:tcPr>
            <w:tcW w:type="dxa" w:w="487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Results approved at each stage and locked.</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UC-13</w:t>
            </w:r>
          </w:p>
        </w:tc>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Publish results</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Examinations Officer</w:t>
            </w:r>
          </w:p>
        </w:tc>
        <w:tc>
          <w:tcPr>
            <w:tcW w:type="dxa" w:w="487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Results visible to students; SMS sent; NACTVET file generated.</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UC-14</w:t>
            </w:r>
          </w:p>
        </w:tc>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Record NVA competence</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Assessor</w:t>
            </w:r>
          </w:p>
        </w:tc>
        <w:tc>
          <w:tcPr>
            <w:tcW w:type="dxa" w:w="487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Unit outcomes recorded with evidence.</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UC-15</w:t>
            </w:r>
          </w:p>
        </w:tc>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Apply for supplementary/remark</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Student</w:t>
            </w:r>
          </w:p>
        </w:tc>
        <w:tc>
          <w:tcPr>
            <w:tcW w:type="dxa" w:w="487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Application and fee recorded; outcome returned.</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UC-16</w:t>
            </w:r>
          </w:p>
        </w:tc>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Allocate hostel</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Hostel Warden</w:t>
            </w:r>
          </w:p>
        </w:tc>
        <w:tc>
          <w:tcPr>
            <w:tcW w:type="dxa" w:w="487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Bed allocated, fee invoiced, student notified.</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UC-17</w:t>
            </w:r>
          </w:p>
        </w:tc>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Change student status</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Registry</w:t>
            </w:r>
          </w:p>
        </w:tc>
        <w:tc>
          <w:tcPr>
            <w:tcW w:type="dxa" w:w="487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Status changed with approval and history.</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UC-18</w:t>
            </w:r>
          </w:p>
        </w:tc>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Complete clearance</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Student / Clearance officers</w:t>
            </w:r>
          </w:p>
        </w:tc>
        <w:tc>
          <w:tcPr>
            <w:tcW w:type="dxa" w:w="487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All offices clear; student eligible for graduation.</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UC-19</w:t>
            </w:r>
          </w:p>
        </w:tc>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Verify document</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Third party</w:t>
            </w:r>
          </w:p>
        </w:tc>
        <w:tc>
          <w:tcPr>
            <w:tcW w:type="dxa" w:w="487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Authenticity confirmed by QR or verification number.</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UC-20</w:t>
            </w:r>
          </w:p>
        </w:tc>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Onboard institution</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Platform Administrator</w:t>
            </w:r>
          </w:p>
        </w:tc>
        <w:tc>
          <w:tcPr>
            <w:tcW w:type="dxa" w:w="487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Tenant created, branded and ready for configuration.</w:t>
            </w:r>
          </w:p>
        </w:tc>
      </w:tr>
    </w:tbl>
    <w:p>
      <w:pPr>
        <w:spacing w:after="120"/>
      </w:pPr>
    </w:p>
    <w:p>
      <w:pPr>
        <w:pStyle w:val="Heading3"/>
      </w:pPr>
      <w:r>
        <w:rPr>
          <w:rFonts w:ascii="Calibri" w:cs="Calibri" w:eastAsia="Calibri" w:hAnsi="Calibri"/>
        </w:rPr>
        <w:t xml:space="preserve">Use case detail example — UC-02 Submit application</w:t>
      </w:r>
    </w:p>
    <w:p>
      <w:pPr>
        <w:spacing w:after="300"/>
      </w:pPr>
      <w:r>
        <w:rPr>
          <w:i/>
          <w:rFonts w:ascii="Calibri" w:cs="Calibri" w:eastAsia="Calibri" w:hAnsi="Calibri"/>
          <w:color w:val="595959"/>
          <w:sz w:val="22"/>
          <w:szCs w:val="22"/>
        </w:rPr>
        <w:t xml:space="preserve">This example sets out one use case in full: conditions before it starts, the steps, alternative paths and the result, as a model for how every use case is tested.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Preconditions</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Admission window is open; applicant account is verified.</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Main flow</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1. Applicant enters NECTA index number(s) and/or AVN. 2. System retrieves and displays results. 3. Applicant confirms personal details and uploads documents. 4. System generates control number for application fee. 5. Applicant pays via bank or mobile money. 6. GePG notifies payment; system unlocks programme selection. 7. Applicant selects choices; system shows eligibility per choice. 8. Applicant submits; system issues reference number and sends SMS.</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Alternative flows</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NECTA service unavailable → applicant may continue; results fetched later in background. Results mismatch → flagged for officer review. Payment not received in 72 hours → reminder; control number expires and can be regenerated.</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Postconditions</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Application status = Submitted; audit record created.</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Requirements</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FR-ADM-02, 05, 06, 07, 08, 09; BRU-01, BRU-02.</w:t>
            </w:r>
          </w:p>
        </w:tc>
      </w:tr>
    </w:tbl>
    <w:p>
      <w:pPr>
        <w:spacing w:after="120"/>
      </w:pPr>
    </w:p>
    <w:p>
      <w:pPr>
        <w:pStyle w:val="Heading1"/>
      </w:pPr>
      <w:bookmarkStart w:id="26" w:name="_TocV11_26"/>
      <w:r>
        <w:rPr>
          <w:rFonts w:ascii="Calibri" w:cs="Calibri" w:eastAsia="Calibri" w:hAnsi="Calibri"/>
        </w:rPr>
        <w:t xml:space="preserve">7. Standard Report Catalogue</w:t>
      </w:r>
      <w:bookmarkEnd w:id="26"/>
    </w:p>
    <w:p>
      <w:pPr>
        <w:spacing w:after="300"/>
      </w:pPr>
      <w:r>
        <w:rPr>
          <w:i/>
          <w:rFonts w:ascii="Calibri" w:cs="Calibri" w:eastAsia="Calibri" w:hAnsi="Calibri"/>
          <w:color w:val="595959"/>
          <w:sz w:val="22"/>
          <w:szCs w:val="22"/>
        </w:rPr>
        <w:t xml:space="preserve">This section lists the standard reports the system must produce for each office, so that each office can confirm that the information it needs will be available.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4"/>
        <w:gridCol w:w="4693"/>
        <w:gridCol w:w="2709"/>
      </w:tblGrid>
      <w:tr>
        <w:trPr>
          <w:tblHeader/>
        </w:trPr>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Area</w:t>
            </w:r>
          </w:p>
        </w:tc>
        <w:tc>
          <w:tcPr>
            <w:tcW w:type="dxa" w:w="469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Reports</w:t>
            </w:r>
          </w:p>
        </w:tc>
        <w:tc>
          <w:tcPr>
            <w:tcW w:type="dxa" w:w="270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Primary users</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Admissions</w:t>
            </w:r>
          </w:p>
        </w:tc>
        <w:tc>
          <w:tcPr>
            <w:tcW w:type="dxa" w:w="469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Applications by programme/gender/region; eligibility summary; selection list; NACTVET verification status; admission letters issued; acceptance rate.</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Admissions, Management</w:t>
            </w:r>
          </w:p>
        </w:tc>
      </w:tr>
      <w:tr>
        <w:trPr>
          <w:cantSplit/>
        </w:trPr>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Registry</w:t>
            </w:r>
          </w:p>
        </w:tc>
        <w:tc>
          <w:tcPr>
            <w:tcW w:type="dxa" w:w="469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Enrolment by programme/level/year/gender; nominal roll; status changes; NACTVET registration status; age and region profile.</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Registry, Management</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Academic</w:t>
            </w:r>
          </w:p>
        </w:tc>
        <w:tc>
          <w:tcPr>
            <w:tcW w:type="dxa" w:w="469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Class lists; attendance summary; eligibility lists; module results; programme results summary; GPA distribution; supplementary and carry-over lists; discontinued list; NACTVET results file.</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Departments, Exams</w:t>
            </w:r>
          </w:p>
        </w:tc>
      </w:tr>
      <w:tr>
        <w:trPr>
          <w:cantSplit/>
        </w:trPr>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Finance</w:t>
            </w:r>
          </w:p>
        </w:tc>
        <w:tc>
          <w:tcPr>
            <w:tcW w:type="dxa" w:w="469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Collections by date/fee item/channel; debtor list and ageing; sponsor statements; reconciliation exceptions; waivers and refunds register; revenue forecast vs actual.</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Finance, Management, Auditors</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Hostel</w:t>
            </w:r>
          </w:p>
        </w:tc>
        <w:tc>
          <w:tcPr>
            <w:tcW w:type="dxa" w:w="469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Occupancy by hostel/gender; allocation list; unpaid allocations; damages register.</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Hostel, Finance</w:t>
            </w:r>
          </w:p>
        </w:tc>
      </w:tr>
      <w:tr>
        <w:trPr>
          <w:cantSplit/>
        </w:trPr>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Graduation</w:t>
            </w:r>
          </w:p>
        </w:tc>
        <w:tc>
          <w:tcPr>
            <w:tcW w:type="dxa" w:w="469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Graduand list; award classification summary; transcripts issued; clearance status.</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Registry, Management</w:t>
            </w:r>
          </w:p>
        </w:tc>
      </w:tr>
      <w:tr>
        <w:trPr>
          <w:cantSplit/>
        </w:trPr>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Governance</w:t>
            </w:r>
          </w:p>
        </w:tc>
        <w:tc>
          <w:tcPr>
            <w:tcW w:type="dxa" w:w="469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User access review; audit log extracts; data subject requests log.</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ICT, Auditors</w:t>
            </w:r>
          </w:p>
        </w:tc>
      </w:tr>
    </w:tbl>
    <w:p>
      <w:pPr>
        <w:spacing w:after="120"/>
      </w:pPr>
    </w:p>
    <w:p>
      <w:pPr>
        <w:pStyle w:val="Heading1"/>
      </w:pPr>
      <w:bookmarkStart w:id="27" w:name="_TocV11_27"/>
      <w:r>
        <w:rPr>
          <w:rFonts w:ascii="Calibri" w:cs="Calibri" w:eastAsia="Calibri" w:hAnsi="Calibri"/>
        </w:rPr>
        <w:t xml:space="preserve">8. Non-Functional Requirements</w:t>
      </w:r>
      <w:bookmarkEnd w:id="27"/>
    </w:p>
    <w:p>
      <w:pPr>
        <w:spacing w:after="300"/>
      </w:pPr>
      <w:r>
        <w:rPr>
          <w:i/>
          <w:rFonts w:ascii="Calibri" w:cs="Calibri" w:eastAsia="Calibri" w:hAnsi="Calibri"/>
          <w:color w:val="595959"/>
          <w:sz w:val="22"/>
          <w:szCs w:val="22"/>
        </w:rPr>
        <w:t xml:space="preserve">Non-functional requirements describe how well the system must work rather than what it does: speed, availability, security, privacy, usability and ease of operation. They are as important to acceptance as the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3"/>
        <w:gridCol w:w="1444"/>
        <w:gridCol w:w="6409"/>
      </w:tblGrid>
      <w:tr>
        <w:trPr>
          <w:tblHeader/>
        </w:trPr>
        <w:tc>
          <w:tcPr>
            <w:tcW w:type="dxa" w:w="117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144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Area</w:t>
            </w:r>
          </w:p>
        </w:tc>
        <w:tc>
          <w:tcPr>
            <w:tcW w:type="dxa" w:w="640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Requirement</w:t>
            </w:r>
          </w:p>
        </w:tc>
      </w:tr>
      <w:tr>
        <w:trPr>
          <w:cantSplit/>
        </w:trPr>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NFR-PER-01</w:t>
            </w:r>
          </w:p>
        </w:tc>
        <w:tc>
          <w:tcPr>
            <w:tcW w:type="dxa" w:w="14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Performance</w:t>
            </w:r>
          </w:p>
        </w:tc>
        <w:tc>
          <w:tcPr>
            <w:tcW w:type="dxa" w:w="64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95% of staff and portal pages respond within 2 seconds and 99% within 4 seconds at normal load.</w:t>
            </w:r>
          </w:p>
        </w:tc>
      </w:tr>
      <w:tr>
        <w:trPr>
          <w:cantSplit/>
        </w:trPr>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NFR-PER-02</w:t>
            </w:r>
          </w:p>
        </w:tc>
        <w:tc>
          <w:tcPr>
            <w:tcW w:type="dxa" w:w="144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Peak load</w:t>
            </w:r>
          </w:p>
        </w:tc>
        <w:tc>
          <w:tcPr>
            <w:tcW w:type="dxa" w:w="64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Support at least 2,000 concurrent users per large institution and 10,000 across the shared platform during application deadlines and results publication, without degradation beyond NFR-PER-01 limits by more than 50%.</w:t>
            </w:r>
          </w:p>
        </w:tc>
      </w:tr>
      <w:tr>
        <w:trPr>
          <w:cantSplit/>
        </w:trPr>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NFR-PER-03</w:t>
            </w:r>
          </w:p>
        </w:tc>
        <w:tc>
          <w:tcPr>
            <w:tcW w:type="dxa" w:w="14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Batch</w:t>
            </w:r>
          </w:p>
        </w:tc>
        <w:tc>
          <w:tcPr>
            <w:tcW w:type="dxa" w:w="64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Generate invoices for 5,000 students in under 10 minutes; compute GPA for 5,000 students in under 5 minutes.</w:t>
            </w:r>
          </w:p>
        </w:tc>
      </w:tr>
      <w:tr>
        <w:trPr>
          <w:cantSplit/>
        </w:trPr>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NFR-AVL-01</w:t>
            </w:r>
          </w:p>
        </w:tc>
        <w:tc>
          <w:tcPr>
            <w:tcW w:type="dxa" w:w="144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Availability</w:t>
            </w:r>
          </w:p>
        </w:tc>
        <w:tc>
          <w:tcPr>
            <w:tcW w:type="dxa" w:w="64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Cloud service: 99.5% monthly availability, excluding announced maintenance outside 07:00–22:00 EAT.</w:t>
            </w:r>
          </w:p>
        </w:tc>
      </w:tr>
      <w:tr>
        <w:trPr>
          <w:cantSplit/>
        </w:trPr>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NFR-AVL-02</w:t>
            </w:r>
          </w:p>
        </w:tc>
        <w:tc>
          <w:tcPr>
            <w:tcW w:type="dxa" w:w="14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Recovery</w:t>
            </w:r>
          </w:p>
        </w:tc>
        <w:tc>
          <w:tcPr>
            <w:tcW w:type="dxa" w:w="64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Recovery point objective (maximum data loss) 15 minutes; recovery time objective 4 hours.</w:t>
            </w:r>
          </w:p>
        </w:tc>
      </w:tr>
      <w:tr>
        <w:trPr>
          <w:cantSplit/>
        </w:trPr>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NFR-AVL-03</w:t>
            </w:r>
          </w:p>
        </w:tc>
        <w:tc>
          <w:tcPr>
            <w:tcW w:type="dxa" w:w="144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Backups</w:t>
            </w:r>
          </w:p>
        </w:tc>
        <w:tc>
          <w:tcPr>
            <w:tcW w:type="dxa" w:w="64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Encrypted daily full backups kept 35 days, monthly kept 12 months, at a separate location; restoration tested quarterly.</w:t>
            </w:r>
          </w:p>
        </w:tc>
      </w:tr>
      <w:tr>
        <w:trPr>
          <w:cantSplit/>
        </w:trPr>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NFR-SEC-01</w:t>
            </w:r>
          </w:p>
        </w:tc>
        <w:tc>
          <w:tcPr>
            <w:tcW w:type="dxa" w:w="14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Authentication</w:t>
            </w:r>
          </w:p>
        </w:tc>
        <w:tc>
          <w:tcPr>
            <w:tcW w:type="dxa" w:w="64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OpenID Connect single sign-on; password policy (minimum 10 characters, breach-list check); MFA mandatory for privileged roles; account lock-out after repeated failures.</w:t>
            </w:r>
          </w:p>
        </w:tc>
      </w:tr>
      <w:tr>
        <w:trPr>
          <w:cantSplit/>
        </w:trPr>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NFR-SEC-02</w:t>
            </w:r>
          </w:p>
        </w:tc>
        <w:tc>
          <w:tcPr>
            <w:tcW w:type="dxa" w:w="144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Sessions</w:t>
            </w:r>
          </w:p>
        </w:tc>
        <w:tc>
          <w:tcPr>
            <w:tcW w:type="dxa" w:w="64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Idle timeout 15 minutes for staff, 30 minutes for students/applicants.</w:t>
            </w:r>
          </w:p>
        </w:tc>
      </w:tr>
      <w:tr>
        <w:trPr>
          <w:cantSplit/>
        </w:trPr>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NFR-SEC-03</w:t>
            </w:r>
          </w:p>
        </w:tc>
        <w:tc>
          <w:tcPr>
            <w:tcW w:type="dxa" w:w="14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Encryption</w:t>
            </w:r>
          </w:p>
        </w:tc>
        <w:tc>
          <w:tcPr>
            <w:tcW w:type="dxa" w:w="64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TLS 1.2+ for all traffic; encryption at rest for databases, backups and documents; sensitive fields (e.g. NIN) encrypted at application level.</w:t>
            </w:r>
          </w:p>
        </w:tc>
      </w:tr>
      <w:tr>
        <w:trPr>
          <w:cantSplit/>
        </w:trPr>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NFR-SEC-04</w:t>
            </w:r>
          </w:p>
        </w:tc>
        <w:tc>
          <w:tcPr>
            <w:tcW w:type="dxa" w:w="144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Assurance</w:t>
            </w:r>
          </w:p>
        </w:tc>
        <w:tc>
          <w:tcPr>
            <w:tcW w:type="dxa" w:w="64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Meet OWASP ASVS Level 2; independent penetration test before each major release; critical findings fixed before go-live.</w:t>
            </w:r>
          </w:p>
        </w:tc>
      </w:tr>
      <w:tr>
        <w:trPr>
          <w:cantSplit/>
        </w:trPr>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NFR-SEC-05</w:t>
            </w:r>
          </w:p>
        </w:tc>
        <w:tc>
          <w:tcPr>
            <w:tcW w:type="dxa" w:w="14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Isolation</w:t>
            </w:r>
          </w:p>
        </w:tc>
        <w:tc>
          <w:tcPr>
            <w:tcW w:type="dxa" w:w="64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No user or API can read or change another tenant's data; enforced in application and database (row-level security), verified by automated tests.</w:t>
            </w:r>
          </w:p>
        </w:tc>
      </w:tr>
      <w:tr>
        <w:trPr>
          <w:cantSplit/>
        </w:trPr>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NFR-PRV-01</w:t>
            </w:r>
          </w:p>
        </w:tc>
        <w:tc>
          <w:tcPr>
            <w:tcW w:type="dxa" w:w="144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Privacy</w:t>
            </w:r>
          </w:p>
        </w:tc>
        <w:tc>
          <w:tcPr>
            <w:tcW w:type="dxa" w:w="64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Privacy notice and consent at application; data minimisation; configurable retention; data subject request handling; breach notification procedure.</w:t>
            </w:r>
          </w:p>
        </w:tc>
      </w:tr>
      <w:tr>
        <w:trPr>
          <w:cantSplit/>
        </w:trPr>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NFR-USA-01</w:t>
            </w:r>
          </w:p>
        </w:tc>
        <w:tc>
          <w:tcPr>
            <w:tcW w:type="dxa" w:w="14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Usability</w:t>
            </w:r>
          </w:p>
        </w:tc>
        <w:tc>
          <w:tcPr>
            <w:tcW w:type="dxa" w:w="64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Responsive design from 360px phone width; applicant journey completable on a basic smartphone; common tasks in no more than 3 clicks from the dashboard.</w:t>
            </w:r>
          </w:p>
        </w:tc>
      </w:tr>
      <w:tr>
        <w:trPr>
          <w:cantSplit/>
        </w:trPr>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NFR-USA-02</w:t>
            </w:r>
          </w:p>
        </w:tc>
        <w:tc>
          <w:tcPr>
            <w:tcW w:type="dxa" w:w="144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Language</w:t>
            </w:r>
          </w:p>
        </w:tc>
        <w:tc>
          <w:tcPr>
            <w:tcW w:type="dxa" w:w="64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All user-facing text available in English and Kiswahili.</w:t>
            </w:r>
          </w:p>
        </w:tc>
      </w:tr>
      <w:tr>
        <w:trPr>
          <w:cantSplit/>
        </w:trPr>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NFR-USA-03</w:t>
            </w:r>
          </w:p>
        </w:tc>
        <w:tc>
          <w:tcPr>
            <w:tcW w:type="dxa" w:w="14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Accessibility</w:t>
            </w:r>
          </w:p>
        </w:tc>
        <w:tc>
          <w:tcPr>
            <w:tcW w:type="dxa" w:w="64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WCAG 2.1 Level AA for public portals.</w:t>
            </w:r>
          </w:p>
        </w:tc>
      </w:tr>
      <w:tr>
        <w:trPr>
          <w:cantSplit/>
        </w:trPr>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NFR-CMP-01</w:t>
            </w:r>
          </w:p>
        </w:tc>
        <w:tc>
          <w:tcPr>
            <w:tcW w:type="dxa" w:w="144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Compatibility</w:t>
            </w:r>
          </w:p>
        </w:tc>
        <w:tc>
          <w:tcPr>
            <w:tcW w:type="dxa" w:w="64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Latest two versions of Chrome, Edge, Firefox and Safari; Android 9+ browsers.</w:t>
            </w:r>
          </w:p>
        </w:tc>
      </w:tr>
      <w:tr>
        <w:trPr>
          <w:cantSplit/>
        </w:trPr>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NFR-INT-01</w:t>
            </w:r>
          </w:p>
        </w:tc>
        <w:tc>
          <w:tcPr>
            <w:tcW w:type="dxa" w:w="14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Interoperability</w:t>
            </w:r>
          </w:p>
        </w:tc>
        <w:tc>
          <w:tcPr>
            <w:tcW w:type="dxa" w:w="64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REST/JSON APIs documented with OpenAPI 3; integrations resilient to outages through queues and retries.</w:t>
            </w:r>
          </w:p>
        </w:tc>
      </w:tr>
      <w:tr>
        <w:trPr>
          <w:cantSplit/>
        </w:trPr>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NFR-SCL-01</w:t>
            </w:r>
          </w:p>
        </w:tc>
        <w:tc>
          <w:tcPr>
            <w:tcW w:type="dxa" w:w="144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Scalability</w:t>
            </w:r>
          </w:p>
        </w:tc>
        <w:tc>
          <w:tcPr>
            <w:tcW w:type="dxa" w:w="64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Scale horizontally to at least 100 tenants and 200,000 active students without architectural change.</w:t>
            </w:r>
          </w:p>
        </w:tc>
      </w:tr>
      <w:tr>
        <w:trPr>
          <w:cantSplit/>
        </w:trPr>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NFR-MNT-01</w:t>
            </w:r>
          </w:p>
        </w:tc>
        <w:tc>
          <w:tcPr>
            <w:tcW w:type="dxa" w:w="14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Maintainability</w:t>
            </w:r>
          </w:p>
        </w:tc>
        <w:tc>
          <w:tcPr>
            <w:tcW w:type="dxa" w:w="64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Modular code with automated tests (at least 70% coverage of business logic); database changes by versioned migrations.</w:t>
            </w:r>
          </w:p>
        </w:tc>
      </w:tr>
      <w:tr>
        <w:trPr>
          <w:cantSplit/>
        </w:trPr>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NFR-AUD-01</w:t>
            </w:r>
          </w:p>
        </w:tc>
        <w:tc>
          <w:tcPr>
            <w:tcW w:type="dxa" w:w="144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Auditability</w:t>
            </w:r>
          </w:p>
        </w:tc>
        <w:tc>
          <w:tcPr>
            <w:tcW w:type="dxa" w:w="64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Audit records retained at least 7 years and protected from modification.</w:t>
            </w:r>
          </w:p>
        </w:tc>
      </w:tr>
      <w:tr>
        <w:trPr>
          <w:cantSplit/>
        </w:trPr>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NFR-OPS-01</w:t>
            </w:r>
          </w:p>
        </w:tc>
        <w:tc>
          <w:tcPr>
            <w:tcW w:type="dxa" w:w="144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Operations</w:t>
            </w:r>
          </w:p>
        </w:tc>
        <w:tc>
          <w:tcPr>
            <w:tcW w:type="dxa" w:w="64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Health checks, centralised logs, metrics and alerting; support desk with severity-based response times (see Document 07).</w:t>
            </w:r>
          </w:p>
        </w:tc>
      </w:tr>
    </w:tbl>
    <w:p>
      <w:pPr>
        <w:spacing w:after="120"/>
      </w:pPr>
    </w:p>
    <w:p>
      <w:pPr>
        <w:pStyle w:val="Heading1"/>
      </w:pPr>
      <w:bookmarkStart w:id="28" w:name="_TocV11_28"/>
      <w:r>
        <w:rPr>
          <w:rFonts w:ascii="Calibri" w:cs="Calibri" w:eastAsia="Calibri" w:hAnsi="Calibri"/>
        </w:rPr>
        <w:t xml:space="preserve">9. Requirements Traceability Matrix</w:t>
      </w:r>
      <w:bookmarkEnd w:id="28"/>
    </w:p>
    <w:p>
      <w:pPr>
        <w:spacing w:after="300"/>
      </w:pPr>
      <w:r>
        <w:rPr>
          <w:i/>
          <w:rFonts w:ascii="Calibri" w:cs="Calibri" w:eastAsia="Calibri" w:hAnsi="Calibri"/>
          <w:color w:val="595959"/>
          <w:sz w:val="22"/>
          <w:szCs w:val="22"/>
        </w:rPr>
        <w:t xml:space="preserve">The traceability matrix links each business requirement to the system requirements, use cases and business processes that satisfy it. It shows that nothing agreed in Document 02 has been missed.</w:t>
      </w:r>
    </w:p>
    <w:p>
      <w:pPr>
        <w:spacing w:after="120" w:line="276"/>
        <w:jc w:val="both"/>
      </w:pPr>
      <w:r>
        <w:rPr>
          <w:rFonts w:ascii="Calibri" w:cs="Calibri" w:eastAsia="Calibri" w:hAnsi="Calibri"/>
        </w:rPr>
        <w:t xml:space="preserve">The matrix links each business requirement to the functional requirements, use cases and business processes (Document 04) that satisfy it, and to the release that delivers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3249"/>
        <w:gridCol w:w="1624"/>
        <w:gridCol w:w="1624"/>
        <w:gridCol w:w="1627"/>
      </w:tblGrid>
      <w:tr>
        <w:trPr>
          <w:tblHeader/>
        </w:trPr>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BR</w:t>
            </w:r>
          </w:p>
        </w:tc>
        <w:tc>
          <w:tcPr>
            <w:tcW w:type="dxa" w:w="324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Functional requirements</w:t>
            </w:r>
          </w:p>
        </w:tc>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Use cases</w:t>
            </w:r>
          </w:p>
        </w:tc>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Processes</w:t>
            </w:r>
          </w:p>
        </w:tc>
        <w:tc>
          <w:tcPr>
            <w:tcW w:type="dxa" w:w="162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Release</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BR-01</w:t>
            </w:r>
          </w:p>
        </w:tc>
        <w:tc>
          <w:tcPr>
            <w:tcW w:type="dxa" w:w="32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FR-ADM-01, 02, 07</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UC-01, 02</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BP-02</w:t>
            </w:r>
          </w:p>
        </w:tc>
        <w:tc>
          <w:tcPr>
            <w:tcW w:type="dxa" w:w="16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R1</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BR-02</w:t>
            </w:r>
          </w:p>
        </w:tc>
        <w:tc>
          <w:tcPr>
            <w:tcW w:type="dxa" w:w="324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FR-ADM-03</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UC-03</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BP-01</w:t>
            </w:r>
          </w:p>
        </w:tc>
        <w:tc>
          <w:tcPr>
            <w:tcW w:type="dxa" w:w="16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R1</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BR-03</w:t>
            </w:r>
          </w:p>
        </w:tc>
        <w:tc>
          <w:tcPr>
            <w:tcW w:type="dxa" w:w="32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FR-ADM-04, 09</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UC-02, 04</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BP-02, BP-03</w:t>
            </w:r>
          </w:p>
        </w:tc>
        <w:tc>
          <w:tcPr>
            <w:tcW w:type="dxa" w:w="16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R1</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BR-04</w:t>
            </w:r>
          </w:p>
        </w:tc>
        <w:tc>
          <w:tcPr>
            <w:tcW w:type="dxa" w:w="324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FR-ADM-05, 06; FR-INT-01, 02</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UC-02</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BP-02</w:t>
            </w:r>
          </w:p>
        </w:tc>
        <w:tc>
          <w:tcPr>
            <w:tcW w:type="dxa" w:w="16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R1</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BR-05</w:t>
            </w:r>
          </w:p>
        </w:tc>
        <w:tc>
          <w:tcPr>
            <w:tcW w:type="dxa" w:w="32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FR-ADM-08; FR-INT-03</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UC-02</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BP-02</w:t>
            </w:r>
          </w:p>
        </w:tc>
        <w:tc>
          <w:tcPr>
            <w:tcW w:type="dxa" w:w="16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R1</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BR-06</w:t>
            </w:r>
          </w:p>
        </w:tc>
        <w:tc>
          <w:tcPr>
            <w:tcW w:type="dxa" w:w="324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FR-ADM-10, 11, 13</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UC-04</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BP-03</w:t>
            </w:r>
          </w:p>
        </w:tc>
        <w:tc>
          <w:tcPr>
            <w:tcW w:type="dxa" w:w="16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R1</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BR-07</w:t>
            </w:r>
          </w:p>
        </w:tc>
        <w:tc>
          <w:tcPr>
            <w:tcW w:type="dxa" w:w="32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FR-ADM-12, 14; FR-REG-07</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UC-05, 06</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BP-04</w:t>
            </w:r>
          </w:p>
        </w:tc>
        <w:tc>
          <w:tcPr>
            <w:tcW w:type="dxa" w:w="16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R1</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BR-08</w:t>
            </w:r>
          </w:p>
        </w:tc>
        <w:tc>
          <w:tcPr>
            <w:tcW w:type="dxa" w:w="324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FR-ADM-15; FR-INT-08</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BP-04</w:t>
            </w:r>
          </w:p>
        </w:tc>
        <w:tc>
          <w:tcPr>
            <w:tcW w:type="dxa" w:w="16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R1</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BR-09–11</w:t>
            </w:r>
          </w:p>
        </w:tc>
        <w:tc>
          <w:tcPr>
            <w:tcW w:type="dxa" w:w="32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FR-REG-01 to 04, 06</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UC-07, 17</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BP-05, BP-14</w:t>
            </w:r>
          </w:p>
        </w:tc>
        <w:tc>
          <w:tcPr>
            <w:tcW w:type="dxa" w:w="16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R1</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BR-12–13</w:t>
            </w:r>
          </w:p>
        </w:tc>
        <w:tc>
          <w:tcPr>
            <w:tcW w:type="dxa" w:w="324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FR-ACA-01 to 05; FR-REG-05</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BP-01, BP-07</w:t>
            </w:r>
          </w:p>
        </w:tc>
        <w:tc>
          <w:tcPr>
            <w:tcW w:type="dxa" w:w="16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R1</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BR-14–15</w:t>
            </w:r>
          </w:p>
        </w:tc>
        <w:tc>
          <w:tcPr>
            <w:tcW w:type="dxa" w:w="32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FR-TCH-01 to 04</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UC-09, 10</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BP-07</w:t>
            </w:r>
          </w:p>
        </w:tc>
        <w:tc>
          <w:tcPr>
            <w:tcW w:type="dxa" w:w="16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R2</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BR-16–19</w:t>
            </w:r>
          </w:p>
        </w:tc>
        <w:tc>
          <w:tcPr>
            <w:tcW w:type="dxa" w:w="324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FR-EXM-01 to 11</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UC-11 to 14</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BP-08, 09, 10</w:t>
            </w:r>
          </w:p>
        </w:tc>
        <w:tc>
          <w:tcPr>
            <w:tcW w:type="dxa" w:w="16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R2</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BR-20</w:t>
            </w:r>
          </w:p>
        </w:tc>
        <w:tc>
          <w:tcPr>
            <w:tcW w:type="dxa" w:w="32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FR-EXM-12</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UC-15</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BP-11</w:t>
            </w:r>
          </w:p>
        </w:tc>
        <w:tc>
          <w:tcPr>
            <w:tcW w:type="dxa" w:w="16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R2</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BR-21</w:t>
            </w:r>
          </w:p>
        </w:tc>
        <w:tc>
          <w:tcPr>
            <w:tcW w:type="dxa" w:w="324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FR-IPT-01 to 03</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BP-13</w:t>
            </w:r>
          </w:p>
        </w:tc>
        <w:tc>
          <w:tcPr>
            <w:tcW w:type="dxa" w:w="16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R3</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BR-22–23, 25–26</w:t>
            </w:r>
          </w:p>
        </w:tc>
        <w:tc>
          <w:tcPr>
            <w:tcW w:type="dxa" w:w="32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FR-FIN-01 to 06, 12</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UC-08</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BP-06</w:t>
            </w:r>
          </w:p>
        </w:tc>
        <w:tc>
          <w:tcPr>
            <w:tcW w:type="dxa" w:w="16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R1</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BR-24, 27</w:t>
            </w:r>
          </w:p>
        </w:tc>
        <w:tc>
          <w:tcPr>
            <w:tcW w:type="dxa" w:w="324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FR-FIN-07 to 11</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BP-17</w:t>
            </w:r>
          </w:p>
        </w:tc>
        <w:tc>
          <w:tcPr>
            <w:tcW w:type="dxa" w:w="16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R3</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BR-28</w:t>
            </w:r>
          </w:p>
        </w:tc>
        <w:tc>
          <w:tcPr>
            <w:tcW w:type="dxa" w:w="32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FR-HST-01 to 06</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UC-16</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BP-12</w:t>
            </w:r>
          </w:p>
        </w:tc>
        <w:tc>
          <w:tcPr>
            <w:tcW w:type="dxa" w:w="16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R3</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BR-29–31</w:t>
            </w:r>
          </w:p>
        </w:tc>
        <w:tc>
          <w:tcPr>
            <w:tcW w:type="dxa" w:w="324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FR-GRD-01 to 05</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UC-18, 19</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BP-15, BP-16</w:t>
            </w:r>
          </w:p>
        </w:tc>
        <w:tc>
          <w:tcPr>
            <w:tcW w:type="dxa" w:w="16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R2/R3</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BR-32</w:t>
            </w:r>
          </w:p>
        </w:tc>
        <w:tc>
          <w:tcPr>
            <w:tcW w:type="dxa" w:w="32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FR-STU-01 to 04</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UC-07, 08, 15</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Various</w:t>
            </w:r>
          </w:p>
        </w:tc>
        <w:tc>
          <w:tcPr>
            <w:tcW w:type="dxa" w:w="16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R1–R3</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BR-33</w:t>
            </w:r>
          </w:p>
        </w:tc>
        <w:tc>
          <w:tcPr>
            <w:tcW w:type="dxa" w:w="324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FR-COM-01 to 03</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All</w:t>
            </w:r>
          </w:p>
        </w:tc>
        <w:tc>
          <w:tcPr>
            <w:tcW w:type="dxa" w:w="16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R1</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BR-34</w:t>
            </w:r>
          </w:p>
        </w:tc>
        <w:tc>
          <w:tcPr>
            <w:tcW w:type="dxa" w:w="32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FR-RPT-01 to 03; FR-ADM-16; FR-EXM-14; FR-FIN-12</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All</w:t>
            </w:r>
          </w:p>
        </w:tc>
        <w:tc>
          <w:tcPr>
            <w:tcW w:type="dxa" w:w="16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R1–R3</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BR-35–39</w:t>
            </w:r>
          </w:p>
        </w:tc>
        <w:tc>
          <w:tcPr>
            <w:tcW w:type="dxa" w:w="324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FR-ADM-S01 to S07</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UC-20</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16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R1</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BR-40–42</w:t>
            </w:r>
          </w:p>
        </w:tc>
        <w:tc>
          <w:tcPr>
            <w:tcW w:type="dxa" w:w="32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NFR-USA-02; FR-INT-09; NFR-AVL-01</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t>
            </w:r>
          </w:p>
        </w:tc>
        <w:tc>
          <w:tcPr>
            <w:tcW w:type="dxa" w:w="16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R1–R3</w:t>
            </w:r>
          </w:p>
        </w:tc>
      </w:tr>
    </w:tbl>
    <w:p>
      <w:pPr>
        <w:spacing w:after="120"/>
      </w:pPr>
    </w:p>
    <w:p>
      <w:pPr>
        <w:pStyle w:val="Heading1"/>
      </w:pPr>
      <w:bookmarkStart w:id="29" w:name="_TocV11_29"/>
      <w:r>
        <w:rPr>
          <w:rFonts w:ascii="Calibri" w:cs="Calibri" w:eastAsia="Calibri" w:hAnsi="Calibri"/>
        </w:rPr>
        <w:t xml:space="preserve">10. Acceptance Criteria</w:t>
      </w:r>
      <w:bookmarkEnd w:id="29"/>
    </w:p>
    <w:p>
      <w:pPr>
        <w:spacing w:after="300"/>
      </w:pPr>
      <w:r>
        <w:rPr>
          <w:i/>
          <w:rFonts w:ascii="Calibri" w:cs="Calibri" w:eastAsia="Calibri" w:hAnsi="Calibri"/>
          <w:color w:val="595959"/>
          <w:sz w:val="22"/>
          <w:szCs w:val="22"/>
        </w:rPr>
        <w:t xml:space="preserve">This section states the conditions under which each release is accepted by the institution, so that everyone knows in advance what 'finished' means.</w:t>
      </w:r>
    </w:p>
    <w:p>
      <w:pPr>
        <w:pStyle w:val="ListParagraph"/>
        <w:numPr>
          <w:ilvl w:val="0"/>
          <w:numId w:val="2"/>
        </w:numPr>
        <w:spacing w:after="60" w:line="264"/>
      </w:pPr>
      <w:r>
        <w:rPr>
          <w:rFonts w:ascii="Calibri" w:cs="Calibri" w:eastAsia="Calibri" w:hAnsi="Calibri"/>
        </w:rPr>
        <w:t xml:space="preserve">Every Must requirement in the release passes its test cases in system and user acceptance testing.</w:t>
      </w:r>
    </w:p>
    <w:p>
      <w:pPr>
        <w:pStyle w:val="ListParagraph"/>
        <w:numPr>
          <w:ilvl w:val="0"/>
          <w:numId w:val="2"/>
        </w:numPr>
        <w:spacing w:after="60" w:line="264"/>
      </w:pPr>
      <w:r>
        <w:rPr>
          <w:rFonts w:ascii="Calibri" w:cs="Calibri" w:eastAsia="Calibri" w:hAnsi="Calibri"/>
        </w:rPr>
        <w:t xml:space="preserve">No open critical or high defects; medium defects have an agreed fix plan.</w:t>
      </w:r>
    </w:p>
    <w:p>
      <w:pPr>
        <w:pStyle w:val="ListParagraph"/>
        <w:numPr>
          <w:ilvl w:val="0"/>
          <w:numId w:val="2"/>
        </w:numPr>
        <w:spacing w:after="60" w:line="264"/>
      </w:pPr>
      <w:r>
        <w:rPr>
          <w:rFonts w:ascii="Calibri" w:cs="Calibri" w:eastAsia="Calibri" w:hAnsi="Calibri"/>
        </w:rPr>
        <w:t xml:space="preserve">Performance and security tests meet NFR-PER and NFR-SEC requirements; penetration test critical/high findings resolved.</w:t>
      </w:r>
    </w:p>
    <w:p>
      <w:pPr>
        <w:pStyle w:val="ListParagraph"/>
        <w:numPr>
          <w:ilvl w:val="0"/>
          <w:numId w:val="2"/>
        </w:numPr>
        <w:spacing w:after="60" w:line="264"/>
      </w:pPr>
      <w:r>
        <w:rPr>
          <w:rFonts w:ascii="Calibri" w:cs="Calibri" w:eastAsia="Calibri" w:hAnsi="Calibri"/>
        </w:rPr>
        <w:t xml:space="preserve">Migrated data reconciled and signed off by the data owners.</w:t>
      </w:r>
    </w:p>
    <w:p>
      <w:pPr>
        <w:pStyle w:val="ListParagraph"/>
        <w:numPr>
          <w:ilvl w:val="0"/>
          <w:numId w:val="2"/>
        </w:numPr>
        <w:spacing w:after="60" w:line="264"/>
      </w:pPr>
      <w:r>
        <w:rPr>
          <w:rFonts w:ascii="Calibri" w:cs="Calibri" w:eastAsia="Calibri" w:hAnsi="Calibri"/>
        </w:rPr>
        <w:t xml:space="preserve">Users trained and user manuals delivered in English and Kiswahili.</w:t>
      </w:r>
    </w:p>
    <w:p>
      <w:pPr>
        <w:pStyle w:val="ListParagraph"/>
        <w:numPr>
          <w:ilvl w:val="0"/>
          <w:numId w:val="2"/>
        </w:numPr>
        <w:spacing w:after="60" w:line="264"/>
      </w:pPr>
      <w:r>
        <w:rPr>
          <w:rFonts w:ascii="Calibri" w:cs="Calibri" w:eastAsia="Calibri" w:hAnsi="Calibri"/>
        </w:rPr>
        <w:t xml:space="preserve">Acceptance signed by the Project Sponsor and the pilot institution heads.</w:t>
      </w:r>
    </w:p>
    <w:p>
      <w:pPr>
        <w:pStyle w:val="Heading1"/>
      </w:pPr>
      <w:bookmarkStart w:id="30" w:name="_TocV11_30"/>
      <w:r>
        <w:rPr>
          <w:rFonts w:ascii="Calibri" w:cs="Calibri" w:eastAsia="Calibri" w:hAnsi="Calibri"/>
        </w:rPr>
        <w:t xml:space="preserve">11. As-Built Status (October 2026)</w:t>
      </w:r>
      <w:bookmarkEnd w:id="30"/>
    </w:p>
    <w:p>
      <w:pPr>
        <w:spacing w:after="300"/>
      </w:pPr>
      <w:r>
        <w:rPr>
          <w:i/>
          <w:rFonts w:ascii="Calibri" w:cs="Calibri" w:eastAsia="Calibri" w:hAnsi="Calibri"/>
          <w:color w:val="595959"/>
          <w:sz w:val="22"/>
          <w:szCs w:val="22"/>
        </w:rPr>
        <w:t xml:space="preserve">This section reports, requirement by requirement, how far the system built by October 2026 meets this specification. It tells stakeholders exactly what is ready, what is partly ready and what remains, and why.</w:t>
      </w:r>
    </w:p>
    <w:p>
      <w:pPr>
        <w:spacing w:after="120" w:line="276"/>
        <w:jc w:val="both"/>
      </w:pPr>
      <w:r>
        <w:rPr>
          <w:rFonts w:ascii="Calibri" w:cs="Calibri" w:eastAsia="Calibri" w:hAnsi="Calibri"/>
        </w:rPr>
        <w:t xml:space="preserve">This section records, for version 3.1, how far the system as built meets each requirement in this specification. The requirements above remain the acceptance baseline. Built: in the system and covered by automated tests. Partly built: usable, with the gap stated. Not yet built: planned, not in the system. For outside bodies, an exchange counts as built when its interface is published and the adapter is tested against it (GePG, NECTA, NACTVET verification and awards); where the body has not yet issued its interface, the exchange runs against a simulator and is partly built until the live interface is wired.</w:t>
      </w:r>
    </w:p>
    <w:p>
      <w:pPr>
        <w:pStyle w:val="Heading2"/>
      </w:pPr>
      <w:bookmarkStart w:id="31" w:name="_TocV11_31"/>
      <w:r>
        <w:rPr>
          <w:rFonts w:ascii="Calibri" w:cs="Calibri" w:eastAsia="Calibri" w:hAnsi="Calibri"/>
        </w:rPr>
        <w:t xml:space="preserve">11.1 Functional requirements</w:t>
      </w:r>
      <w:bookmarkEnd w:id="31"/>
    </w:p>
    <w:p>
      <w:pPr>
        <w:spacing w:after="300"/>
      </w:pPr>
      <w:r>
        <w:rPr>
          <w:i/>
          <w:rFonts w:ascii="Calibri" w:cs="Calibri" w:eastAsia="Calibri" w:hAnsi="Calibri"/>
          <w:color w:val="595959"/>
          <w:sz w:val="22"/>
          <w:szCs w:val="22"/>
        </w:rPr>
        <w:t xml:space="preserve">The table gives the status of each functional requirement (built, partly built or not built) and a short description of what was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1173"/>
        <w:gridCol w:w="6770"/>
      </w:tblGrid>
      <w:tr>
        <w:trPr>
          <w:tblHeader/>
          <w:cantSplit/>
        </w:trPr>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ID</w:t>
            </w:r>
          </w:p>
        </w:tc>
        <w:tc>
          <w:tcPr>
            <w:tcW w:type="dxa" w:w="117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Status</w:t>
            </w:r>
          </w:p>
        </w:tc>
        <w:tc>
          <w:tcPr>
            <w:tcW w:type="dxa" w:w="677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As built</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FR-ADM-01</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Branded portal per institution with logo, colours, campus photo, programmes and a How to apply guide.</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FR-ADM-02</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Account by Form Four index number with SMS verification code and password reset; an email address can be added and is confirmed with a code before messages are sent to it.</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FR-ADM-03</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Windows per year and intake with dates, programmes, capacity and fee; publish, open, close early, reopen, extend.</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FR-ADM-04</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Entry rules per programme as JSON (subjects, grades, passes, prior award level, alternatives).</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FR-ADM-05</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CSEE and ACSEE from NECTA by index number and year; names are taken from NECTA, so mismatches cannot arise at sign-up.</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FR-ADM-06</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NTA awards fetched from NACTVET by registration number and graduation year (instead of AVN); NVA and other awards declared and verified by the office.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FR-ADM-07</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Personal details, contacts, next of kin, impairment and education history; document uploads per window (PDF, JPEG, PNG; size-limited; checked by content), accepted or sent back by the office with an SMS.</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FR-ADM-08</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Control number for the application fee; submission only after payment (live GePG adapter built, simulated until certificates are issued).</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FR-ADM-09</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Eligibility per choice with reasons shown before submitting; only eligible choices can be submitted.</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FR-ADM-10</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Merit ranking and stable allocation within capacity.</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FR-ADM-11</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Exclusions with reasons and approval by someone other than the proposer.</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FR-ADM-12</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API submission or NACTVET template file; outcome per applicant with reason and verification number (live endpoints awaited).</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FR-ADM-13</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Letters with joining instructions and QR code, wording editable per institution, SMS notice and email with the PDF attached.</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FR-ADM-14</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Acceptance, decline, confirmation code, deadline, lapse and released places refilled by the next round.</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FR-ADM-15</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Externally selected students (TAMISEMI or another body) imported from a file or fetched from TAMISEMI into the window as selected, then verified and offered like other applicants.</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FR-ADM-16</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Admissions dashboard and reports ADM-01 to ADM-08.</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FR-REG-01</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Hand-over creates the student from the accepted application.</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FR-REG-02</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Configurable pattern; unique and never reused (database).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FR-REG-03</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 confirms details and modules, clearance checked, Registry approves or returns.</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FR-REG-04</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Status changes with reason, recommendation, decision and effective date.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FR-REG-05</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Programme and campus transfers asked by Registry or the student, recommended by the receiving Head of Department, decided by the Deputy Principal (Academic), with history.</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FR-REG-06</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ID cards with photo and QR code, print-ready PDF.</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FR-REG-07</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 registration sent to NACTVET by API, with status follow-up; runs against a simulator until NACTVET issues the live interface.</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FR-REG-08</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Detail-change requests decided by Registry with reasons.</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FR-ACA-01</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Campuses (one main campus) and faculties; departments and programmes with award family, level, duration, NACTVET code, entry level and the campuses they are offered at.</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FR-ACA-02</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Versioned curricula; modules with code, credits, NTA level, semester, core/elective, assessment type.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FR-ACA-03</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 module can be placed in several programmes' curricula.</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FR-ACA-04</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Academic years, semesters with registration dates, intakes, calendar events.</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FR-ACA-05</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Regulation sets per award level, versioned by academic year and locked once used.</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FR-TCH-01</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Offerings from approved registrations; lecturers allocated by the Head of Department or examinations office.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FR-TCH-02</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Class lists as PDF register and Excel.</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FR-TCH-03</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One-tap register on any device, kept offline until sent; QR self check-in.</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FR-TCH-04</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Percentages per student; below-threshold flag and SMS.</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FR-EXM-01</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Assessment plans with weights checked against the regulations.</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FR-EXM-02</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Marks entry dates per assessment item (coursework and examination can open at different times); entry on screen or validated Excel.</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FR-EXM-03</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CA, SE, total, grade and points computed with component pass marks.</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FR-EXM-04</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Eligibility lists from attendance, coursework and examination fees, with exemptions.</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FR-EXM-05</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Approval stages for module results and class result sheets set by the institution (up to six), each able to return with comments; lock on confirmation.</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FR-EXM-06</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Semester GPA, CGPA and classification.</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FR-EXM-07</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Proposed decisions for committee confirmation.</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FR-EXM-08</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Resit sessions, registration with GePG fee, marks after payment, capping.</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FR-EXM-09</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Competence per task with practical and theory scores, assessor, date and evidence.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FR-EXM-10</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Publication to the portal with SMS, withheld without results clearance.</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FR-EXM-11</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Results file per confirmed sheet, submission record, and submission to NACTVET by API with status follow-up (simulated); NACTVET's official template and live interface awaited.</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FR-EXM-12</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Remarks and appeals from request to amendment.</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FR-EXM-13</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Statements of results / provisional transcripts with QR code.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FR-EXM-14</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Module performance, class result sheet and results by programme; results compared across years, including results from before CIMS.</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FR-FIN-01</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Fee items and structures by programme, year of study, academic year, intake and student category, local and foreign.</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FR-FIN-02</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Invoices on acceptance, hand-over, hostel allocation, resit and appeal fees, and billing runs.</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FR-FIN-03</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Control numbers requested and shown with payment instructions (live GePG adapter built; simulated until certificates are issued); outside GePG, the institution's payment reference with its mobile money and bank accounts.</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FR-FIN-04</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Signed notification, allocation by item priority, PDF receipts, live balances.</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FR-FIN-05</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Daily reconciliation of the GePG file or GePG's reconciliation request, and of mobile money, collector or bank statements, with exception types and day close.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FR-FIN-06</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Gates for registration, examinations, results, hostel and graduation.</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FR-FIN-07</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Instalment due dates with SMS reminders before, on and after the day; late-payment penalties once per instalment after a grace period.</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FR-FIN-08</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Waivers with approval threshold; discount and scholarship schemes granted through the waiver approval.</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FR-FIN-09</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Sponsors, sponsored shares, sponsor invoices, remittances moved to students, statements, CSV list import; the HESLB exchange turns beneficiaries into capped sponsorships and records disbursements on the HESLB invoice.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FR-FIN-10</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Refunds from credit with vouchers and two-level approval; waivers posted as credit notes.</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FR-FIN-11</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Postings to MUSE per period by GFS code, each period posted once; postings CSV for any date range.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FR-FIN-12</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Statements, debtor ageing, collection reports, finance overview.</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FR-HST-01</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Hostels, rooms (block, floor, type, accessibility), beds, gender, fee categories, status.</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FR-HST-02</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Windows; applications with up to three hostel choices, room type and special needs.</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FR-HST-03</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Automatic or manual allocation by priority rules; no double allocation (database).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FR-HST-04</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Invoice on allocation; unpaid allocations released daily.</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FR-HST-05</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Check-in and check-out with condition, damages and charges.</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FR-HST-06</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Repairs logged by wardens or students, with status updates by SMS.</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FR-IPT-01</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Organisations with contacts and capacity.</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FR-IPT-02</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Placements with dates and supervisors.</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FR-IPT-03</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Logbook, institution supervisor approval, visits and marks sent to results; the workplace supervisor rates the student through a personal link (no account) and the rating becomes the workplace mark.</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FR-GRD-01</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Clearance offices, clear/hold with reasons.</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FR-GRD-02</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Graduand lists, Board approval and NACTVET file.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FR-GRD-03</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Statements of results and certificates with verification code and QR code; prints and reprints logged.</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FR-GRD-04</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Public verification page with minimal personal data, rate-limited.</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FR-GRD-05</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Alumni records; tracer surveys sent by SMS link, answers update the alumni record.</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FR-STU-01</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Installable portal with dashboard, next steps, notices and profile.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FR-STU-02</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Semester registration, invoices, control numbers, history and receipts.</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FR-STU-03</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Results, GPA, decisions; resit and remark applications.</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FR-STU-04</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Hostel application, IPT and logbook, clearance, statements and letters.</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FR-RPT-01</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Dashboards and landing pages per role.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FR-RPT-02</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35 reports on screen, Excel and PDF with filters (section 11.3).</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FR-RPT-03</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Reports emailed to staff on a schedule (daily, weekly or monthly) as Excel or PDF.</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FR-COM-01</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Event notifications by SMS and email, and in-app notices.</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FR-COM-02</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Bulk SMS to filtered groups with delivery and cost.</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FR-COM-03</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Templates in English and Kiswahili, editable per institution.</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FR-ADM-S01</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Onboarding from the platform console with NACTVET registration number, domains, campuses, programmes from the catalogue and first administrator; GePG and other integration settings entered by the institution on its Integrations page.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FR-ADM-S02</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Users, roles and scopes; two-step sign-in with an authenticator app (recovery codes, SMS fall-back) required for the roles the administrator chooses, and reset by another administrator.</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FR-ADM-S03</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Approval stages for results set per institution; finance thresholds configurable; admission and status-change approvals follow the regulations as built.</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FR-ADM-S04</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Audit of sign-ins and sensitive actions, append-only, with a page and export.</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FR-ADM-S05</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Numbering sequences and parameters configurable; admission and IPT letter wording editable with placeholders and a sample preview; issued letters keep their wording.</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FR-ADM-S06</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Personal-data requests (copy, correction, erasure, objection) answered within 30 days; download of one's own data; retention periods with a preview and a monthly job.</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FR-ADM-S07</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Import of students, earlier results, opening balances and external selections from CSV or Excel templates, checked row by row and applied after a second person signs off.</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FR-INT-01</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NECTA results client (simulated and live).</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FR-INT-02</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Verification by API or file; results, graduand and NVA files; NTA award look-up live; student registration and results submission by API. The verification, registration and results endpoints run against a simulator until NACTVET issues them.</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FR-INT-03</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Live GePG adapter with signed XML: bills, control numbers by callback, payments and reconciliation; tested against a GePG simulator with test keys; switched on with the institution's certificates.</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FR-INT-04</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Email by SMTP with an outbox and retries is built. SMS outbox and delivery reports run against a simulated gateway until the SMS provider is chosen.</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FR-INT-05</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HESLB exchange (registration data out, beneficiaries in as capped sponsorships, disbursements recorded) built and tested against a simulator; the live interface is wired when HESLB issues it.</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FR-INT-06</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National Identification Number recorded encrypted and checked against name and date of birth; runs against a simulator until NIDA access is granted.</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FR-INT-07</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Postings to MUSE per period by GFS code and a postings CSV; MUSE runs against a simulator until the Treasury grants access.</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FR-INT-08</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677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TAMISEMI selections fetched into the checked import; runs against a simulator until TAMISEMI issues its interface (file import works now).</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FR-INT-09</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77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OpenAPI documentation; OAuth2 client credentials with scopes for a read-only integration API; secrets shown once; clients switched off at once.</w:t>
            </w:r>
          </w:p>
        </w:tc>
      </w:tr>
    </w:tbl>
    <w:p>
      <w:pPr>
        <w:spacing w:after="120"/>
      </w:pPr>
    </w:p>
    <w:p>
      <w:pPr>
        <w:spacing w:after="120" w:line="276"/>
        <w:jc w:val="both"/>
      </w:pPr>
      <w:r>
        <w:rPr>
          <w:rFonts w:ascii="Calibri" w:cs="Calibri" w:eastAsia="Calibri" w:hAnsi="Calibri"/>
        </w:rPr>
        <w:t xml:space="preserve">Of the 99 functional requirements, 91 are built and 8 partly built. All eight wait on an outside body's live interface (NACTVET registration and results, HESLB, NIDA, MUSE, TAMISEMI) or on the choice of SMS provider; the adapters are built and tested against simulators.</w:t>
      </w:r>
    </w:p>
    <w:p>
      <w:pPr>
        <w:pStyle w:val="Heading2"/>
      </w:pPr>
      <w:bookmarkStart w:id="32" w:name="_TocV11_32"/>
      <w:r>
        <w:rPr>
          <w:rFonts w:ascii="Calibri" w:cs="Calibri" w:eastAsia="Calibri" w:hAnsi="Calibri"/>
        </w:rPr>
        <w:t xml:space="preserve">11.2 Non-functional requirements</w:t>
      </w:r>
      <w:bookmarkEnd w:id="32"/>
    </w:p>
    <w:p>
      <w:pPr>
        <w:spacing w:after="300"/>
      </w:pPr>
      <w:r>
        <w:rPr>
          <w:i/>
          <w:rFonts w:ascii="Calibri" w:cs="Calibri" w:eastAsia="Calibri" w:hAnsi="Calibri"/>
          <w:color w:val="595959"/>
          <w:sz w:val="22"/>
          <w:szCs w:val="22"/>
        </w:rPr>
        <w:t xml:space="preserve">The table gives the status of each non-functional requirement and the evidence for it, such as test and measurement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3"/>
        <w:gridCol w:w="1353"/>
        <w:gridCol w:w="6320"/>
      </w:tblGrid>
      <w:tr>
        <w:trPr>
          <w:tblHeader/>
          <w:cantSplit/>
        </w:trPr>
        <w:tc>
          <w:tcPr>
            <w:tcW w:type="dxa" w:w="135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ID</w:t>
            </w:r>
          </w:p>
        </w:tc>
        <w:tc>
          <w:tcPr>
            <w:tcW w:type="dxa" w:w="135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Status</w:t>
            </w:r>
          </w:p>
        </w:tc>
        <w:tc>
          <w:tcPr>
            <w:tcW w:type="dxa" w:w="632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As built</w:t>
            </w:r>
          </w:p>
        </w:tc>
      </w:tr>
      <w:tr>
        <w:trPr>
          <w:cantSplit/>
        </w:trPr>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NFR-PER-01..03</w:t>
            </w:r>
          </w:p>
        </w:tc>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measured</w:t>
            </w:r>
          </w:p>
        </w:tc>
        <w:tc>
          <w:tcPr>
            <w:tcW w:type="dxa" w:w="632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Load tests with k6 and Locust: 100 concurrent users on the development machine with no errors, p95 37 ms and p99 1.0 s. The peak run on staging hardware is due before go-live.</w:t>
            </w:r>
          </w:p>
        </w:tc>
      </w:tr>
      <w:tr>
        <w:trPr>
          <w:cantSplit/>
        </w:trPr>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NFR-AVL-01..03</w:t>
            </w:r>
          </w:p>
        </w:tc>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63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Production stack ready: WAL archiving, encrypted backups kept 35 days (monthly for 12 months) with a tested restore, health checks; hosting and failover are set up at go-live.</w:t>
            </w:r>
          </w:p>
        </w:tc>
      </w:tr>
      <w:tr>
        <w:trPr>
          <w:cantSplit/>
        </w:trPr>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NFR-SEC-01</w:t>
            </w:r>
          </w:p>
        </w:tc>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632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Own token issuer (Keycloak-ready); passwords of 10+ characters with upper and lower case, digit and special character, common passwords refused; lock-out after 5 failed sign-ins; two-step sign-in with an authenticator app for the roles each institution chooses. Remaining gap: single sign-on (OpenID Connect) waits for Keycloak.</w:t>
            </w:r>
          </w:p>
        </w:tc>
      </w:tr>
      <w:tr>
        <w:trPr>
          <w:cantSplit/>
        </w:trPr>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NFR-SEC-02</w:t>
            </w:r>
          </w:p>
        </w:tc>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3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Access tokens expire after 60 minutes (configurable); idle sign-out per user type with a minute's warning, set per institution (defaults 30 minutes for staff and 60 for students and applicants; the 15 and 30 minutes above are a setting).</w:t>
            </w:r>
          </w:p>
        </w:tc>
      </w:tr>
      <w:tr>
        <w:trPr>
          <w:cantSplit/>
        </w:trPr>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NFR-SEC-03</w:t>
            </w:r>
          </w:p>
        </w:tc>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632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HSTS and a strict content security policy; TLS at the proxy of the production stack; National Identification Numbers encrypted in the database; encryption of disks comes with hosting.</w:t>
            </w:r>
          </w:p>
        </w:tc>
      </w:tr>
      <w:tr>
        <w:trPr>
          <w:cantSplit/>
        </w:trPr>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NFR-SEC-04</w:t>
            </w:r>
          </w:p>
        </w:tc>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63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Dependency, secret and Dockerfile scanning (Trivy), npm audit and an OWASP ZAP baseline scan run in continuous integration; the ASVS review and the independent penetration test are due before go-live.</w:t>
            </w:r>
          </w:p>
        </w:tc>
      </w:tr>
      <w:tr>
        <w:trPr>
          <w:cantSplit/>
        </w:trPr>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NFR-SEC-05</w:t>
            </w:r>
          </w:p>
        </w:tc>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32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Row-level security on every institution table, forced for the application role, and tenant isolation tests; start-up refuses a database role that bypasses it.</w:t>
            </w:r>
          </w:p>
        </w:tc>
      </w:tr>
      <w:tr>
        <w:trPr>
          <w:cantSplit/>
        </w:trPr>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NFR-PRV-01</w:t>
            </w:r>
          </w:p>
        </w:tc>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3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Privacy notice and consent at sign-up (version and time recorded); data minimisation in reports and logs; personal-data requests and retention periods with a monthly job.</w:t>
            </w:r>
          </w:p>
        </w:tc>
      </w:tr>
      <w:tr>
        <w:trPr>
          <w:cantSplit/>
        </w:trPr>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NFR-USA-01</w:t>
            </w:r>
          </w:p>
        </w:tc>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32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Mobile-first portals checked at 390 px phone width.</w:t>
            </w:r>
          </w:p>
        </w:tc>
      </w:tr>
      <w:tr>
        <w:trPr>
          <w:cantSplit/>
        </w:trPr>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NFR-USA-02</w:t>
            </w:r>
          </w:p>
        </w:tc>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3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Admission and student portals and the staff back-office in English and Kiswahili, the choice kept with the account.</w:t>
            </w:r>
          </w:p>
        </w:tc>
      </w:tr>
      <w:tr>
        <w:trPr>
          <w:cantSplit/>
        </w:trPr>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NFR-USA-03</w:t>
            </w:r>
          </w:p>
        </w:tc>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measured</w:t>
            </w:r>
          </w:p>
        </w:tc>
        <w:tc>
          <w:tcPr>
            <w:tcW w:type="dxa" w:w="632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Automated WCAG 2.1 A and AA checks (axe) on the main admission, student and staff screens find no serious or critical issue and run in continuous integration; a manual screen-reader review is due in acceptance testing.</w:t>
            </w:r>
          </w:p>
        </w:tc>
      </w:tr>
      <w:tr>
        <w:trPr>
          <w:cantSplit/>
        </w:trPr>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NFR-CMP-01</w:t>
            </w:r>
          </w:p>
        </w:tc>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63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Smoke and accessibility tests run in continuous integration in Chromium, Firefox and WebKit (Safari's engine) and at phone size; real devices are covered in acceptance testing.</w:t>
            </w:r>
          </w:p>
        </w:tc>
      </w:tr>
      <w:tr>
        <w:trPr>
          <w:cantSplit/>
        </w:trPr>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NFR-INT-01</w:t>
            </w:r>
          </w:p>
        </w:tc>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32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REST/JSON with OpenAPI 3; SMS and email outboxes with retries; integration calls logged.</w:t>
            </w:r>
          </w:p>
        </w:tc>
      </w:tr>
      <w:tr>
        <w:trPr>
          <w:cantSplit/>
        </w:trPr>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NFR-SCL-01</w:t>
            </w:r>
          </w:p>
        </w:tc>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63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Stateless application and shared schema; scheduled jobs take a database lock so each runs once when several instances run; load-tested with 100 users on one machine, staging peak test due.</w:t>
            </w:r>
          </w:p>
        </w:tc>
      </w:tr>
      <w:tr>
        <w:trPr>
          <w:cantSplit/>
        </w:trPr>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NFR-MNT-01</w:t>
            </w:r>
          </w:p>
        </w:tc>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632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244 backend tests (integration tests against real PostgreSQL), frontend unit tests and end-to-end tests in three browsers, run by continuous integration; 50 versioned Flyway migrations.</w:t>
            </w:r>
          </w:p>
        </w:tc>
      </w:tr>
      <w:tr>
        <w:trPr>
          <w:cantSplit/>
        </w:trPr>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NFR-AUD-01</w:t>
            </w:r>
          </w:p>
        </w:tc>
        <w:tc>
          <w:tcPr>
            <w:tcW w:type="dxa" w:w="135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632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Audit records protected from change by a database trigger; the 7-year retention policy is set up with hosting.</w:t>
            </w:r>
          </w:p>
        </w:tc>
      </w:tr>
      <w:tr>
        <w:trPr>
          <w:cantSplit/>
        </w:trPr>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NFR-OPS-01</w:t>
            </w:r>
          </w:p>
        </w:tc>
        <w:tc>
          <w:tcPr>
            <w:tcW w:type="dxa" w:w="135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632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Health and metrics (Prometheus) endpoints, integration health in the platform console, continuous integration and a deployment runbook; central logs and alerting come with hosting.</w:t>
            </w:r>
          </w:p>
        </w:tc>
      </w:tr>
    </w:tbl>
    <w:p>
      <w:pPr>
        <w:spacing w:after="120"/>
      </w:pPr>
    </w:p>
    <w:p>
      <w:pPr>
        <w:pStyle w:val="Heading2"/>
      </w:pPr>
      <w:bookmarkStart w:id="33" w:name="_TocV11_33"/>
      <w:r>
        <w:rPr>
          <w:rFonts w:ascii="Calibri" w:cs="Calibri" w:eastAsia="Calibri" w:hAnsi="Calibri"/>
        </w:rPr>
        <w:t xml:space="preserve">11.3 Standard reports as built</w:t>
      </w:r>
      <w:bookmarkEnd w:id="33"/>
    </w:p>
    <w:p>
      <w:pPr>
        <w:spacing w:after="300"/>
      </w:pPr>
      <w:r>
        <w:rPr>
          <w:i/>
          <w:rFonts w:ascii="Calibri" w:cs="Calibri" w:eastAsia="Calibri" w:hAnsi="Calibri"/>
          <w:color w:val="595959"/>
          <w:sz w:val="22"/>
          <w:szCs w:val="22"/>
        </w:rPr>
        <w:t xml:space="preserve">This sub-section describes the reports as built: how they are filtered, exported and protected, and which reports each office has.</w:t>
      </w:r>
    </w:p>
    <w:p>
      <w:pPr>
        <w:spacing w:after="120" w:line="276"/>
        <w:jc w:val="both"/>
      </w:pPr>
      <w:r>
        <w:rPr>
          <w:rFonts w:ascii="Calibri" w:cs="Calibri" w:eastAsia="Calibri" w:hAnsi="Calibri"/>
        </w:rPr>
        <w:t xml:space="preserve">Every report runs under row-level security, can be filtered (academic year, intake, window, programme, award, level, sex, status, year of study, semester, module, period as relevant), is shown on screen or exported to Excel or PDF, and every export is recorded in the audit trail. Lists of named people are hidden from management viewers.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7221"/>
      </w:tblGrid>
      <w:tr>
        <w:trPr>
          <w:tblHeader/>
          <w:cantSplit/>
        </w:trPr>
        <w:tc>
          <w:tcPr>
            <w:tcW w:type="dxa" w:w="180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Area</w:t>
            </w:r>
          </w:p>
        </w:tc>
        <w:tc>
          <w:tcPr>
            <w:tcW w:type="dxa" w:w="722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Reports</w:t>
            </w:r>
          </w:p>
        </w:tc>
      </w:tr>
      <w:tr>
        <w:trPr>
          <w:cantSplit/>
        </w:trPr>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Admissions</w:t>
            </w:r>
          </w:p>
        </w:tc>
        <w:tc>
          <w:tcPr>
            <w:tcW w:type="dxa" w:w="722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ADM-01 Applications by programme; ADM-02 Applications by region and gender; ADM-03 Applications by entry qualification; ADM-04 Applications by status; ADM-05 NACTVET verification status; ADM-06 Offers and acceptance rate; ADM-07 Admission letters issued; ADM-08 Applicant list</w:t>
            </w:r>
          </w:p>
        </w:tc>
      </w:tr>
      <w:tr>
        <w:trPr>
          <w:cantSplit/>
        </w:trPr>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Registry</w:t>
            </w:r>
          </w:p>
        </w:tc>
        <w:tc>
          <w:tcPr>
            <w:tcW w:type="dxa" w:w="722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REG-01 Enrolment by programme and year; REG-02 Nominal roll; REG-03 Age profile; REG-04 Region profile; REG-05 First registration; REG-06 Semester registration status; REG-07 Module class list</w:t>
            </w:r>
          </w:p>
        </w:tc>
      </w:tr>
      <w:tr>
        <w:trPr>
          <w:cantSplit/>
        </w:trPr>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Teaching and examinations</w:t>
            </w:r>
          </w:p>
        </w:tc>
        <w:tc>
          <w:tcPr>
            <w:tcW w:type="dxa" w:w="722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TCH-01 Attendance by module; EXM-01 Module performance; EXM-02 Class result sheet; EXM-03 Results by programme; EXM-04 Examination eligibility list</w:t>
            </w:r>
          </w:p>
        </w:tc>
      </w:tr>
      <w:tr>
        <w:trPr>
          <w:cantSplit/>
        </w:trPr>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Finance</w:t>
            </w:r>
          </w:p>
        </w:tc>
        <w:tc>
          <w:tcPr>
            <w:tcW w:type="dxa" w:w="722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FIN-01 Collections by fee item; FIN-02 Collections by day; FIN-03 Collections by payment channel; FIN-04 Receipts register; FIN-05 Debtors with ageing; FIN-06 Debtor ageing summary; FIN-07 Reconciliation exceptions</w:t>
            </w:r>
          </w:p>
        </w:tc>
      </w:tr>
      <w:tr>
        <w:trPr>
          <w:cantSplit/>
        </w:trPr>
        <w:tc>
          <w:tcPr>
            <w:tcW w:type="dxa" w:w="180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Hostel, IPT and graduation</w:t>
            </w:r>
          </w:p>
        </w:tc>
        <w:tc>
          <w:tcPr>
            <w:tcW w:type="dxa" w:w="722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HST-01 Hostel occupancy; HST-02 Hostel allocations; IPT-01 Placements by organisation; IPT-02 IPT placement list; GRD-01 Clearance status; GRD-02 Graduand list</w:t>
            </w:r>
          </w:p>
        </w:tc>
      </w:tr>
      <w:tr>
        <w:trPr>
          <w:cantSplit/>
        </w:trPr>
        <w:tc>
          <w:tcPr>
            <w:tcW w:type="dxa" w:w="180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Governance</w:t>
            </w:r>
          </w:p>
        </w:tc>
        <w:tc>
          <w:tcPr>
            <w:tcW w:type="dxa" w:w="722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GOV-01 User access review; GOV-02 Audit log extract</w:t>
            </w:r>
          </w:p>
        </w:tc>
      </w:tr>
    </w:tbl>
    <w:p>
      <w:pPr>
        <w:spacing w:after="120"/>
      </w:pPr>
    </w:p>
    <w:p>
      <w:pPr>
        <w:pStyle w:val="Heading2"/>
      </w:pPr>
      <w:bookmarkStart w:id="34" w:name="_TocV11_34"/>
      <w:r>
        <w:rPr>
          <w:rFonts w:ascii="Calibri" w:cs="Calibri" w:eastAsia="Calibri" w:hAnsi="Calibri"/>
        </w:rPr>
        <w:t xml:space="preserve">11.4 Regulations as configured</w:t>
      </w:r>
      <w:bookmarkEnd w:id="34"/>
    </w:p>
    <w:p>
      <w:pPr>
        <w:spacing w:after="300"/>
      </w:pPr>
      <w:r>
        <w:rPr>
          <w:i/>
          <w:rFonts w:ascii="Calibri" w:cs="Calibri" w:eastAsia="Calibri" w:hAnsi="Calibri"/>
          <w:color w:val="595959"/>
          <w:sz w:val="22"/>
          <w:szCs w:val="22"/>
        </w:rPr>
        <w:t xml:space="preserve">This sub-section describes the regulation settings that come with the system and what each institution must confirm before results are calculated.</w:t>
      </w:r>
    </w:p>
    <w:p>
      <w:pPr>
        <w:pStyle w:val="ListParagraph"/>
        <w:numPr>
          <w:ilvl w:val="0"/>
          <w:numId w:val="2"/>
        </w:numPr>
        <w:spacing w:after="60" w:line="264"/>
      </w:pPr>
      <w:r>
        <w:rPr>
          <w:rFonts w:ascii="Calibri" w:cs="Calibri" w:eastAsia="Calibri" w:hAnsi="Calibri"/>
        </w:rPr>
        <w:t xml:space="preserve">Regulation sets for NTA Levels 4–5 and NTA Level 6 are seeded with the indicative values in section 5; each institution confirms its own values, and a set is locked once results use it.</w:t>
      </w:r>
    </w:p>
    <w:p>
      <w:pPr>
        <w:pStyle w:val="ListParagraph"/>
        <w:numPr>
          <w:ilvl w:val="0"/>
          <w:numId w:val="2"/>
        </w:numPr>
        <w:spacing w:after="60" w:line="264"/>
      </w:pPr>
      <w:r>
        <w:rPr>
          <w:rFonts w:ascii="Calibri" w:cs="Calibri" w:eastAsia="Calibri" w:hAnsi="Calibri"/>
        </w:rPr>
        <w:t xml:space="preserve">Grading scale, CA/SE weights and component pass marks, GPA decimals and rounding, supplementary cap, discontinuation threshold and classification bands are all part of the regulation set.</w:t>
      </w:r>
    </w:p>
    <w:p>
      <w:pPr>
        <w:pStyle w:val="ListParagraph"/>
        <w:numPr>
          <w:ilvl w:val="0"/>
          <w:numId w:val="2"/>
        </w:numPr>
        <w:spacing w:after="60" w:line="264"/>
      </w:pPr>
      <w:r>
        <w:rPr>
          <w:rFonts w:ascii="Calibri" w:cs="Calibri" w:eastAsia="Calibri" w:hAnsi="Calibri"/>
        </w:rPr>
        <w:t xml:space="preserve">Examination eligibility: minimum attendance (default 75%), complete coursework and the examinations fees gate; the coursework and fees conditions can each be switched off, and the Department Board stage can be used or skipped.</w:t>
      </w:r>
    </w:p>
    <w:p>
      <w:pPr>
        <w:pStyle w:val="ListParagraph"/>
        <w:numPr>
          <w:ilvl w:val="0"/>
          <w:numId w:val="2"/>
        </w:numPr>
        <w:spacing w:after="60" w:line="264"/>
      </w:pPr>
      <w:r>
        <w:rPr>
          <w:rFonts w:ascii="Calibri" w:cs="Calibri" w:eastAsia="Calibri" w:hAnsi="Calibri"/>
        </w:rPr>
        <w:t xml:space="preserve">NVA competence: tasks per unit with evidence, and a maximum number of attempts per task (default 3, between 1 and 6).</w:t>
      </w:r>
    </w:p>
    <w:p>
      <w:pPr>
        <w:pStyle w:val="ListParagraph"/>
        <w:numPr>
          <w:ilvl w:val="0"/>
          <w:numId w:val="2"/>
        </w:numPr>
        <w:spacing w:after="60" w:line="264"/>
      </w:pPr>
      <w:r>
        <w:rPr>
          <w:rFonts w:ascii="Calibri" w:cs="Calibri" w:eastAsia="Calibri" w:hAnsi="Calibri"/>
        </w:rPr>
        <w:t xml:space="preserve">Appeals: appeal period after publication (default 14 days; 0 stops new requests) and fee per module.</w:t>
      </w:r>
    </w:p>
    <w:p>
      <w:pPr>
        <w:pStyle w:val="Heading2"/>
      </w:pPr>
      <w:bookmarkStart w:id="35" w:name="_TocV11_35"/>
      <w:r>
        <w:rPr>
          <w:rFonts w:ascii="Calibri" w:cs="Calibri" w:eastAsia="Calibri" w:hAnsi="Calibri"/>
        </w:rPr>
        <w:t xml:space="preserve">11.5 Integration test server</w:t>
      </w:r>
      <w:bookmarkEnd w:id="35"/>
    </w:p>
    <w:p>
      <w:pPr>
        <w:spacing w:after="300"/>
      </w:pPr>
      <w:r>
        <w:rPr>
          <w:i/>
          <w:rFonts w:ascii="Calibri" w:cs="Calibri" w:eastAsia="Calibri" w:hAnsi="Calibri"/>
          <w:color w:val="595959"/>
          <w:sz w:val="22"/>
          <w:szCs w:val="22"/>
        </w:rPr>
        <w:t xml:space="preserve">Because NACTVET's live verification service is not yet open to CIMS, a stand-in server was built for testing. This sub-section explains what it does and how it is used.</w:t>
      </w:r>
    </w:p>
    <w:p>
      <w:pPr>
        <w:spacing w:after="120" w:line="276"/>
        <w:jc w:val="both"/>
      </w:pPr>
      <w:r>
        <w:rPr>
          <w:rFonts w:ascii="Calibri" w:cs="Calibri" w:eastAsia="Calibri" w:hAnsi="Calibri"/>
        </w:rPr>
        <w:t xml:space="preserve">A stand-in NACTVET admission verification server (nactvet-mock, in the code repository) answers the placeholder endpoints the live adapter uses, with processing delays, queries, rejections, multiple admissions, wrong credentials and outages, and a browser dashboard. The full admission verification flow passes against it as well as against the built-in simulator.</w:t>
      </w:r>
    </w:p>
    <w:sectPr>
      <w:headerReference w:type="default" r:id="rId7"/>
      <w:footerReference w:type="default" r:id="rId8"/>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95959"/>
        <w:sz w:val="16"/>
        <w:szCs w:val="16"/>
      </w:rPr>
      <w:t xml:space="preserve">© 2026 Msingi Technologies Ltd  |  Confidential — For Stakeholder Review</w:t>
    </w:r>
    <w:r>
      <w:rPr>
        <w:rFonts w:ascii="Calibri" w:cs="Calibri" w:eastAsia="Calibri" w:hAnsi="Calibri"/>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Msingi Technologies Ltd  |  CIMS — Document 03: System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0E7C7B"/>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ed76639c2fb95fc90b93f55f0ca503fd63567ce.png"/><Relationship Id="rId10" Type="http://schemas.openxmlformats.org/officeDocument/2006/relationships/image" Target="media/9827bea42c37b9ff4e07104f8d7590a2ca34a6f2.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CIMS — Document 03: System Requirements Specification</dc:title>
  <dc:creator>Msingi Technologies Ltd</dc:creator>
  <cp:lastModifiedBy>Un-named</cp:lastModifiedBy>
  <cp:revision>1</cp:revision>
  <dcterms:created xsi:type="dcterms:W3CDTF">2026-10-06T09:59:02.746Z</dcterms:created>
  <dcterms:modified xsi:type="dcterms:W3CDTF">2026-10-06T09:59:02.746Z</dcterms:modified>
</cp:coreProperties>
</file>

<file path=docProps/custom.xml><?xml version="1.0" encoding="utf-8"?>
<Properties xmlns="http://schemas.openxmlformats.org/officeDocument/2006/custom-properties" xmlns:vt="http://schemas.openxmlformats.org/officeDocument/2006/docPropsVTypes"/>
</file>