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700"/>
        <w:gridCol w:w="7326"/>
      </w:tblGrid>
      <w:tr>
        <w:tc>
          <w:tcPr>
            <w:tcW w:type="dxa" w:w="1700"/>
            <w:tcBorders>
              <w:top w:val="none" w:color="FFFFFF" w:sz="0"/>
              <w:left w:val="none" w:color="FFFFFF" w:sz="0"/>
              <w:bottom w:val="none" w:color="FFFFFF" w:sz="0"/>
              <w:right w:val="none" w:color="FFFFFF" w:sz="0"/>
            </w:tcBorders>
            <w:vAlign w:val="center"/>
          </w:tcPr>
          <w:p>
            <w:r>
              <w:drawing>
                <wp:inline distT="0" distB="0" distL="0" distR="0">
                  <wp:extent cx="914400" cy="914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914400"/>
                          </a:xfrm>
                          <a:prstGeom prst="rect">
                            <a:avLst/>
                          </a:prstGeom>
                        </pic:spPr>
                      </pic:pic>
                    </a:graphicData>
                  </a:graphic>
                </wp:inline>
              </w:drawing>
            </w:r>
          </w:p>
        </w:tc>
        <w:tc>
          <w:tcPr>
            <w:tcW w:type="dxa" w:w="7326"/>
            <w:tcBorders>
              <w:top w:val="none" w:color="FFFFFF" w:sz="0"/>
              <w:left w:val="none" w:color="FFFFFF" w:sz="0"/>
              <w:bottom w:val="none" w:color="FFFFFF" w:sz="0"/>
              <w:right w:val="none" w:color="FFFFFF" w:sz="0"/>
            </w:tcBorders>
            <w:vAlign w:val="center"/>
          </w:tcPr>
          <w:p>
            <w:pPr>
              <w:spacing w:after="20"/>
            </w:pPr>
            <w:r>
              <w:rPr>
                <w:rFonts w:ascii="Calibri" w:cs="Calibri" w:eastAsia="Calibri" w:hAnsi="Calibri"/>
                <w:b/>
                <w:bCs/>
                <w:color w:val="0F1B2D"/>
                <w:spacing w:val="30"/>
                <w:sz w:val="34"/>
                <w:szCs w:val="34"/>
              </w:rPr>
              <w:t xml:space="preserve">MSINGI TECHNOLOGIES LTD</w:t>
            </w:r>
          </w:p>
          <w:p>
            <w:r>
              <w:rPr>
                <w:rFonts w:ascii="Calibri" w:cs="Calibri" w:eastAsia="Calibri" w:hAnsi="Calibri"/>
                <w:b/>
                <w:bCs/>
                <w:color w:val="12715B"/>
                <w:spacing w:val="20"/>
                <w:sz w:val="20"/>
                <w:szCs w:val="20"/>
              </w:rPr>
              <w:t xml:space="preserve">Software  •  IT Systems</w:t>
            </w:r>
          </w:p>
        </w:tc>
      </w:tr>
    </w:tbl>
    <w:p>
      <w:pPr>
        <w:pBdr>
          <w:bottom w:val="single" w:color="E3A72F" w:sz="12" w:space="1"/>
        </w:pBdr>
        <w:spacing w:after="160" w:before="120"/>
      </w:pPr>
    </w:p>
    <w:p>
      <w:pPr>
        <w:jc w:val="center"/>
      </w:pPr>
      <w:r>
        <w:drawing>
          <wp:inline distT="0" distB="0" distL="0" distR="0">
            <wp:extent cx="5715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857500"/>
                    </a:xfrm>
                    <a:prstGeom prst="rect">
                      <a:avLst/>
                    </a:prstGeom>
                  </pic:spPr>
                </pic:pic>
              </a:graphicData>
            </a:graphic>
          </wp:inline>
        </w:drawing>
      </w:r>
    </w:p>
    <w:p>
      <w:pPr>
        <w:spacing w:after="60" w:before="240"/>
      </w:pPr>
      <w:r>
        <w:rPr>
          <w:rFonts w:ascii="Calibri" w:cs="Calibri" w:eastAsia="Calibri" w:hAnsi="Calibri"/>
          <w:b/>
          <w:bCs/>
          <w:color w:val="1F3864"/>
          <w:sz w:val="44"/>
          <w:szCs w:val="44"/>
        </w:rPr>
        <w:t xml:space="preserve">College/Institution Management System (CIMS)</w:t>
      </w:r>
    </w:p>
    <w:p>
      <w:pPr>
        <w:spacing w:after="60"/>
      </w:pPr>
      <w:r>
        <w:rPr>
          <w:rFonts w:ascii="Calibri" w:cs="Calibri" w:eastAsia="Calibri" w:hAnsi="Calibri"/>
          <w:i/>
          <w:iCs/>
          <w:color w:val="0E7C7B"/>
          <w:sz w:val="24"/>
          <w:szCs w:val="24"/>
        </w:rPr>
        <w:t xml:space="preserve">One platform from application to graduation for NACTVET-registered institutions</w:t>
      </w:r>
    </w:p>
    <w:p>
      <w:pPr>
        <w:pBdr>
          <w:bottom w:val="single" w:color="0E7C7B" w:sz="8" w:space="4"/>
        </w:pBdr>
        <w:spacing w:after="60" w:before="240"/>
      </w:pPr>
      <w:r>
        <w:rPr>
          <w:rFonts w:ascii="Calibri" w:cs="Calibri" w:eastAsia="Calibri" w:hAnsi="Calibri"/>
          <w:b/>
          <w:bCs/>
          <w:color w:val="1F3864"/>
          <w:sz w:val="34"/>
          <w:szCs w:val="34"/>
        </w:rPr>
        <w:t xml:space="preserve">Document 04: Business Process Document</w:t>
      </w:r>
    </w:p>
    <w:p>
      <w:pPr>
        <w:spacing w:after="300"/>
      </w:pPr>
      <w:r>
        <w:rPr>
          <w:rFonts w:ascii="Calibri" w:cs="Calibri" w:eastAsia="Calibri" w:hAnsi="Calibri"/>
          <w:color w:val="595959"/>
          <w:sz w:val="22"/>
          <w:szCs w:val="22"/>
        </w:rPr>
        <w:t xml:space="preserve">End-to-end institutional workflows with actors, system support, controls, exceptions and service levels.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6499"/>
      </w:tblGrid>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Document</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Document 04: Business Process Document</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Document Status</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Version 3.1 — updated to the system as built after the October 2026 completion batches, for stakeholder review</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For</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Institutions registered by NACTVET to deliver NVA and NTA programmes, their governing boards and management</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System Scope</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Online Admission, Student Registry, Academic Structure, Teaching &amp; Attendance, Assessment &amp; Examination (NTA and NVA), Finance &amp; Fees (GePG), Hostel, Industrial Practical Training, Clearance &amp; Graduation, Student Portal, Reports and Integrations</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By</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Msingi Technologies Ltd</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Date</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October 2026</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Classification</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Confidential — For Stakeholder Review</w:t>
            </w:r>
          </w:p>
        </w:tc>
      </w:tr>
    </w:tbl>
    <w:p>
      <w:r>
        <w:br w:type="page"/>
      </w:r>
    </w:p>
    <w:p>
      <w:pPr>
        <w:pStyle w:val="Heading1"/>
      </w:pPr>
      <w:r>
        <w:rPr>
          <w:rFonts w:ascii="Calibri" w:cs="Calibri" w:eastAsia="Calibri" w:hAnsi="Calibri"/>
        </w:rPr>
        <w:t xml:space="preserve">Document Control</w:t>
      </w:r>
    </w:p>
    <w:p>
      <w:pPr>
        <w:spacing w:after="300"/>
      </w:pPr>
      <w:r>
        <w:rPr>
          <w:i/>
          <w:rFonts w:ascii="Calibri" w:cs="Calibri" w:eastAsia="Calibri" w:hAnsi="Calibri"/>
          <w:color w:val="595959"/>
          <w:sz w:val="22"/>
          <w:szCs w:val="22"/>
        </w:rPr>
        <w:t xml:space="preserve">This section records the versions of this Business Process Document, who prepared each one and what changed, so that readers know they are working from the current approved text.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1624"/>
        <w:gridCol w:w="1985"/>
        <w:gridCol w:w="4334"/>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Version</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Date</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Prepared By</w:t>
            </w:r>
          </w:p>
        </w:tc>
        <w:tc>
          <w:tcPr>
            <w:tcW w:type="dxa" w:w="433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Description</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1.0</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Team</w:t>
            </w:r>
          </w:p>
        </w:tc>
        <w:tc>
          <w:tcPr>
            <w:tcW w:type="dxa" w:w="43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Initial planning version (generic institution).</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2.0</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Re-baselined for NACTVET-registered NVA/NTA institutions, each with its own online admission system; content expanded and aligned across the document suite.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3.0</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Updated to the system as built (development build, October 2026): what is built, what is partly built and what remains, with corrected technology, data model and plan. The version 2.0 requirements stay the baseline.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3.1</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Process status and "As built" notes brought up to date after the completion batches (campuses and transfers; instalments, penalties and discounts; email; two-step sign-in, API clients and personal-data requests; data import and document uploads; configurable approval stages; alumni and tracer surveys; government adapters, deployment and load tests; the staff back-office in Kiswahili). The version 2.0 processes stay the baseline.</w:t>
            </w:r>
          </w:p>
        </w:tc>
      </w:tr>
    </w:tbl>
    <w:p>
      <w:pPr>
        <w:pStyle w:val="Heading2"/>
        <w:spacing w:before="200"/>
      </w:pPr>
      <w:r>
        <w:rPr>
          <w:rFonts w:ascii="Calibri" w:cs="Calibri" w:eastAsia="Calibri" w:hAnsi="Calibri"/>
        </w:rPr>
        <w:t xml:space="preserve">Review and Approval</w:t>
      </w:r>
    </w:p>
    <w:p>
      <w:pPr>
        <w:spacing w:after="300"/>
      </w:pPr>
      <w:r>
        <w:rPr>
          <w:i/>
          <w:rFonts w:ascii="Calibri" w:cs="Calibri" w:eastAsia="Calibri" w:hAnsi="Calibri"/>
          <w:color w:val="595959"/>
          <w:sz w:val="22"/>
          <w:szCs w:val="22"/>
        </w:rPr>
        <w:t xml:space="preserve">The people listed below review this Business Process Document and confirm, by signing, that it is accepted as the basis for the work that follows.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6"/>
        <w:gridCol w:w="2707"/>
        <w:gridCol w:w="1985"/>
        <w:gridCol w:w="1988"/>
      </w:tblGrid>
      <w:tr>
        <w:trPr>
          <w:tblHeader/>
        </w:trPr>
        <w:tc>
          <w:tcPr>
            <w:tcW w:type="dxa" w:w="234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Role</w:t>
            </w:r>
          </w:p>
        </w:tc>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Name</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Signature</w:t>
            </w:r>
          </w:p>
        </w:tc>
        <w:tc>
          <w:tcPr>
            <w:tcW w:type="dxa" w:w="198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Date</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Managing Director, Msingi Technologies Ltd</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Manager, Msingi Technologies Ltd</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Sponsor (Institution)</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Principal / Head of Institution</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r>
    </w:tbl>
    <w:p>
      <w:pPr>
        <w:pStyle w:val="Heading2"/>
        <w:spacing w:before="200"/>
      </w:pPr>
      <w:r>
        <w:rPr>
          <w:rFonts w:ascii="Calibri" w:cs="Calibri" w:eastAsia="Calibri" w:hAnsi="Calibri"/>
        </w:rPr>
        <w:t xml:space="preserve">Related Documents</w:t>
      </w:r>
    </w:p>
    <w:p>
      <w:pPr>
        <w:spacing w:after="300"/>
      </w:pPr>
      <w:r>
        <w:rPr>
          <w:i/>
          <w:rFonts w:ascii="Calibri" w:cs="Calibri" w:eastAsia="Calibri" w:hAnsi="Calibri"/>
          <w:color w:val="595959"/>
          <w:sz w:val="22"/>
          <w:szCs w:val="22"/>
        </w:rPr>
        <w:t xml:space="preserve">CIMS is described in a set of eight documents, each written for a different purpose and audience. This table shows where each topic is covered, so a reader can go straight to the document that answers their question.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22"/>
        <w:gridCol w:w="3068"/>
        <w:gridCol w:w="5236"/>
      </w:tblGrid>
      <w:tr>
        <w:trPr>
          <w:tblHeader/>
        </w:trPr>
        <w:tc>
          <w:tcPr>
            <w:tcW w:type="dxa" w:w="72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No.</w:t>
            </w:r>
          </w:p>
        </w:tc>
        <w:tc>
          <w:tcPr>
            <w:tcW w:type="dxa" w:w="306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Document</w:t>
            </w:r>
          </w:p>
        </w:tc>
        <w:tc>
          <w:tcPr>
            <w:tcW w:type="dxa" w:w="523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Purpose</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01</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Concept Note</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Why the system is needed, the vision, value to stakeholders and the delivery model.</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02</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Business Requirements Document</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Stakeholders, business requirements, business rules and success measures.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03</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System Requirements Specification</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Functional and non-functional requirements, roles, use cases and traceability.</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04</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Business Process Document (this document)</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End-to-end institutional workflows with actors, controls and service levels.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05</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Database Design</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Data model, table catalogue, constraints, multi-tenancy and data governance.</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06</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System Architecture</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Technology stack, components, security, integrations, deployment and operations.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07</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Development Plan and Cost Estimate</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Release plan, team, effort-based budget, pricing model and risks.</w:t>
            </w:r>
          </w:p>
        </w:tc>
      </w:tr>
    </w:tbl>
    <w:p>
      <w:r>
        <w:br w:type="page"/>
      </w:r>
    </w:p>
    <w:p>
      <w:pPr>
        <w:pStyle w:val="Heading1"/>
      </w:pPr>
      <w:r>
        <w:rPr>
          <w:rFonts w:ascii="Calibri" w:cs="Calibri" w:eastAsia="Calibri" w:hAnsi="Calibri"/>
        </w:rPr>
        <w:t xml:space="preserve">Table of Contents</w:t>
      </w:r>
    </w:p>
    <w:sdt>
      <w:sdtPr>
        <w:alias w:val="Table of Contents"/>
      </w:sdtPr>
      <w:sdtContent>
        <w:p>
          <w:r>
            <w:fldChar w:fldCharType="begin" w:dirty="true"/>
            <w:instrText xml:space="preserve">TOC \h \o "1-2"</w:instrText>
            <w:fldChar w:fldCharType="separate"/>
          </w:r>
        </w:p>
        <w:p>
          <w:pPr>
            <w:tabs>
              <w:tab w:val="right" w:leader="dot" w:pos="9020"/>
            </w:tabs>
            <w:spacing w:before="120" w:after="20"/>
            <w:ind w:left="0"/>
          </w:pPr>
          <w:hyperlink w:anchor="_TocV11_1" w:history="1">
            <w:r>
              <w:rPr>
                <w:rFonts w:ascii="Calibri" w:cs="Calibri" w:eastAsia="Calibri" w:hAnsi="Calibri"/>
                <w:b/>
                <w:bCs/>
                <w:color w:val="1F3864"/>
                <w:sz w:val="21"/>
                <w:szCs w:val="21"/>
              </w:rPr>
              <w:t xml:space="preserve">1. Introduction</w:t>
            </w:r>
            <w:r>
              <w:rPr>
                <w:rFonts w:ascii="Calibri" w:cs="Calibri" w:eastAsia="Calibri" w:hAnsi="Calibri"/>
                <w:b/>
                <w:bCs/>
                <w:color w:val="1F3864"/>
                <w:sz w:val="21"/>
                <w:szCs w:val="21"/>
              </w:rPr>
              <w:tab/>
              <w:t>5</w:t>
            </w:r>
          </w:hyperlink>
        </w:p>
        <w:p>
          <w:pPr>
            <w:tabs>
              <w:tab w:val="right" w:leader="dot" w:pos="9020"/>
            </w:tabs>
            <w:spacing w:before="20" w:after="20"/>
            <w:ind w:left="360"/>
          </w:pPr>
          <w:hyperlink w:anchor="_TocV11_2" w:history="1">
            <w:r>
              <w:rPr>
                <w:rFonts w:ascii="Calibri" w:cs="Calibri" w:eastAsia="Calibri" w:hAnsi="Calibri"/>
                <w:sz w:val="20"/>
                <w:szCs w:val="20"/>
              </w:rPr>
              <w:t xml:space="preserve">1.1 Process architecture</w:t>
            </w:r>
            <w:r>
              <w:rPr>
                <w:rFonts w:ascii="Calibri" w:cs="Calibri" w:eastAsia="Calibri" w:hAnsi="Calibri"/>
                <w:sz w:val="20"/>
                <w:szCs w:val="20"/>
              </w:rPr>
              <w:tab/>
              <w:t>5</w:t>
            </w:r>
          </w:hyperlink>
        </w:p>
        <w:p>
          <w:pPr>
            <w:tabs>
              <w:tab w:val="right" w:leader="dot" w:pos="9020"/>
            </w:tabs>
            <w:spacing w:before="20" w:after="20"/>
            <w:ind w:left="360"/>
          </w:pPr>
          <w:hyperlink w:anchor="_TocV11_3" w:history="1">
            <w:r>
              <w:rPr>
                <w:rFonts w:ascii="Calibri" w:cs="Calibri" w:eastAsia="Calibri" w:hAnsi="Calibri"/>
                <w:sz w:val="20"/>
                <w:szCs w:val="20"/>
              </w:rPr>
              <w:t xml:space="preserve">1.2 Academic calendar alignment</w:t>
            </w:r>
            <w:r>
              <w:rPr>
                <w:rFonts w:ascii="Calibri" w:cs="Calibri" w:eastAsia="Calibri" w:hAnsi="Calibri"/>
                <w:sz w:val="20"/>
                <w:szCs w:val="20"/>
              </w:rPr>
              <w:tab/>
              <w:t>5</w:t>
            </w:r>
          </w:hyperlink>
        </w:p>
        <w:p>
          <w:pPr>
            <w:tabs>
              <w:tab w:val="right" w:leader="dot" w:pos="9020"/>
            </w:tabs>
            <w:spacing w:before="20" w:after="20"/>
            <w:ind w:left="360"/>
          </w:pPr>
          <w:hyperlink w:anchor="_TocV11_4" w:history="1">
            <w:r>
              <w:rPr>
                <w:rFonts w:ascii="Calibri" w:cs="Calibri" w:eastAsia="Calibri" w:hAnsi="Calibri"/>
                <w:sz w:val="20"/>
                <w:szCs w:val="20"/>
              </w:rPr>
              <w:t xml:space="preserve">1.3 Implementation status (October 2026)</w:t>
            </w:r>
            <w:r>
              <w:rPr>
                <w:rFonts w:ascii="Calibri" w:cs="Calibri" w:eastAsia="Calibri" w:hAnsi="Calibri"/>
                <w:sz w:val="20"/>
                <w:szCs w:val="20"/>
              </w:rPr>
              <w:tab/>
              <w:t>6</w:t>
            </w:r>
          </w:hyperlink>
        </w:p>
        <w:p>
          <w:pPr>
            <w:tabs>
              <w:tab w:val="right" w:leader="dot" w:pos="9020"/>
            </w:tabs>
            <w:spacing w:before="120" w:after="20"/>
            <w:ind w:left="0"/>
          </w:pPr>
          <w:hyperlink w:anchor="_TocV11_5" w:history="1">
            <w:r>
              <w:rPr>
                <w:rFonts w:ascii="Calibri" w:cs="Calibri" w:eastAsia="Calibri" w:hAnsi="Calibri"/>
                <w:b/>
                <w:bCs/>
                <w:color w:val="1F3864"/>
                <w:sz w:val="21"/>
                <w:szCs w:val="21"/>
              </w:rPr>
              <w:t xml:space="preserve">2. Admission Processes</w:t>
            </w:r>
            <w:r>
              <w:rPr>
                <w:rFonts w:ascii="Calibri" w:cs="Calibri" w:eastAsia="Calibri" w:hAnsi="Calibri"/>
                <w:b/>
                <w:bCs/>
                <w:color w:val="1F3864"/>
                <w:sz w:val="21"/>
                <w:szCs w:val="21"/>
              </w:rPr>
              <w:tab/>
              <w:t>7</w:t>
            </w:r>
          </w:hyperlink>
        </w:p>
        <w:p>
          <w:pPr>
            <w:tabs>
              <w:tab w:val="right" w:leader="dot" w:pos="9020"/>
            </w:tabs>
            <w:spacing w:before="20" w:after="20"/>
            <w:ind w:left="360"/>
          </w:pPr>
          <w:hyperlink w:anchor="_TocV11_6" w:history="1">
            <w:r>
              <w:rPr>
                <w:rFonts w:ascii="Calibri" w:cs="Calibri" w:eastAsia="Calibri" w:hAnsi="Calibri"/>
                <w:sz w:val="20"/>
                <w:szCs w:val="20"/>
              </w:rPr>
              <w:t xml:space="preserve">BP-01 Admission Window Setup</w:t>
            </w:r>
            <w:r>
              <w:rPr>
                <w:rFonts w:ascii="Calibri" w:cs="Calibri" w:eastAsia="Calibri" w:hAnsi="Calibri"/>
                <w:sz w:val="20"/>
                <w:szCs w:val="20"/>
              </w:rPr>
              <w:tab/>
              <w:t>7</w:t>
            </w:r>
          </w:hyperlink>
        </w:p>
        <w:p>
          <w:pPr>
            <w:tabs>
              <w:tab w:val="right" w:leader="dot" w:pos="9020"/>
            </w:tabs>
            <w:spacing w:before="20" w:after="20"/>
            <w:ind w:left="360"/>
          </w:pPr>
          <w:hyperlink w:anchor="_TocV11_7" w:history="1">
            <w:r>
              <w:rPr>
                <w:rFonts w:ascii="Calibri" w:cs="Calibri" w:eastAsia="Calibri" w:hAnsi="Calibri"/>
                <w:sz w:val="20"/>
                <w:szCs w:val="20"/>
              </w:rPr>
              <w:t xml:space="preserve">BP-02 Online Application and Fee Payment</w:t>
            </w:r>
            <w:r>
              <w:rPr>
                <w:rFonts w:ascii="Calibri" w:cs="Calibri" w:eastAsia="Calibri" w:hAnsi="Calibri"/>
                <w:sz w:val="20"/>
                <w:szCs w:val="20"/>
              </w:rPr>
              <w:tab/>
              <w:t>8</w:t>
            </w:r>
          </w:hyperlink>
        </w:p>
        <w:p>
          <w:pPr>
            <w:tabs>
              <w:tab w:val="right" w:leader="dot" w:pos="9020"/>
            </w:tabs>
            <w:spacing w:before="20" w:after="20"/>
            <w:ind w:left="360"/>
          </w:pPr>
          <w:hyperlink w:anchor="_TocV11_8" w:history="1">
            <w:r>
              <w:rPr>
                <w:rFonts w:ascii="Calibri" w:cs="Calibri" w:eastAsia="Calibri" w:hAnsi="Calibri"/>
                <w:sz w:val="20"/>
                <w:szCs w:val="20"/>
              </w:rPr>
              <w:t xml:space="preserve">BP-03 Eligibility, Ranking and Selection</w:t>
            </w:r>
            <w:r>
              <w:rPr>
                <w:rFonts w:ascii="Calibri" w:cs="Calibri" w:eastAsia="Calibri" w:hAnsi="Calibri"/>
                <w:sz w:val="20"/>
                <w:szCs w:val="20"/>
              </w:rPr>
              <w:tab/>
              <w:t>9</w:t>
            </w:r>
          </w:hyperlink>
        </w:p>
        <w:p>
          <w:pPr>
            <w:tabs>
              <w:tab w:val="right" w:leader="dot" w:pos="9020"/>
            </w:tabs>
            <w:spacing w:before="20" w:after="20"/>
            <w:ind w:left="360"/>
          </w:pPr>
          <w:hyperlink w:anchor="_TocV11_9" w:history="1">
            <w:r>
              <w:rPr>
                <w:rFonts w:ascii="Calibri" w:cs="Calibri" w:eastAsia="Calibri" w:hAnsi="Calibri"/>
                <w:sz w:val="20"/>
                <w:szCs w:val="20"/>
              </w:rPr>
              <w:t xml:space="preserve">BP-04 NACTVET Verification and Offer Acceptance</w:t>
            </w:r>
            <w:r>
              <w:rPr>
                <w:rFonts w:ascii="Calibri" w:cs="Calibri" w:eastAsia="Calibri" w:hAnsi="Calibri"/>
                <w:sz w:val="20"/>
                <w:szCs w:val="20"/>
              </w:rPr>
              <w:tab/>
              <w:t>10</w:t>
            </w:r>
          </w:hyperlink>
        </w:p>
        <w:p>
          <w:pPr>
            <w:tabs>
              <w:tab w:val="right" w:leader="dot" w:pos="9020"/>
            </w:tabs>
            <w:spacing w:before="120" w:after="20"/>
            <w:ind w:left="0"/>
          </w:pPr>
          <w:hyperlink w:anchor="_TocV11_10" w:history="1">
            <w:r>
              <w:rPr>
                <w:rFonts w:ascii="Calibri" w:cs="Calibri" w:eastAsia="Calibri" w:hAnsi="Calibri"/>
                <w:b/>
                <w:bCs/>
                <w:color w:val="1F3864"/>
                <w:sz w:val="21"/>
                <w:szCs w:val="21"/>
              </w:rPr>
              <w:t xml:space="preserve">3. Registration and Records Processes</w:t>
            </w:r>
            <w:r>
              <w:rPr>
                <w:rFonts w:ascii="Calibri" w:cs="Calibri" w:eastAsia="Calibri" w:hAnsi="Calibri"/>
                <w:b/>
                <w:bCs/>
                <w:color w:val="1F3864"/>
                <w:sz w:val="21"/>
                <w:szCs w:val="21"/>
              </w:rPr>
              <w:tab/>
              <w:t>12</w:t>
            </w:r>
          </w:hyperlink>
        </w:p>
        <w:p>
          <w:pPr>
            <w:tabs>
              <w:tab w:val="right" w:leader="dot" w:pos="9020"/>
            </w:tabs>
            <w:spacing w:before="20" w:after="20"/>
            <w:ind w:left="360"/>
          </w:pPr>
          <w:hyperlink w:anchor="_TocV11_11" w:history="1">
            <w:r>
              <w:rPr>
                <w:rFonts w:ascii="Calibri" w:cs="Calibri" w:eastAsia="Calibri" w:hAnsi="Calibri"/>
                <w:sz w:val="20"/>
                <w:szCs w:val="20"/>
              </w:rPr>
              <w:t xml:space="preserve">BP-05 Student Registration</w:t>
            </w:r>
            <w:r>
              <w:rPr>
                <w:rFonts w:ascii="Calibri" w:cs="Calibri" w:eastAsia="Calibri" w:hAnsi="Calibri"/>
                <w:sz w:val="20"/>
                <w:szCs w:val="20"/>
              </w:rPr>
              <w:tab/>
              <w:t>12</w:t>
            </w:r>
          </w:hyperlink>
        </w:p>
        <w:p>
          <w:pPr>
            <w:tabs>
              <w:tab w:val="right" w:leader="dot" w:pos="9020"/>
            </w:tabs>
            <w:spacing w:before="20" w:after="20"/>
            <w:ind w:left="360"/>
          </w:pPr>
          <w:hyperlink w:anchor="_TocV11_12" w:history="1">
            <w:r>
              <w:rPr>
                <w:rFonts w:ascii="Calibri" w:cs="Calibri" w:eastAsia="Calibri" w:hAnsi="Calibri"/>
                <w:sz w:val="20"/>
                <w:szCs w:val="20"/>
              </w:rPr>
              <w:t xml:space="preserve">BP-14 Student Status Changes</w:t>
            </w:r>
            <w:r>
              <w:rPr>
                <w:rFonts w:ascii="Calibri" w:cs="Calibri" w:eastAsia="Calibri" w:hAnsi="Calibri"/>
                <w:sz w:val="20"/>
                <w:szCs w:val="20"/>
              </w:rPr>
              <w:tab/>
              <w:t>13</w:t>
            </w:r>
          </w:hyperlink>
        </w:p>
        <w:p>
          <w:pPr>
            <w:tabs>
              <w:tab w:val="right" w:leader="dot" w:pos="9020"/>
            </w:tabs>
            <w:spacing w:before="120" w:after="20"/>
            <w:ind w:left="0"/>
          </w:pPr>
          <w:hyperlink w:anchor="_TocV11_13" w:history="1">
            <w:r>
              <w:rPr>
                <w:rFonts w:ascii="Calibri" w:cs="Calibri" w:eastAsia="Calibri" w:hAnsi="Calibri"/>
                <w:b/>
                <w:bCs/>
                <w:color w:val="1F3864"/>
                <w:sz w:val="21"/>
                <w:szCs w:val="21"/>
              </w:rPr>
              <w:t xml:space="preserve">4. Finance Processes</w:t>
            </w:r>
            <w:r>
              <w:rPr>
                <w:rFonts w:ascii="Calibri" w:cs="Calibri" w:eastAsia="Calibri" w:hAnsi="Calibri"/>
                <w:b/>
                <w:bCs/>
                <w:color w:val="1F3864"/>
                <w:sz w:val="21"/>
                <w:szCs w:val="21"/>
              </w:rPr>
              <w:tab/>
              <w:t>13</w:t>
            </w:r>
          </w:hyperlink>
        </w:p>
        <w:p>
          <w:pPr>
            <w:tabs>
              <w:tab w:val="right" w:leader="dot" w:pos="9020"/>
            </w:tabs>
            <w:spacing w:before="20" w:after="20"/>
            <w:ind w:left="360"/>
          </w:pPr>
          <w:hyperlink w:anchor="_TocV11_14" w:history="1">
            <w:r>
              <w:rPr>
                <w:rFonts w:ascii="Calibri" w:cs="Calibri" w:eastAsia="Calibri" w:hAnsi="Calibri"/>
                <w:sz w:val="20"/>
                <w:szCs w:val="20"/>
              </w:rPr>
              <w:t xml:space="preserve">BP-06 Fee Billing, Payment and Reconciliation</w:t>
            </w:r>
            <w:r>
              <w:rPr>
                <w:rFonts w:ascii="Calibri" w:cs="Calibri" w:eastAsia="Calibri" w:hAnsi="Calibri"/>
                <w:sz w:val="20"/>
                <w:szCs w:val="20"/>
              </w:rPr>
              <w:tab/>
              <w:t>14</w:t>
            </w:r>
          </w:hyperlink>
        </w:p>
        <w:p>
          <w:pPr>
            <w:tabs>
              <w:tab w:val="right" w:leader="dot" w:pos="9020"/>
            </w:tabs>
            <w:spacing w:before="20" w:after="20"/>
            <w:ind w:left="360"/>
          </w:pPr>
          <w:hyperlink w:anchor="_TocV11_15" w:history="1">
            <w:r>
              <w:rPr>
                <w:rFonts w:ascii="Calibri" w:cs="Calibri" w:eastAsia="Calibri" w:hAnsi="Calibri"/>
                <w:sz w:val="20"/>
                <w:szCs w:val="20"/>
              </w:rPr>
              <w:t xml:space="preserve">BP-17 Sponsorship, Waivers and Refunds</w:t>
            </w:r>
            <w:r>
              <w:rPr>
                <w:rFonts w:ascii="Calibri" w:cs="Calibri" w:eastAsia="Calibri" w:hAnsi="Calibri"/>
                <w:sz w:val="20"/>
                <w:szCs w:val="20"/>
              </w:rPr>
              <w:tab/>
              <w:t>15</w:t>
            </w:r>
          </w:hyperlink>
        </w:p>
        <w:p>
          <w:pPr>
            <w:tabs>
              <w:tab w:val="right" w:leader="dot" w:pos="9020"/>
            </w:tabs>
            <w:spacing w:before="120" w:after="20"/>
            <w:ind w:left="0"/>
          </w:pPr>
          <w:hyperlink w:anchor="_TocV11_16" w:history="1">
            <w:r>
              <w:rPr>
                <w:rFonts w:ascii="Calibri" w:cs="Calibri" w:eastAsia="Calibri" w:hAnsi="Calibri"/>
                <w:b/>
                <w:bCs/>
                <w:color w:val="1F3864"/>
                <w:sz w:val="21"/>
                <w:szCs w:val="21"/>
              </w:rPr>
              <w:t xml:space="preserve">5. Teaching and Assessment Processes</w:t>
            </w:r>
            <w:r>
              <w:rPr>
                <w:rFonts w:ascii="Calibri" w:cs="Calibri" w:eastAsia="Calibri" w:hAnsi="Calibri"/>
                <w:b/>
                <w:bCs/>
                <w:color w:val="1F3864"/>
                <w:sz w:val="21"/>
                <w:szCs w:val="21"/>
              </w:rPr>
              <w:tab/>
              <w:t>16</w:t>
            </w:r>
          </w:hyperlink>
        </w:p>
        <w:p>
          <w:pPr>
            <w:tabs>
              <w:tab w:val="right" w:leader="dot" w:pos="9020"/>
            </w:tabs>
            <w:spacing w:before="20" w:after="20"/>
            <w:ind w:left="360"/>
          </w:pPr>
          <w:hyperlink w:anchor="_TocV11_17" w:history="1">
            <w:r>
              <w:rPr>
                <w:rFonts w:ascii="Calibri" w:cs="Calibri" w:eastAsia="Calibri" w:hAnsi="Calibri"/>
                <w:sz w:val="20"/>
                <w:szCs w:val="20"/>
              </w:rPr>
              <w:t xml:space="preserve">BP-07 Module Allocation and Attendance</w:t>
            </w:r>
            <w:r>
              <w:rPr>
                <w:rFonts w:ascii="Calibri" w:cs="Calibri" w:eastAsia="Calibri" w:hAnsi="Calibri"/>
                <w:sz w:val="20"/>
                <w:szCs w:val="20"/>
              </w:rPr>
              <w:tab/>
              <w:t>16</w:t>
            </w:r>
          </w:hyperlink>
        </w:p>
        <w:p>
          <w:pPr>
            <w:tabs>
              <w:tab w:val="right" w:leader="dot" w:pos="9020"/>
            </w:tabs>
            <w:spacing w:before="20" w:after="20"/>
            <w:ind w:left="360"/>
          </w:pPr>
          <w:hyperlink w:anchor="_TocV11_18" w:history="1">
            <w:r>
              <w:rPr>
                <w:rFonts w:ascii="Calibri" w:cs="Calibri" w:eastAsia="Calibri" w:hAnsi="Calibri"/>
                <w:sz w:val="20"/>
                <w:szCs w:val="20"/>
              </w:rPr>
              <w:t xml:space="preserve">BP-08 NTA Assessment and Results Approval</w:t>
            </w:r>
            <w:r>
              <w:rPr>
                <w:rFonts w:ascii="Calibri" w:cs="Calibri" w:eastAsia="Calibri" w:hAnsi="Calibri"/>
                <w:sz w:val="20"/>
                <w:szCs w:val="20"/>
              </w:rPr>
              <w:tab/>
              <w:t>17</w:t>
            </w:r>
          </w:hyperlink>
        </w:p>
        <w:p>
          <w:pPr>
            <w:tabs>
              <w:tab w:val="right" w:leader="dot" w:pos="9020"/>
            </w:tabs>
            <w:spacing w:before="20" w:after="20"/>
            <w:ind w:left="360"/>
          </w:pPr>
          <w:hyperlink w:anchor="_TocV11_19" w:history="1">
            <w:r>
              <w:rPr>
                <w:rFonts w:ascii="Calibri" w:cs="Calibri" w:eastAsia="Calibri" w:hAnsi="Calibri"/>
                <w:sz w:val="20"/>
                <w:szCs w:val="20"/>
              </w:rPr>
              <w:t xml:space="preserve">BP-09 NVA Competence Assessment</w:t>
            </w:r>
            <w:r>
              <w:rPr>
                <w:rFonts w:ascii="Calibri" w:cs="Calibri" w:eastAsia="Calibri" w:hAnsi="Calibri"/>
                <w:sz w:val="20"/>
                <w:szCs w:val="20"/>
              </w:rPr>
              <w:tab/>
              <w:t>18</w:t>
            </w:r>
          </w:hyperlink>
        </w:p>
        <w:p>
          <w:pPr>
            <w:tabs>
              <w:tab w:val="right" w:leader="dot" w:pos="9020"/>
            </w:tabs>
            <w:spacing w:before="20" w:after="20"/>
            <w:ind w:left="360"/>
          </w:pPr>
          <w:hyperlink w:anchor="_TocV11_20" w:history="1">
            <w:r>
              <w:rPr>
                <w:rFonts w:ascii="Calibri" w:cs="Calibri" w:eastAsia="Calibri" w:hAnsi="Calibri"/>
                <w:sz w:val="20"/>
                <w:szCs w:val="20"/>
              </w:rPr>
              <w:t xml:space="preserve">BP-10 Supplementary, Special and Carry-over Examinations</w:t>
            </w:r>
            <w:r>
              <w:rPr>
                <w:rFonts w:ascii="Calibri" w:cs="Calibri" w:eastAsia="Calibri" w:hAnsi="Calibri"/>
                <w:sz w:val="20"/>
                <w:szCs w:val="20"/>
              </w:rPr>
              <w:tab/>
              <w:t>19</w:t>
            </w:r>
          </w:hyperlink>
        </w:p>
        <w:p>
          <w:pPr>
            <w:tabs>
              <w:tab w:val="right" w:leader="dot" w:pos="9020"/>
            </w:tabs>
            <w:spacing w:before="20" w:after="20"/>
            <w:ind w:left="360"/>
          </w:pPr>
          <w:hyperlink w:anchor="_TocV11_21" w:history="1">
            <w:r>
              <w:rPr>
                <w:rFonts w:ascii="Calibri" w:cs="Calibri" w:eastAsia="Calibri" w:hAnsi="Calibri"/>
                <w:sz w:val="20"/>
                <w:szCs w:val="20"/>
              </w:rPr>
              <w:t xml:space="preserve">BP-11 Remarking and Appeals</w:t>
            </w:r>
            <w:r>
              <w:rPr>
                <w:rFonts w:ascii="Calibri" w:cs="Calibri" w:eastAsia="Calibri" w:hAnsi="Calibri"/>
                <w:sz w:val="20"/>
                <w:szCs w:val="20"/>
              </w:rPr>
              <w:tab/>
              <w:t>19</w:t>
            </w:r>
          </w:hyperlink>
        </w:p>
        <w:p>
          <w:pPr>
            <w:tabs>
              <w:tab w:val="right" w:leader="dot" w:pos="9020"/>
            </w:tabs>
            <w:spacing w:before="120" w:after="20"/>
            <w:ind w:left="0"/>
          </w:pPr>
          <w:hyperlink w:anchor="_TocV11_22" w:history="1">
            <w:r>
              <w:rPr>
                <w:rFonts w:ascii="Calibri" w:cs="Calibri" w:eastAsia="Calibri" w:hAnsi="Calibri"/>
                <w:b/>
                <w:bCs/>
                <w:color w:val="1F3864"/>
                <w:sz w:val="21"/>
                <w:szCs w:val="21"/>
              </w:rPr>
              <w:t xml:space="preserve">6. Campus Service Processes</w:t>
            </w:r>
            <w:r>
              <w:rPr>
                <w:rFonts w:ascii="Calibri" w:cs="Calibri" w:eastAsia="Calibri" w:hAnsi="Calibri"/>
                <w:b/>
                <w:bCs/>
                <w:color w:val="1F3864"/>
                <w:sz w:val="21"/>
                <w:szCs w:val="21"/>
              </w:rPr>
              <w:tab/>
              <w:t>20</w:t>
            </w:r>
          </w:hyperlink>
        </w:p>
        <w:p>
          <w:pPr>
            <w:tabs>
              <w:tab w:val="right" w:leader="dot" w:pos="9020"/>
            </w:tabs>
            <w:spacing w:before="20" w:after="20"/>
            <w:ind w:left="360"/>
          </w:pPr>
          <w:hyperlink w:anchor="_TocV11_23" w:history="1">
            <w:r>
              <w:rPr>
                <w:rFonts w:ascii="Calibri" w:cs="Calibri" w:eastAsia="Calibri" w:hAnsi="Calibri"/>
                <w:sz w:val="20"/>
                <w:szCs w:val="20"/>
              </w:rPr>
              <w:t xml:space="preserve">BP-12 Hostel Application and Allocation</w:t>
            </w:r>
            <w:r>
              <w:rPr>
                <w:rFonts w:ascii="Calibri" w:cs="Calibri" w:eastAsia="Calibri" w:hAnsi="Calibri"/>
                <w:sz w:val="20"/>
                <w:szCs w:val="20"/>
              </w:rPr>
              <w:tab/>
              <w:t>20</w:t>
            </w:r>
          </w:hyperlink>
        </w:p>
        <w:p>
          <w:pPr>
            <w:tabs>
              <w:tab w:val="right" w:leader="dot" w:pos="9020"/>
            </w:tabs>
            <w:spacing w:before="20" w:after="20"/>
            <w:ind w:left="360"/>
          </w:pPr>
          <w:hyperlink w:anchor="_TocV11_24" w:history="1">
            <w:r>
              <w:rPr>
                <w:rFonts w:ascii="Calibri" w:cs="Calibri" w:eastAsia="Calibri" w:hAnsi="Calibri"/>
                <w:sz w:val="20"/>
                <w:szCs w:val="20"/>
              </w:rPr>
              <w:t xml:space="preserve">BP-13 Industrial Practical Training (IPT)</w:t>
            </w:r>
            <w:r>
              <w:rPr>
                <w:rFonts w:ascii="Calibri" w:cs="Calibri" w:eastAsia="Calibri" w:hAnsi="Calibri"/>
                <w:sz w:val="20"/>
                <w:szCs w:val="20"/>
              </w:rPr>
              <w:tab/>
              <w:t>21</w:t>
            </w:r>
          </w:hyperlink>
        </w:p>
        <w:p>
          <w:pPr>
            <w:tabs>
              <w:tab w:val="right" w:leader="dot" w:pos="9020"/>
            </w:tabs>
            <w:spacing w:before="120" w:after="20"/>
            <w:ind w:left="0"/>
          </w:pPr>
          <w:hyperlink w:anchor="_TocV11_25" w:history="1">
            <w:r>
              <w:rPr>
                <w:rFonts w:ascii="Calibri" w:cs="Calibri" w:eastAsia="Calibri" w:hAnsi="Calibri"/>
                <w:b/>
                <w:bCs/>
                <w:color w:val="1F3864"/>
                <w:sz w:val="21"/>
                <w:szCs w:val="21"/>
              </w:rPr>
              <w:t xml:space="preserve">7. Completion Processes</w:t>
            </w:r>
            <w:r>
              <w:rPr>
                <w:rFonts w:ascii="Calibri" w:cs="Calibri" w:eastAsia="Calibri" w:hAnsi="Calibri"/>
                <w:b/>
                <w:bCs/>
                <w:color w:val="1F3864"/>
                <w:sz w:val="21"/>
                <w:szCs w:val="21"/>
              </w:rPr>
              <w:tab/>
              <w:t>21</w:t>
            </w:r>
          </w:hyperlink>
        </w:p>
        <w:p>
          <w:pPr>
            <w:tabs>
              <w:tab w:val="right" w:leader="dot" w:pos="9020"/>
            </w:tabs>
            <w:spacing w:before="20" w:after="20"/>
            <w:ind w:left="360"/>
          </w:pPr>
          <w:hyperlink w:anchor="_TocV11_26" w:history="1">
            <w:r>
              <w:rPr>
                <w:rFonts w:ascii="Calibri" w:cs="Calibri" w:eastAsia="Calibri" w:hAnsi="Calibri"/>
                <w:sz w:val="20"/>
                <w:szCs w:val="20"/>
              </w:rPr>
              <w:t xml:space="preserve">BP-15 Clearance and Graduation</w:t>
            </w:r>
            <w:r>
              <w:rPr>
                <w:rFonts w:ascii="Calibri" w:cs="Calibri" w:eastAsia="Calibri" w:hAnsi="Calibri"/>
                <w:sz w:val="20"/>
                <w:szCs w:val="20"/>
              </w:rPr>
              <w:tab/>
              <w:t>22</w:t>
            </w:r>
          </w:hyperlink>
        </w:p>
        <w:p>
          <w:pPr>
            <w:tabs>
              <w:tab w:val="right" w:leader="dot" w:pos="9020"/>
            </w:tabs>
            <w:spacing w:before="20" w:after="20"/>
            <w:ind w:left="360"/>
          </w:pPr>
          <w:hyperlink w:anchor="_TocV11_27" w:history="1">
            <w:r>
              <w:rPr>
                <w:rFonts w:ascii="Calibri" w:cs="Calibri" w:eastAsia="Calibri" w:hAnsi="Calibri"/>
                <w:sz w:val="20"/>
                <w:szCs w:val="20"/>
              </w:rPr>
              <w:t xml:space="preserve">BP-16 Document Verification</w:t>
            </w:r>
            <w:r>
              <w:rPr>
                <w:rFonts w:ascii="Calibri" w:cs="Calibri" w:eastAsia="Calibri" w:hAnsi="Calibri"/>
                <w:sz w:val="20"/>
                <w:szCs w:val="20"/>
              </w:rPr>
              <w:tab/>
              <w:t>22</w:t>
            </w:r>
          </w:hyperlink>
        </w:p>
        <w:p>
          <w:pPr>
            <w:tabs>
              <w:tab w:val="right" w:leader="dot" w:pos="9020"/>
            </w:tabs>
            <w:spacing w:before="120" w:after="20"/>
            <w:ind w:left="0"/>
          </w:pPr>
          <w:hyperlink w:anchor="_TocV11_28" w:history="1">
            <w:r>
              <w:rPr>
                <w:rFonts w:ascii="Calibri" w:cs="Calibri" w:eastAsia="Calibri" w:hAnsi="Calibri"/>
                <w:b/>
                <w:bCs/>
                <w:color w:val="1F3864"/>
                <w:sz w:val="21"/>
                <w:szCs w:val="21"/>
              </w:rPr>
              <w:t xml:space="preserve">8. Process Controls Summary</w:t>
            </w:r>
            <w:r>
              <w:rPr>
                <w:rFonts w:ascii="Calibri" w:cs="Calibri" w:eastAsia="Calibri" w:hAnsi="Calibri"/>
                <w:b/>
                <w:bCs/>
                <w:color w:val="1F3864"/>
                <w:sz w:val="21"/>
                <w:szCs w:val="21"/>
              </w:rPr>
              <w:tab/>
              <w:t>23</w:t>
            </w:r>
          </w:hyperlink>
        </w:p>
        <w:p>
          <w:r>
            <w:fldChar w:fldCharType="end"/>
          </w:r>
        </w:p>
      </w:sdtContent>
    </w:sdt>
    <w:p>
      <w:pPr>
        <w:spacing w:before="120"/>
      </w:pPr>
      <w:r>
        <w:rPr>
          <w:rFonts w:ascii="Calibri" w:cs="Calibri" w:eastAsia="Calibri" w:hAnsi="Calibri"/>
          <w:i/>
          <w:iCs/>
          <w:color w:val="595959"/>
          <w:sz w:val="16"/>
          <w:szCs w:val="16"/>
        </w:rPr>
        <w:t xml:space="preserve">If page numbers are not shown, right-click the table and choose Update Field.</w:t>
      </w:r>
    </w:p>
    <w:p>
      <w:r>
        <w:br w:type="page"/>
      </w:r>
    </w:p>
    <w:p>
      <w:pPr>
        <w:pStyle w:val="Heading1"/>
      </w:pPr>
      <w:bookmarkStart w:id="1" w:name="_TocV11_1"/>
      <w:r>
        <w:rPr>
          <w:rFonts w:ascii="Calibri" w:cs="Calibri" w:eastAsia="Calibri" w:hAnsi="Calibri"/>
        </w:rPr>
        <w:t xml:space="preserve">1. Introduction</w:t>
      </w:r>
      <w:bookmarkEnd w:id="1"/>
    </w:p>
    <w:p>
      <w:pPr>
        <w:spacing w:after="300"/>
      </w:pPr>
      <w:r>
        <w:rPr>
          <w:i/>
          <w:rFonts w:ascii="Calibri" w:cs="Calibri" w:eastAsia="Calibri" w:hAnsi="Calibri"/>
          <w:color w:val="595959"/>
          <w:sz w:val="22"/>
          <w:szCs w:val="22"/>
        </w:rPr>
        <w:t xml:space="preserve">This section explains what a business process is in this document, how the processes fit together across the academic year and how far each is carried out by the system as built.</w:t>
      </w:r>
    </w:p>
    <w:p>
      <w:pPr>
        <w:spacing w:after="120" w:line="276"/>
        <w:jc w:val="both"/>
      </w:pPr>
      <w:r>
        <w:rPr>
          <w:rFonts w:ascii="Calibri" w:cs="Calibri" w:eastAsia="Calibri" w:hAnsi="Calibri"/>
        </w:rPr>
        <w:t xml:space="preserve">This document describes the to-be business processes that CIMS supports in a NACTVET-registered institution. Each process lists its purpose, trigger, actors, steps, system controls, exceptions and service levels. Process IDs (BP-nn) are referenced in the traceability matrix of Document 03. Role names match the roles defined in Document 03, section 3.</w:t>
      </w:r>
    </w:p>
    <w:p>
      <w:pPr>
        <w:pStyle w:val="Heading2"/>
      </w:pPr>
      <w:bookmarkStart w:id="2" w:name="_TocV11_2"/>
      <w:r>
        <w:rPr>
          <w:rFonts w:ascii="Calibri" w:cs="Calibri" w:eastAsia="Calibri" w:hAnsi="Calibri"/>
        </w:rPr>
        <w:t xml:space="preserve">1.1 Process architecture</w:t>
      </w:r>
      <w:bookmarkEnd w:id="2"/>
    </w:p>
    <w:p>
      <w:pPr>
        <w:spacing w:after="300"/>
      </w:pPr>
      <w:r>
        <w:rPr>
          <w:i/>
          <w:rFonts w:ascii="Calibri" w:cs="Calibri" w:eastAsia="Calibri" w:hAnsi="Calibri"/>
          <w:color w:val="595959"/>
          <w:sz w:val="22"/>
          <w:szCs w:val="22"/>
        </w:rPr>
        <w:t xml:space="preserve">The process architecture shows how the processes follow the student's journey, from planning an intake to graduation, and which supporting processes (finance, hostel, communication, reporting) serve all of them.</w:t>
      </w:r>
    </w:p>
    <w:p>
      <w:pPr>
        <w:spacing w:after="120" w:line="276"/>
        <w:jc w:val="both"/>
      </w:pPr>
      <w:r>
        <w:rPr>
          <w:rFonts w:ascii="Calibri" w:cs="Calibri" w:eastAsia="Calibri" w:hAnsi="Calibri"/>
        </w:rPr>
        <w:t xml:space="preserve">Processes follow the student lifecycle: plan the intake, recruit and admit, register, teach and assess, progress, train in industry, clear and graduate. Finance, hostel, communication and reporting processes support every stage.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6"/>
        <w:gridCol w:w="6860"/>
      </w:tblGrid>
      <w:tr>
        <w:trPr>
          <w:tblHeader/>
        </w:trPr>
        <w:tc>
          <w:tcPr>
            <w:tcW w:type="dxa" w:w="216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Process group</w:t>
            </w:r>
          </w:p>
        </w:tc>
        <w:tc>
          <w:tcPr>
            <w:tcW w:type="dxa" w:w="686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Processes</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 Admission</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BP-01 Admission window setup; BP-02 Online application and fee payment; BP-03 Eligibility, ranking and selection; BP-04 NACTVET verification and offer acceptance</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 Registration and records</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BP-05 Student registration; BP-14 Student status changes</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 Finance</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BP-06 Fee billing, payment and reconciliation; BP-17 Sponsorship, waivers and refunds</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 Teaching and assessment</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BP-07 Module allocation and attendance; BP-08 NTA assessment and results approval; BP-09 NVA competence assessment; BP-10 Supplementary, special and carry-over examinations; BP-11 Remarking and appeals</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 Campus services</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BP-12 Hostel application and allocation; BP-13 Industrial practical training</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 Completion</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BP-15 Clearance and graduation; BP-16 Document verification</w:t>
            </w:r>
          </w:p>
        </w:tc>
      </w:tr>
    </w:tbl>
    <w:p>
      <w:pPr>
        <w:spacing w:after="120"/>
      </w:pPr>
    </w:p>
    <w:p>
      <w:pPr>
        <w:pStyle w:val="Heading2"/>
      </w:pPr>
      <w:bookmarkStart w:id="3" w:name="_TocV11_3"/>
      <w:r>
        <w:rPr>
          <w:rFonts w:ascii="Calibri" w:cs="Calibri" w:eastAsia="Calibri" w:hAnsi="Calibri"/>
        </w:rPr>
        <w:t xml:space="preserve">1.2 Academic calendar alignment</w:t>
      </w:r>
      <w:bookmarkEnd w:id="3"/>
    </w:p>
    <w:p>
      <w:pPr>
        <w:spacing w:after="300"/>
      </w:pPr>
      <w:r>
        <w:rPr>
          <w:i/>
          <w:rFonts w:ascii="Calibri" w:cs="Calibri" w:eastAsia="Calibri" w:hAnsi="Calibri"/>
          <w:color w:val="595959"/>
          <w:sz w:val="22"/>
          <w:szCs w:val="22"/>
        </w:rPr>
        <w:t xml:space="preserve">Most processes happen at fixed times of the academic year. This table shows when each one normally runs for a September intake, so offices can plan their work.</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6"/>
        <w:gridCol w:w="6680"/>
      </w:tblGrid>
      <w:tr>
        <w:trPr>
          <w:tblHeader/>
        </w:trPr>
        <w:tc>
          <w:tcPr>
            <w:tcW w:type="dxa" w:w="234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Period (typical September intake)</w:t>
            </w:r>
          </w:p>
        </w:tc>
        <w:tc>
          <w:tcPr>
            <w:tcW w:type="dxa" w:w="668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Key processes</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March – April</w:t>
            </w:r>
          </w:p>
        </w:tc>
        <w:tc>
          <w:tcPr>
            <w:tcW w:type="dxa" w:w="66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BP-01 configure programmes, capacity, entry rules and fees for the coming year.</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May – July</w:t>
            </w:r>
          </w:p>
        </w:tc>
        <w:tc>
          <w:tcPr>
            <w:tcW w:type="dxa" w:w="668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BP-02 applications open; BP-03 selection rounds.</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July – September</w:t>
            </w:r>
          </w:p>
        </w:tc>
        <w:tc>
          <w:tcPr>
            <w:tcW w:type="dxa" w:w="66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BP-04 NACTVET verification, confirmation and offer acceptance; BP-06 first invoices.</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September – October</w:t>
            </w:r>
          </w:p>
        </w:tc>
        <w:tc>
          <w:tcPr>
            <w:tcW w:type="dxa" w:w="668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BP-05 registration; BP-12 hostel allocation; BP-07 teaching starts.</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November – February</w:t>
            </w:r>
          </w:p>
        </w:tc>
        <w:tc>
          <w:tcPr>
            <w:tcW w:type="dxa" w:w="66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BP-07/08/09 assessment; semester examinations; results approval and publication.</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March – July</w:t>
            </w:r>
          </w:p>
        </w:tc>
        <w:tc>
          <w:tcPr>
            <w:tcW w:type="dxa" w:w="668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Second semester; March intake (where offered) repeats group A in a shorter cycle.</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July – September</w:t>
            </w:r>
          </w:p>
        </w:tc>
        <w:tc>
          <w:tcPr>
            <w:tcW w:type="dxa" w:w="66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BP-10 supplementary examinations; BP-13 IPT; BP-15 clearance and graduation.</w:t>
            </w:r>
          </w:p>
        </w:tc>
      </w:tr>
    </w:tbl>
    <w:p>
      <w:pPr>
        <w:spacing w:after="120"/>
      </w:pPr>
    </w:p>
    <w:p>
      <w:pPr>
        <w:pStyle w:val="Heading2"/>
      </w:pPr>
      <w:bookmarkStart w:id="4" w:name="_TocV11_4"/>
      <w:r>
        <w:rPr>
          <w:rFonts w:ascii="Calibri" w:cs="Calibri" w:eastAsia="Calibri" w:hAnsi="Calibri"/>
        </w:rPr>
        <w:t xml:space="preserve">1.3 Implementation status (October 2026)</w:t>
      </w:r>
      <w:bookmarkEnd w:id="4"/>
    </w:p>
    <w:p>
      <w:pPr>
        <w:spacing w:after="300"/>
      </w:pPr>
      <w:r>
        <w:rPr>
          <w:i/>
          <w:rFonts w:ascii="Calibri" w:cs="Calibri" w:eastAsia="Calibri" w:hAnsi="Calibri"/>
          <w:color w:val="595959"/>
          <w:sz w:val="22"/>
          <w:szCs w:val="22"/>
        </w:rPr>
        <w:t xml:space="preserve">This sub-section explains how to read the implementation status given at the end of each process: what is built, partly built or still manual.</w:t>
      </w:r>
    </w:p>
    <w:p>
      <w:pPr>
        <w:spacing w:after="120" w:line="276"/>
        <w:jc w:val="both"/>
      </w:pPr>
      <w:r>
        <w:rPr>
          <w:rFonts w:ascii="Calibri" w:cs="Calibri" w:eastAsia="Calibri" w:hAnsi="Calibri"/>
        </w:rPr>
        <w:t xml:space="preserve">Every process in this document runs in the system as built. Each process below ends with an "As built" note that describes how CIMS carries it out today where that differs from the design. </w:t>
      </w:r>
      <w:r>
        <w:rPr>
          <w:rFonts w:ascii="Calibri" w:cs="Calibri" w:eastAsia="Calibri" w:hAnsi="Calibri"/>
          <w:b/>
          <w:bCs/>
        </w:rPr>
        <w:t xml:space="preserve">Built</w:t>
      </w:r>
      <w:r>
        <w:rPr>
          <w:rFonts w:ascii="Calibri" w:cs="Calibri" w:eastAsia="Calibri" w:hAnsi="Calibri"/>
        </w:rPr>
        <w:t xml:space="preserve">: in the system and covered by automated tests. </w:t>
      </w:r>
      <w:r>
        <w:rPr>
          <w:rFonts w:ascii="Calibri" w:cs="Calibri" w:eastAsia="Calibri" w:hAnsi="Calibri"/>
          <w:b/>
          <w:bCs/>
        </w:rPr>
        <w:t xml:space="preserve">Partly built</w:t>
      </w:r>
      <w:r>
        <w:rPr>
          <w:rFonts w:ascii="Calibri" w:cs="Calibri" w:eastAsia="Calibri" w:hAnsi="Calibri"/>
        </w:rPr>
        <w:t xml:space="preserve">: usable, with the gap stated. </w:t>
      </w:r>
      <w:r>
        <w:rPr>
          <w:rFonts w:ascii="Calibri" w:cs="Calibri" w:eastAsia="Calibri" w:hAnsi="Calibri"/>
          <w:b/>
          <w:bCs/>
        </w:rPr>
        <w:t xml:space="preserve">Not yet built</w:t>
      </w:r>
      <w:r>
        <w:rPr>
          <w:rFonts w:ascii="Calibri" w:cs="Calibri" w:eastAsia="Calibri" w:hAnsi="Calibri"/>
        </w:rPr>
        <w:t xml:space="preserve">: planned, not in the system.</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9"/>
        <w:gridCol w:w="1173"/>
        <w:gridCol w:w="4604"/>
      </w:tblGrid>
      <w:tr>
        <w:trPr>
          <w:tblHeader/>
          <w:cantSplit/>
        </w:trPr>
        <w:tc>
          <w:tcPr>
            <w:tcW w:type="dxa" w:w="324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Process</w:t>
            </w:r>
          </w:p>
        </w:tc>
        <w:tc>
          <w:tcPr>
            <w:tcW w:type="dxa" w:w="117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Status</w:t>
            </w:r>
          </w:p>
        </w:tc>
        <w:tc>
          <w:tcPr>
            <w:tcW w:type="dxa" w:w="460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Main differences from the design</w:t>
            </w:r>
          </w:p>
        </w:tc>
      </w:tr>
      <w:tr>
        <w:trPr>
          <w:cantSplit/>
        </w:trPr>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BP-01 Admission Window Setup</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460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Published by the Admissions Office without a separate approval step; no rule test tool.</w:t>
            </w:r>
          </w:p>
        </w:tc>
      </w:tr>
      <w:tr>
        <w:trPr>
          <w:cantSplit/>
        </w:trPr>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BP-02 Online Application and Fee Payment</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460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Sign-up by Form Four index number with NECTA data; document uploads per window; no payment reminders.</w:t>
            </w:r>
          </w:p>
        </w:tc>
      </w:tr>
      <w:tr>
        <w:trPr>
          <w:cantSplit/>
        </w:trPr>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BP-03 Eligibility, Ranking and Selection</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460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As designed, with qualification checks by the office before selection.</w:t>
            </w:r>
          </w:p>
        </w:tc>
      </w:tr>
      <w:tr>
        <w:trPr>
          <w:cantSplit/>
        </w:trPr>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BP-04 NACTVET Verification and Offer Acceptance</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460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Letter issued on acceptance; NACTVET live API awaited; externally selected students imported into the window.</w:t>
            </w:r>
          </w:p>
        </w:tc>
      </w:tr>
      <w:tr>
        <w:trPr>
          <w:cantSplit/>
        </w:trPr>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BP-05 Student Registration</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460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NACTVET registration by API (live interface awaited); no late registration penalty fee.</w:t>
            </w:r>
          </w:p>
        </w:tc>
      </w:tr>
      <w:tr>
        <w:trPr>
          <w:cantSplit/>
        </w:trPr>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BP-06 Fee Billing, Payment and Reconciliation</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460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As designed, plus instalment reminders, penalties and discount schemes; live GePG adapter switched on with certificates; postings to MUSE per period.</w:t>
            </w:r>
          </w:p>
        </w:tc>
      </w:tr>
      <w:tr>
        <w:trPr>
          <w:cantSplit/>
        </w:trPr>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BP-07 Module Allocation and Attendance</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460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As designed, plus QR self check-in.</w:t>
            </w:r>
          </w:p>
        </w:tc>
      </w:tr>
      <w:tr>
        <w:trPr>
          <w:cantSplit/>
        </w:trPr>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BP-08 NTA Assessment and Results Approval</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460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Board decisions recorded by an administrator; Department Board optional; further approval stages set by the institution.</w:t>
            </w:r>
          </w:p>
        </w:tc>
      </w:tr>
      <w:tr>
        <w:trPr>
          <w:cantSplit/>
        </w:trPr>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BP-09 NVA Competence Assessment</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460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Units set up by the examinations office.</w:t>
            </w:r>
          </w:p>
        </w:tc>
      </w:tr>
      <w:tr>
        <w:trPr>
          <w:cantSplit/>
        </w:trPr>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BP-10 Supplementary, Special and Carry-over Examinations</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460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As designed.</w:t>
            </w:r>
          </w:p>
        </w:tc>
      </w:tr>
      <w:tr>
        <w:trPr>
          <w:cantSplit/>
        </w:trPr>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BP-11 Remarking and Appeals</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460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Amendments approved by an administrator rather than the Academic Committee.</w:t>
            </w:r>
          </w:p>
        </w:tc>
      </w:tr>
      <w:tr>
        <w:trPr>
          <w:cantSplit/>
        </w:trPr>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BP-12 Hostel Application and Allocation</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460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As designed, plus wardens per hostel and repairs.</w:t>
            </w:r>
          </w:p>
        </w:tc>
      </w:tr>
      <w:tr>
        <w:trPr>
          <w:cantSplit/>
        </w:trPr>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BP-13 Industrial Practical Training (IPT)</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460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As designed: the workplace supervisor rates the student through a personal link.</w:t>
            </w:r>
          </w:p>
        </w:tc>
      </w:tr>
      <w:tr>
        <w:trPr>
          <w:cantSplit/>
        </w:trPr>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BP-14 Student Status Changes</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460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Programme and campus transfers built; no automatic invoice adjustments.</w:t>
            </w:r>
          </w:p>
        </w:tc>
      </w:tr>
      <w:tr>
        <w:trPr>
          <w:cantSplit/>
        </w:trPr>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BP-15 Clearance and Graduation</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460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As designed.</w:t>
            </w:r>
          </w:p>
        </w:tc>
      </w:tr>
      <w:tr>
        <w:trPr>
          <w:cantSplit/>
        </w:trPr>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BP-16 Document Verification</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460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As designed.</w:t>
            </w:r>
          </w:p>
        </w:tc>
      </w:tr>
      <w:tr>
        <w:trPr>
          <w:cantSplit/>
        </w:trPr>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BP-17 Sponsorship, Waivers and Refunds</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460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As designed, with a Sponsor Officer view; HESLB handled as a sponsor.</w:t>
            </w:r>
          </w:p>
        </w:tc>
      </w:tr>
    </w:tbl>
    <w:p>
      <w:pPr>
        <w:spacing w:after="120"/>
      </w:pPr>
    </w:p>
    <w:p>
      <w:pPr>
        <w:pStyle w:val="Heading1"/>
      </w:pPr>
      <w:bookmarkStart w:id="5" w:name="_TocV11_5"/>
      <w:r>
        <w:rPr>
          <w:rFonts w:ascii="Calibri" w:cs="Calibri" w:eastAsia="Calibri" w:hAnsi="Calibri"/>
        </w:rPr>
        <w:t xml:space="preserve">2. Admission Processes</w:t>
      </w:r>
      <w:bookmarkEnd w:id="5"/>
    </w:p>
    <w:p>
      <w:pPr>
        <w:spacing w:after="300"/>
      </w:pPr>
      <w:r>
        <w:rPr>
          <w:i/>
          <w:rFonts w:ascii="Calibri" w:cs="Calibri" w:eastAsia="Calibri" w:hAnsi="Calibri"/>
          <w:color w:val="595959"/>
          <w:sz w:val="22"/>
          <w:szCs w:val="22"/>
        </w:rPr>
        <w:t xml:space="preserve">Admission processes take an institution from preparing an intake to confirmed students. The figure gives the overall flow; each process is then described in detail.</w:t>
      </w:r>
    </w:p>
    <w:p>
      <w:pPr>
        <w:spacing w:after="60" w:before="120"/>
        <w:jc w:val="center"/>
      </w:pPr>
      <w:r>
        <w:drawing>
          <wp:inline distT="0" distB="0" distL="0" distR="0">
            <wp:extent cx="3143250" cy="4800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143250" cy="4800600"/>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Figure 1: Admission flow overview (BP-01 to BP-04)</w:t>
      </w:r>
    </w:p>
    <w:p>
      <w:pPr>
        <w:pStyle w:val="Heading2"/>
      </w:pPr>
      <w:bookmarkStart w:id="6" w:name="_TocV11_6"/>
      <w:r>
        <w:rPr>
          <w:rFonts w:ascii="Calibri" w:cs="Calibri" w:eastAsia="Calibri" w:hAnsi="Calibri"/>
        </w:rPr>
        <w:t xml:space="preserve">BP-01 Admission Window Setup</w:t>
      </w:r>
      <w:bookmarkEnd w:id="6"/>
    </w:p>
    <w:p>
      <w:pPr>
        <w:spacing w:after="300"/>
      </w:pPr>
      <w:r>
        <w:rPr>
          <w:i/>
          <w:rFonts w:ascii="Calibri" w:cs="Calibri" w:eastAsia="Calibri" w:hAnsi="Calibri"/>
          <w:color w:val="595959"/>
          <w:sz w:val="22"/>
          <w:szCs w:val="22"/>
        </w:rPr>
        <w:t xml:space="preserve">This process describes how the admissions office prepares an intake so that the portal shows the right programmes, places, entry requirements and fees before applications open. The table sets out its purpose, what starts it, who takes part, the steps and the controls the system applies.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5"/>
        <w:gridCol w:w="7041"/>
      </w:tblGrid>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Purpose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Prepare the intake so that the portal shows correct programmes, capacity, entry requirements and fees.</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Trigger</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Academic calendar milestone; approval of programme capacity by management.</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Actors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Admissions Officer, Deputy Principal (Academic), Bursar, Institution Administrator.</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Inputs → Outputs</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Approved programme list and capacity, NACTVET entry requirements, fees → published admission window.</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Requirements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FR-ADM-03, FR-ADM-04, FR-ACA-01, FR-FIN-01.</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1"/>
        <w:gridCol w:w="1624"/>
        <w:gridCol w:w="3610"/>
        <w:gridCol w:w="3251"/>
      </w:tblGrid>
      <w:tr>
        <w:trPr>
          <w:tblHeader/>
        </w:trPr>
        <w:tc>
          <w:tcPr>
            <w:tcW w:type="dxa" w:w="54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Actor</w:t>
            </w:r>
          </w:p>
        </w:tc>
        <w:tc>
          <w:tcPr>
            <w:tcW w:type="dxa" w:w="361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Activity</w:t>
            </w:r>
          </w:p>
        </w:tc>
        <w:tc>
          <w:tcPr>
            <w:tcW w:type="dxa" w:w="325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System support / control</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Deputy Principal (Academic)</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Confirms programmes on offer and capacity for the intake.</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Programmes listed from the academic structure; capacity cannot exceed accredited capacity.</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Admissions Officer</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Creates the admission window: dates, intake, number of choices, application fee.</w:t>
            </w:r>
          </w:p>
        </w:tc>
        <w:tc>
          <w:tcPr>
            <w:tcW w:type="dxa" w:w="32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Validation of dates against academic calendar.</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Admissions Officer</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Reviews entry requirement rules per programme (copied from the previous year).</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Rule editor with test tool: enter sample results, see eligible/ineligible.</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4</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Bursar</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Confirms the application fee and first-year fee structure.</w:t>
            </w:r>
          </w:p>
        </w:tc>
        <w:tc>
          <w:tcPr>
            <w:tcW w:type="dxa" w:w="32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Fee structure effective for the new academic year.</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5</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Deputy Principal (Academic)</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Approves the window for publication.</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Approval recorded; portal goes live on the opening date automatically.</w:t>
            </w:r>
          </w:p>
        </w:tc>
      </w:tr>
    </w:tbl>
    <w:p>
      <w:pPr>
        <w:spacing w:after="120"/>
      </w:pPr>
    </w:p>
    <w:p>
      <w:pPr>
        <w:pStyle w:val="Heading3"/>
      </w:pPr>
      <w:r>
        <w:rPr>
          <w:rFonts w:ascii="Calibri" w:cs="Calibri" w:eastAsia="Calibri" w:hAnsi="Calibri"/>
        </w:rPr>
        <w:t xml:space="preserve">Service level / KPI</w:t>
      </w:r>
    </w:p>
    <w:p>
      <w:pPr>
        <w:spacing w:after="300"/>
      </w:pPr>
      <w:r>
        <w:rPr>
          <w:i/>
          <w:rFonts w:ascii="Calibri" w:cs="Calibri" w:eastAsia="Calibri" w:hAnsi="Calibri"/>
          <w:color w:val="595959"/>
          <w:sz w:val="22"/>
          <w:szCs w:val="22"/>
        </w:rPr>
        <w:t xml:space="preserve">The service level states how quickly and how well setting up the window must be carried out, and the As built note describes how CIMS performs it today.</w:t>
      </w:r>
    </w:p>
    <w:p>
      <w:pPr>
        <w:pStyle w:val="ListParagraph"/>
        <w:numPr>
          <w:ilvl w:val="0"/>
          <w:numId w:val="2"/>
        </w:numPr>
        <w:spacing w:after="60" w:line="264"/>
      </w:pPr>
      <w:r>
        <w:rPr>
          <w:rFonts w:ascii="Calibri" w:cs="Calibri" w:eastAsia="Calibri" w:hAnsi="Calibri"/>
        </w:rPr>
        <w:t xml:space="preserve">Window configured and approved at least 2 weeks before opening.</w:t>
      </w:r>
    </w:p>
    <w:p>
      <w:pPr>
        <w:pBdr>
          <w:left w:val="single" w:sz="18" w:space="8" w:color="1F3864"/>
        </w:pBdr>
        <w:shd w:val="clear" w:color="auto" w:fill="EEF3F8"/>
        <w:spacing w:before="60" w:after="120" w:line="276"/>
        <w:ind w:left="170" w:right="113"/>
      </w:pPr>
      <w:r>
        <w:rPr>
          <w:rFonts w:ascii="Calibri" w:cs="Calibri" w:eastAsia="Calibri" w:hAnsi="Calibri"/>
          <w:b/>
          <w:bCs/>
        </w:rPr>
        <w:t xml:space="preserve">As built (October 2026) — built:</w:t>
      </w:r>
      <w:r>
        <w:rPr>
          <w:rFonts w:ascii="Calibri" w:cs="Calibri" w:eastAsia="Calibri" w:hAnsi="Calibri"/>
        </w:rPr>
        <w:t xml:space="preserve"> The Admissions Officer (or the administrator) creates the window with intake, dates, application fee and programmes with capacity and NACTVET entry rules, and either publishes it to open on its date or opens it at once. There is no separate approval step by the Deputy Principal. A window can be closed early with a reason, reopened with a new closing date until selection starts, extended, and closes itself when the date passes; applicants who have started are told by SMS. Entry rules are edited per programme; the sample-results test tool is not built. The first-year fee structure is prepared by the Accountant and approved by the Bursar in Fees (BP-06).</w:t>
      </w:r>
    </w:p>
    <w:p>
      <w:pPr>
        <w:pStyle w:val="Heading2"/>
      </w:pPr>
      <w:bookmarkStart w:id="7" w:name="_TocV11_7"/>
      <w:r>
        <w:rPr>
          <w:rFonts w:ascii="Calibri" w:cs="Calibri" w:eastAsia="Calibri" w:hAnsi="Calibri"/>
        </w:rPr>
        <w:t xml:space="preserve">BP-02 Online Application and Fee Payment</w:t>
      </w:r>
      <w:bookmarkEnd w:id="7"/>
    </w:p>
    <w:p>
      <w:pPr>
        <w:spacing w:after="300"/>
      </w:pPr>
      <w:r>
        <w:rPr>
          <w:i/>
          <w:rFonts w:ascii="Calibri" w:cs="Calibri" w:eastAsia="Calibri" w:hAnsi="Calibri"/>
          <w:color w:val="595959"/>
          <w:sz w:val="22"/>
          <w:szCs w:val="22"/>
        </w:rPr>
        <w:t xml:space="preserve">This process describes how an applicant applies entirely online, with qualifications checked directly with NECTA and NACTVET and the application fee paid electronically. The table sets out its purpose, what starts it, who takes part, the steps and the controls the system applies.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5"/>
        <w:gridCol w:w="7041"/>
      </w:tblGrid>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Purpose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Allow applicants to apply completely online with verified qualifications.</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Trigger</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Admission window opens.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Actors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Applicant, GePG, NECTA, NACTVET (AVN), Admissions Officer.</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Inputs → Outputs</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Applicant details, index numbers/AVN, documents, payment → submitted application with reference number.</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Requirements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FR-ADM-01 to FR-ADM-09.</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1"/>
        <w:gridCol w:w="1624"/>
        <w:gridCol w:w="3610"/>
        <w:gridCol w:w="3251"/>
      </w:tblGrid>
      <w:tr>
        <w:trPr>
          <w:tblHeader/>
        </w:trPr>
        <w:tc>
          <w:tcPr>
            <w:tcW w:type="dxa" w:w="54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Actor</w:t>
            </w:r>
          </w:p>
        </w:tc>
        <w:tc>
          <w:tcPr>
            <w:tcW w:type="dxa" w:w="361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Activity</w:t>
            </w:r>
          </w:p>
        </w:tc>
        <w:tc>
          <w:tcPr>
            <w:tcW w:type="dxa" w:w="325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System support / control</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Applicant</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Creates an account with phone number and email.</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SMS OTP verification; duplicate accounts prevented by phone and NECTA index.</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Applicant</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Enters CSEE/ACSEE index numbers and/or AVN.</w:t>
            </w:r>
          </w:p>
        </w:tc>
        <w:tc>
          <w:tcPr>
            <w:tcW w:type="dxa" w:w="32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Results fetched from NECTA/NACTVET and stored as verified qualifications.</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Applicant</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Completes personal, contact, next-of-kin and sponsor details; uploads documents.</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Mandatory field and file type/size checks; Kiswahili or English interface.</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4</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Applicant</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Requests to pay the application fee.</w:t>
            </w:r>
          </w:p>
        </w:tc>
        <w:tc>
          <w:tcPr>
            <w:tcW w:type="dxa" w:w="32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Bill sent to GePG; control number displayed and sent by SMS.</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5</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Applicant</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Pays through bank or mobile money.</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GePG payment notification marks fee paid and unlocks programme choices.</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6</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Applicant</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Selects programme choices in order of preference.</w:t>
            </w:r>
          </w:p>
        </w:tc>
        <w:tc>
          <w:tcPr>
            <w:tcW w:type="dxa" w:w="32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Eligibility shown per choice; ineligible choices cannot be submitted.</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7</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Applicant</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Reviews and submits.</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Reference number issued; confirmation SMS/email; application locked.</w:t>
            </w:r>
          </w:p>
        </w:tc>
      </w:tr>
    </w:tbl>
    <w:p>
      <w:pPr>
        <w:spacing w:after="120"/>
      </w:pPr>
    </w:p>
    <w:p>
      <w:pPr>
        <w:pStyle w:val="Heading3"/>
      </w:pPr>
      <w:r>
        <w:rPr>
          <w:rFonts w:ascii="Calibri" w:cs="Calibri" w:eastAsia="Calibri" w:hAnsi="Calibri"/>
        </w:rPr>
        <w:t xml:space="preserve">Exceptions</w:t>
      </w:r>
    </w:p>
    <w:p>
      <w:pPr>
        <w:spacing w:after="300"/>
      </w:pPr>
      <w:r>
        <w:rPr>
          <w:i/>
          <w:rFonts w:ascii="Calibri" w:cs="Calibri" w:eastAsia="Calibri" w:hAnsi="Calibri"/>
          <w:color w:val="595959"/>
          <w:sz w:val="22"/>
          <w:szCs w:val="22"/>
        </w:rPr>
        <w:t xml:space="preserve">Exceptions are the situations that do not follow the normal steps above, and how each is handled so that no case is left without an owner.</w:t>
      </w:r>
    </w:p>
    <w:p>
      <w:pPr>
        <w:pStyle w:val="ListParagraph"/>
        <w:numPr>
          <w:ilvl w:val="0"/>
          <w:numId w:val="2"/>
        </w:numPr>
        <w:spacing w:after="60" w:line="264"/>
      </w:pPr>
      <w:r>
        <w:rPr>
          <w:rFonts w:ascii="Calibri" w:cs="Calibri" w:eastAsia="Calibri" w:hAnsi="Calibri"/>
        </w:rPr>
        <w:t xml:space="preserve">NECTA unavailable: application saved; results fetched automatically when service returns.</w:t>
      </w:r>
    </w:p>
    <w:p>
      <w:pPr>
        <w:pStyle w:val="ListParagraph"/>
        <w:numPr>
          <w:ilvl w:val="0"/>
          <w:numId w:val="2"/>
        </w:numPr>
        <w:spacing w:after="60" w:line="264"/>
      </w:pPr>
      <w:r>
        <w:rPr>
          <w:rFonts w:ascii="Calibri" w:cs="Calibri" w:eastAsia="Calibri" w:hAnsi="Calibri"/>
        </w:rPr>
        <w:t xml:space="preserve">Result mismatch or foreign qualification: routed to Admissions Officer for manual verification with equivalence evidence.</w:t>
      </w:r>
    </w:p>
    <w:p>
      <w:pPr>
        <w:pStyle w:val="ListParagraph"/>
        <w:numPr>
          <w:ilvl w:val="0"/>
          <w:numId w:val="2"/>
        </w:numPr>
        <w:spacing w:after="60" w:line="264"/>
      </w:pPr>
      <w:r>
        <w:rPr>
          <w:rFonts w:ascii="Calibri" w:cs="Calibri" w:eastAsia="Calibri" w:hAnsi="Calibri"/>
        </w:rPr>
        <w:t xml:space="preserve">Payment not confirmed: reminders at 24 and 72 hours; control number regenerated on request.</w:t>
      </w:r>
    </w:p>
    <w:p>
      <w:pPr>
        <w:pStyle w:val="Heading3"/>
      </w:pPr>
      <w:r>
        <w:rPr>
          <w:rFonts w:ascii="Calibri" w:cs="Calibri" w:eastAsia="Calibri" w:hAnsi="Calibri"/>
        </w:rPr>
        <w:t xml:space="preserve">Service level / KPI</w:t>
      </w:r>
    </w:p>
    <w:p>
      <w:pPr>
        <w:spacing w:after="300"/>
      </w:pPr>
      <w:r>
        <w:rPr>
          <w:i/>
          <w:rFonts w:ascii="Calibri" w:cs="Calibri" w:eastAsia="Calibri" w:hAnsi="Calibri"/>
          <w:color w:val="595959"/>
          <w:sz w:val="22"/>
          <w:szCs w:val="22"/>
        </w:rPr>
        <w:t xml:space="preserve">The service level states how quickly and how well applying and paying must be carried out, and the As built note describes how CIMS performs it today.</w:t>
      </w:r>
    </w:p>
    <w:p>
      <w:pPr>
        <w:pStyle w:val="ListParagraph"/>
        <w:numPr>
          <w:ilvl w:val="0"/>
          <w:numId w:val="2"/>
        </w:numPr>
        <w:spacing w:after="60" w:line="264"/>
      </w:pPr>
      <w:r>
        <w:rPr>
          <w:rFonts w:ascii="Calibri" w:cs="Calibri" w:eastAsia="Calibri" w:hAnsi="Calibri"/>
        </w:rPr>
        <w:t xml:space="preserve">Applicant can complete an application in under 20 minutes on a smartphone.</w:t>
      </w:r>
    </w:p>
    <w:p>
      <w:pPr>
        <w:pStyle w:val="ListParagraph"/>
        <w:numPr>
          <w:ilvl w:val="0"/>
          <w:numId w:val="2"/>
        </w:numPr>
        <w:spacing w:after="60" w:line="264"/>
      </w:pPr>
      <w:r>
        <w:rPr>
          <w:rFonts w:ascii="Calibri" w:cs="Calibri" w:eastAsia="Calibri" w:hAnsi="Calibri"/>
        </w:rPr>
        <w:t xml:space="preserve">Payment reflected within 5 minutes of GePG notification.</w:t>
      </w:r>
    </w:p>
    <w:p>
      <w:pPr>
        <w:pBdr>
          <w:left w:val="single" w:sz="18" w:space="8" w:color="1F3864"/>
        </w:pBdr>
        <w:shd w:val="clear" w:color="auto" w:fill="EEF3F8"/>
        <w:spacing w:before="60" w:after="120" w:line="276"/>
        <w:ind w:left="170" w:right="113"/>
      </w:pPr>
      <w:r>
        <w:rPr>
          <w:rFonts w:ascii="Calibri" w:cs="Calibri" w:eastAsia="Calibri" w:hAnsi="Calibri"/>
          <w:b/>
          <w:bCs/>
        </w:rPr>
        <w:t xml:space="preserve">As built (October 2026) — built: The applicant signs up with the Form Four index number and year; NECTA returns names, sex, school and results, which the applicant confirms (names are then fixed as NECTA has them). An SMS code verifies the phone. The applicant completes details (address chosen from region to street, impairment, education history, next of kin), pays the fee by GePG control number, adds other qualifications (another CSEE/ACSEE sitting, an NTA award fetched from NACTVET by registration number and graduation year, or an NVA/other award for the office to check), chooses programmes offered at their entry level with eligibility shown, and submits for a reference number and SMS. Details, choices and qualifications can still be changed until the window closes and selection starts. The applicant uploads the documents the window asks for (PDF, JPEG or PNG), which the office accepts or sends back with an SMS. Differences: when NECTA cannot be reached the applicant is asked to try again later; payment reminders at 24 and 72 hours are not built.</w:t>
      </w:r>
    </w:p>
    <w:p>
      <w:pPr>
        <w:pStyle w:val="Heading2"/>
      </w:pPr>
      <w:bookmarkStart w:id="8" w:name="_TocV11_8"/>
      <w:r>
        <w:rPr>
          <w:rFonts w:ascii="Calibri" w:cs="Calibri" w:eastAsia="Calibri" w:hAnsi="Calibri"/>
        </w:rPr>
        <w:t xml:space="preserve">BP-03 Eligibility, Ranking and Selection</w:t>
      </w:r>
      <w:bookmarkEnd w:id="8"/>
    </w:p>
    <w:p>
      <w:pPr>
        <w:spacing w:after="300"/>
      </w:pPr>
      <w:r>
        <w:rPr>
          <w:i/>
          <w:rFonts w:ascii="Calibri" w:cs="Calibri" w:eastAsia="Calibri" w:hAnsi="Calibri"/>
          <w:color w:val="595959"/>
          <w:sz w:val="22"/>
          <w:szCs w:val="22"/>
        </w:rPr>
        <w:t xml:space="preserve">This process describes how eligible applicants are ranked and selected within the places available, fairly and transparently. The table sets out its purpose, what starts it, who takes part, the steps and the controls the system applies.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5"/>
        <w:gridCol w:w="7041"/>
      </w:tblGrid>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Purpose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Select the best qualified eligible applicants within capacity, fairly and transparently.</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Trigger</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Selection round date reached (one or more rounds per window).</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Actors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Admissions Officer, Admissions Committee, Head of Department (advisory).</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Inputs → Outputs</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Submitted applications → approved selection list.</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Requirements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FR-ADM-09, FR-ADM-10, FR-ADM-11.</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1"/>
        <w:gridCol w:w="1624"/>
        <w:gridCol w:w="3610"/>
        <w:gridCol w:w="3251"/>
      </w:tblGrid>
      <w:tr>
        <w:trPr>
          <w:tblHeader/>
        </w:trPr>
        <w:tc>
          <w:tcPr>
            <w:tcW w:type="dxa" w:w="54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Actor</w:t>
            </w:r>
          </w:p>
        </w:tc>
        <w:tc>
          <w:tcPr>
            <w:tcW w:type="dxa" w:w="361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Activity</w:t>
            </w:r>
          </w:p>
        </w:tc>
        <w:tc>
          <w:tcPr>
            <w:tcW w:type="dxa" w:w="325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System support / control</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Admissions Officer</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Runs eligibility re-check for all submitted applications.</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Rules engine re-evaluates using verified results; exceptions listed.</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Admissions Officer</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Resolves manual verification items.</w:t>
            </w:r>
          </w:p>
        </w:tc>
        <w:tc>
          <w:tcPr>
            <w:tcW w:type="dxa" w:w="32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Decision and evidence recorded in audit trail.</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Admissions Officer</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Runs ranking per programme.</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Ranking by configured criteria; ties broken by configured order; proposal within capacity.</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4</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Admissions Committee</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Reviews the proposed list and statistics (gender, region, qualification).</w:t>
            </w:r>
          </w:p>
        </w:tc>
        <w:tc>
          <w:tcPr>
            <w:tcW w:type="dxa" w:w="32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Dashboard and printable committee report.</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5</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Admissions Committee</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Approves or adjusts the list.</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Adjustments require reason; final list locked as Selected.</w:t>
            </w:r>
          </w:p>
        </w:tc>
      </w:tr>
    </w:tbl>
    <w:p>
      <w:pPr>
        <w:spacing w:after="120"/>
      </w:pPr>
    </w:p>
    <w:p>
      <w:pPr>
        <w:pStyle w:val="Heading3"/>
      </w:pPr>
      <w:r>
        <w:rPr>
          <w:rFonts w:ascii="Calibri" w:cs="Calibri" w:eastAsia="Calibri" w:hAnsi="Calibri"/>
        </w:rPr>
        <w:t xml:space="preserve">Exceptions</w:t>
      </w:r>
    </w:p>
    <w:p>
      <w:pPr>
        <w:spacing w:after="300"/>
      </w:pPr>
      <w:r>
        <w:rPr>
          <w:i/>
          <w:rFonts w:ascii="Calibri" w:cs="Calibri" w:eastAsia="Calibri" w:hAnsi="Calibri"/>
          <w:color w:val="595959"/>
          <w:sz w:val="22"/>
          <w:szCs w:val="22"/>
        </w:rPr>
        <w:t xml:space="preserve">Exceptions are the situations that do not follow the normal steps above, and how each is handled so that no case is left without an owner.</w:t>
      </w:r>
    </w:p>
    <w:p>
      <w:pPr>
        <w:pStyle w:val="ListParagraph"/>
        <w:numPr>
          <w:ilvl w:val="0"/>
          <w:numId w:val="2"/>
        </w:numPr>
        <w:spacing w:after="60" w:line="264"/>
      </w:pPr>
      <w:r>
        <w:rPr>
          <w:rFonts w:ascii="Calibri" w:cs="Calibri" w:eastAsia="Calibri" w:hAnsi="Calibri"/>
        </w:rPr>
        <w:t xml:space="preserve">Capacity changed after ranking: re-run ranking; previous list kept for audit.</w:t>
      </w:r>
    </w:p>
    <w:p>
      <w:pPr>
        <w:pStyle w:val="Heading3"/>
      </w:pPr>
      <w:r>
        <w:rPr>
          <w:rFonts w:ascii="Calibri" w:cs="Calibri" w:eastAsia="Calibri" w:hAnsi="Calibri"/>
        </w:rPr>
        <w:t xml:space="preserve">Service level / KPI</w:t>
      </w:r>
    </w:p>
    <w:p>
      <w:pPr>
        <w:spacing w:after="300"/>
      </w:pPr>
      <w:r>
        <w:rPr>
          <w:i/>
          <w:rFonts w:ascii="Calibri" w:cs="Calibri" w:eastAsia="Calibri" w:hAnsi="Calibri"/>
          <w:color w:val="595959"/>
          <w:sz w:val="22"/>
          <w:szCs w:val="22"/>
        </w:rPr>
        <w:t xml:space="preserve">The service level states how quickly and how well a selection round must be carried out, and the As built note describes how CIMS performs it today.</w:t>
      </w:r>
    </w:p>
    <w:p>
      <w:pPr>
        <w:pStyle w:val="ListParagraph"/>
        <w:numPr>
          <w:ilvl w:val="0"/>
          <w:numId w:val="2"/>
        </w:numPr>
        <w:spacing w:after="60" w:line="264"/>
      </w:pPr>
      <w:r>
        <w:rPr>
          <w:rFonts w:ascii="Calibri" w:cs="Calibri" w:eastAsia="Calibri" w:hAnsi="Calibri"/>
        </w:rPr>
        <w:t xml:space="preserve">Selection round completed within 5 working days of the round date.</w:t>
      </w:r>
    </w:p>
    <w:p>
      <w:pPr>
        <w:pBdr>
          <w:left w:val="single" w:sz="18" w:space="8" w:color="1F3864"/>
        </w:pBdr>
        <w:shd w:val="clear" w:color="auto" w:fill="EEF3F8"/>
        <w:spacing w:before="60" w:after="120" w:line="276"/>
        <w:ind w:left="170" w:right="113"/>
      </w:pPr>
      <w:r>
        <w:rPr>
          <w:rFonts w:ascii="Calibri" w:cs="Calibri" w:eastAsia="Calibri" w:hAnsi="Calibri"/>
          <w:b/>
          <w:bCs/>
        </w:rPr>
        <w:t xml:space="preserve">As built (October 2026) — built:</w:t>
      </w:r>
      <w:r>
        <w:rPr>
          <w:rFonts w:ascii="Calibri" w:cs="Calibri" w:eastAsia="Calibri" w:hAnsi="Calibri"/>
        </w:rPr>
        <w:t xml:space="preserve"> Before selection the office verifies or does not accept declared qualifications (with a reason the applicant sees and receives by SMS). The Admissions Officer runs selection: eligibility is re-checked, applicants are ranked by merit and places allocated stably across their choices within capacity. The proposal can be re-run while it is open. The Admissions Committee reviews statistics and a CSV pack, excludes applicants with a recorded reason and approves; the person who ran the selection cannot approve it.</w:t>
      </w:r>
    </w:p>
    <w:p>
      <w:pPr>
        <w:pStyle w:val="Heading2"/>
      </w:pPr>
      <w:bookmarkStart w:id="9" w:name="_TocV11_9"/>
      <w:r>
        <w:rPr>
          <w:rFonts w:ascii="Calibri" w:cs="Calibri" w:eastAsia="Calibri" w:hAnsi="Calibri"/>
        </w:rPr>
        <w:t xml:space="preserve">BP-04 NACTVET Verification and Offer Acceptance</w:t>
      </w:r>
      <w:bookmarkEnd w:id="9"/>
    </w:p>
    <w:p>
      <w:pPr>
        <w:spacing w:after="300"/>
      </w:pPr>
      <w:r>
        <w:rPr>
          <w:i/>
          <w:rFonts w:ascii="Calibri" w:cs="Calibri" w:eastAsia="Calibri" w:hAnsi="Calibri"/>
          <w:color w:val="595959"/>
          <w:sz w:val="22"/>
          <w:szCs w:val="22"/>
        </w:rPr>
        <w:t xml:space="preserve">This process describes how selected applicants are submitted to NACTVET for verification and how verified applicants accept their offers and become confirmed admissions. The table sets out its purpose, what starts it, who takes part, the steps and the controls the system applies.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5"/>
        <w:gridCol w:w="7041"/>
      </w:tblGrid>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Purpose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Have selected applicants verified by NACTVET and convert them into confirmed admissions.</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Trigger</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Selection list approved.</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Actors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Admissions Officer, NACTVET, Applicant.</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Inputs → Outputs</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Selected list → verified admissions with confirmation codes, admission letters, accepted offers.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Requirements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FR-ADM-12 to FR-ADM-15.</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1"/>
        <w:gridCol w:w="1624"/>
        <w:gridCol w:w="3610"/>
        <w:gridCol w:w="3251"/>
      </w:tblGrid>
      <w:tr>
        <w:trPr>
          <w:tblHeader/>
        </w:trPr>
        <w:tc>
          <w:tcPr>
            <w:tcW w:type="dxa" w:w="54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Actor</w:t>
            </w:r>
          </w:p>
        </w:tc>
        <w:tc>
          <w:tcPr>
            <w:tcW w:type="dxa" w:w="361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Activity</w:t>
            </w:r>
          </w:p>
        </w:tc>
        <w:tc>
          <w:tcPr>
            <w:tcW w:type="dxa" w:w="325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System support / control</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Admissions Officer</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Generates the NACTVET verification submission.</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Submission produced via API or in NACTVET template; pre-validation catches missing fields.</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Admissions Officer</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Submits to NACTVET and imports outcomes.</w:t>
            </w:r>
          </w:p>
        </w:tc>
        <w:tc>
          <w:tcPr>
            <w:tcW w:type="dxa" w:w="32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Per-applicant status: verified, queried, rejected; confirmation code stored.</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Admissions Officer</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Resolves queries (e.g. wrong index number) and resubmits.</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Query reasons tracked until closed.</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4</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System</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Issues admission letters and joining instructions to verified applicants.</w:t>
            </w:r>
          </w:p>
        </w:tc>
        <w:tc>
          <w:tcPr>
            <w:tcW w:type="dxa" w:w="32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Letter with QR code; SMS and email notification.</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5</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Applicant</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Accepts offer (and confirms this institution if admitted elsewhere) before deadline.</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Acceptance recorded; first-year invoice generated.</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6</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Admissions Officer</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Fills places not accepted from the next ranked eligible applicants.</w:t>
            </w:r>
          </w:p>
        </w:tc>
        <w:tc>
          <w:tcPr>
            <w:tcW w:type="dxa" w:w="32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Next-round selection follows BP-03 and this process.</w:t>
            </w:r>
          </w:p>
        </w:tc>
      </w:tr>
    </w:tbl>
    <w:p>
      <w:pPr>
        <w:spacing w:after="120"/>
      </w:pPr>
    </w:p>
    <w:p>
      <w:pPr>
        <w:pStyle w:val="Heading3"/>
      </w:pPr>
      <w:r>
        <w:rPr>
          <w:rFonts w:ascii="Calibri" w:cs="Calibri" w:eastAsia="Calibri" w:hAnsi="Calibri"/>
        </w:rPr>
        <w:t xml:space="preserve">Exceptions</w:t>
      </w:r>
    </w:p>
    <w:p>
      <w:pPr>
        <w:spacing w:after="300"/>
      </w:pPr>
      <w:r>
        <w:rPr>
          <w:i/>
          <w:rFonts w:ascii="Calibri" w:cs="Calibri" w:eastAsia="Calibri" w:hAnsi="Calibri"/>
          <w:color w:val="595959"/>
          <w:sz w:val="22"/>
          <w:szCs w:val="22"/>
        </w:rPr>
        <w:t xml:space="preserve">Exceptions are the situations that do not follow the normal steps above, and how each is handled so that no case is left without an owner.</w:t>
      </w:r>
    </w:p>
    <w:p>
      <w:pPr>
        <w:pStyle w:val="ListParagraph"/>
        <w:numPr>
          <w:ilvl w:val="0"/>
          <w:numId w:val="2"/>
        </w:numPr>
        <w:spacing w:after="60" w:line="264"/>
      </w:pPr>
      <w:r>
        <w:rPr>
          <w:rFonts w:ascii="Calibri" w:cs="Calibri" w:eastAsia="Calibri" w:hAnsi="Calibri"/>
        </w:rPr>
        <w:t xml:space="preserve">NACTVET rejects an applicant: admission withdrawn; applicant notified with reason.</w:t>
      </w:r>
    </w:p>
    <w:p>
      <w:pPr>
        <w:pStyle w:val="ListParagraph"/>
        <w:numPr>
          <w:ilvl w:val="0"/>
          <w:numId w:val="2"/>
        </w:numPr>
        <w:spacing w:after="60" w:line="264"/>
      </w:pPr>
      <w:r>
        <w:rPr>
          <w:rFonts w:ascii="Calibri" w:cs="Calibri" w:eastAsia="Calibri" w:hAnsi="Calibri"/>
        </w:rPr>
        <w:t xml:space="preserve">Externally selected students (e.g. TAMISEMI): imported and processed from step 2.</w:t>
      </w:r>
    </w:p>
    <w:p>
      <w:pPr>
        <w:pStyle w:val="Heading3"/>
      </w:pPr>
      <w:r>
        <w:rPr>
          <w:rFonts w:ascii="Calibri" w:cs="Calibri" w:eastAsia="Calibri" w:hAnsi="Calibri"/>
        </w:rPr>
        <w:t xml:space="preserve">Service level / KPI</w:t>
      </w:r>
    </w:p>
    <w:p>
      <w:pPr>
        <w:spacing w:after="300"/>
      </w:pPr>
      <w:r>
        <w:rPr>
          <w:i/>
          <w:rFonts w:ascii="Calibri" w:cs="Calibri" w:eastAsia="Calibri" w:hAnsi="Calibri"/>
          <w:color w:val="595959"/>
          <w:sz w:val="22"/>
          <w:szCs w:val="22"/>
        </w:rPr>
        <w:t xml:space="preserve">The service level states how quickly and how well verification and offers must be carried out, and the As built note describes how CIMS performs it today.</w:t>
      </w:r>
    </w:p>
    <w:p>
      <w:pPr>
        <w:pStyle w:val="ListParagraph"/>
        <w:numPr>
          <w:ilvl w:val="0"/>
          <w:numId w:val="2"/>
        </w:numPr>
        <w:spacing w:after="60" w:line="264"/>
      </w:pPr>
      <w:r>
        <w:rPr>
          <w:rFonts w:ascii="Calibri" w:cs="Calibri" w:eastAsia="Calibri" w:hAnsi="Calibri"/>
        </w:rPr>
        <w:t xml:space="preserve">At least 95% of submissions verified without query.</w:t>
      </w:r>
    </w:p>
    <w:p>
      <w:pPr>
        <w:pStyle w:val="ListParagraph"/>
        <w:numPr>
          <w:ilvl w:val="0"/>
          <w:numId w:val="2"/>
        </w:numPr>
        <w:spacing w:after="60" w:line="264"/>
      </w:pPr>
      <w:r>
        <w:rPr>
          <w:rFonts w:ascii="Calibri" w:cs="Calibri" w:eastAsia="Calibri" w:hAnsi="Calibri"/>
        </w:rPr>
        <w:t xml:space="preserve">Admission letters issued within 2 working days of verification.</w:t>
      </w:r>
    </w:p>
    <w:p>
      <w:pPr>
        <w:pBdr>
          <w:left w:val="single" w:sz="18" w:space="8" w:color="1F3864"/>
        </w:pBdr>
        <w:shd w:val="clear" w:color="auto" w:fill="EEF3F8"/>
        <w:spacing w:before="60" w:after="120" w:line="276"/>
        <w:ind w:left="170" w:right="113"/>
      </w:pPr>
      <w:r>
        <w:rPr>
          <w:rFonts w:ascii="Calibri" w:cs="Calibri" w:eastAsia="Calibri" w:hAnsi="Calibri"/>
          <w:b/>
          <w:bCs/>
        </w:rPr>
        <w:t xml:space="preserve">As built (October 2026) — built: Selected applicants are pre-validated, then submitted by API or as a NACTVET template file. Outcomes are fetched (API) or imported from NACTVET's outcome file (all rows must be valid). Queries are resolved with a note and resubmitted. Verified applicants receive an offer with a deadline by SMS; those admitted elsewhere too must enter NACTVET's confirmation code (limited attempts). On acceptance the admission letter with joining instructions and QR code is issued and the annual fees invoice with control number is raised. Unanswered offers lapse automatically and released places are filled by the next selection round. Differences: the letter follows acceptance rather than verification; NACTVET's live API endpoints are awaited (a tested adapter is ready); students selected by TAMISEMI or another body are imported into the window as selected and follow the same verification and offers.</w:t>
      </w:r>
    </w:p>
    <w:p>
      <w:pPr>
        <w:pStyle w:val="Heading1"/>
        <w:pageBreakBefore/>
      </w:pPr>
      <w:bookmarkStart w:id="10" w:name="_TocV11_10"/>
      <w:r>
        <w:rPr>
          <w:rFonts w:ascii="Calibri" w:cs="Calibri" w:eastAsia="Calibri" w:hAnsi="Calibri"/>
        </w:rPr>
        <w:t xml:space="preserve">3. Registration and Records Processes</w:t>
      </w:r>
      <w:bookmarkEnd w:id="10"/>
    </w:p>
    <w:p>
      <w:pPr>
        <w:spacing w:after="300"/>
      </w:pPr>
      <w:r>
        <w:rPr>
          <w:i/>
          <w:rFonts w:ascii="Calibri" w:cs="Calibri" w:eastAsia="Calibri" w:hAnsi="Calibri"/>
          <w:color w:val="595959"/>
          <w:sz w:val="22"/>
          <w:szCs w:val="22"/>
        </w:rPr>
        <w:t xml:space="preserve">These processes create and maintain the student record: registering students each semester and recording changes in their status during their studies.</w:t>
      </w:r>
    </w:p>
    <w:p>
      <w:pPr>
        <w:pStyle w:val="Heading2"/>
      </w:pPr>
      <w:bookmarkStart w:id="11" w:name="_TocV11_11"/>
      <w:r>
        <w:rPr>
          <w:rFonts w:ascii="Calibri" w:cs="Calibri" w:eastAsia="Calibri" w:hAnsi="Calibri"/>
        </w:rPr>
        <w:t xml:space="preserve">BP-05 Student Registration</w:t>
      </w:r>
      <w:bookmarkEnd w:id="11"/>
    </w:p>
    <w:p>
      <w:pPr>
        <w:spacing w:after="300"/>
      </w:pPr>
      <w:r>
        <w:rPr>
          <w:i/>
          <w:rFonts w:ascii="Calibri" w:cs="Calibri" w:eastAsia="Calibri" w:hAnsi="Calibri"/>
          <w:color w:val="595959"/>
          <w:sz w:val="22"/>
          <w:szCs w:val="22"/>
        </w:rPr>
        <w:t xml:space="preserve">This process describes how new and continuing students register for each semester, including the fee and other conditions that must be met first. The table sets out its purpose, what starts it, who takes part, the steps and the controls the system applies.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5"/>
        <w:gridCol w:w="7041"/>
      </w:tblGrid>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Purpose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Register new and continuing students for the semester/year.</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Trigger</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Registration period opens in the academic calendar.</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Actors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Student, Registry Officer, Accountant, Hostel Warden.</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Inputs → Outputs</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Accepted applicant or continuing student → registered student on class and examination lists.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Requirements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FR-REG-01 to FR-REG-03, FR-REG-07, FR-FIN-06.</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1"/>
        <w:gridCol w:w="1624"/>
        <w:gridCol w:w="3610"/>
        <w:gridCol w:w="3251"/>
      </w:tblGrid>
      <w:tr>
        <w:trPr>
          <w:tblHeader/>
        </w:trPr>
        <w:tc>
          <w:tcPr>
            <w:tcW w:type="dxa" w:w="54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Actor</w:t>
            </w:r>
          </w:p>
        </w:tc>
        <w:tc>
          <w:tcPr>
            <w:tcW w:type="dxa" w:w="361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Activity</w:t>
            </w:r>
          </w:p>
        </w:tc>
        <w:tc>
          <w:tcPr>
            <w:tcW w:type="dxa" w:w="325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System support / control</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Registry Officer</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Converts accepted applicants into students (first years).</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 record created from application; registration number generated.</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Logs into the student portal, confirms details and modules.</w:t>
            </w:r>
          </w:p>
        </w:tc>
        <w:tc>
          <w:tcPr>
            <w:tcW w:type="dxa" w:w="32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Core modules pre-selected from curriculum; electives within rules.</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System</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Checks financial clearance for registration.</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Gate threshold applied (e.g. registration fee and first instalment paid).</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4</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Submits original documents for verification at first registration.</w:t>
            </w:r>
          </w:p>
        </w:tc>
        <w:tc>
          <w:tcPr>
            <w:tcW w:type="dxa" w:w="32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Document checklist recorded by Registry.</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5</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Registry Officer</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Approves registration.</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 appears on class lists; ID card can be printed; NACTVET registration submission prepared.</w:t>
            </w:r>
          </w:p>
        </w:tc>
      </w:tr>
    </w:tbl>
    <w:p>
      <w:pPr>
        <w:spacing w:after="120"/>
      </w:pPr>
    </w:p>
    <w:p>
      <w:pPr>
        <w:pStyle w:val="Heading3"/>
      </w:pPr>
      <w:r>
        <w:rPr>
          <w:rFonts w:ascii="Calibri" w:cs="Calibri" w:eastAsia="Calibri" w:hAnsi="Calibri"/>
        </w:rPr>
        <w:t xml:space="preserve">Exceptions</w:t>
      </w:r>
    </w:p>
    <w:p>
      <w:pPr>
        <w:spacing w:after="300"/>
      </w:pPr>
      <w:r>
        <w:rPr>
          <w:i/>
          <w:rFonts w:ascii="Calibri" w:cs="Calibri" w:eastAsia="Calibri" w:hAnsi="Calibri"/>
          <w:color w:val="595959"/>
          <w:sz w:val="22"/>
          <w:szCs w:val="22"/>
        </w:rPr>
        <w:t xml:space="preserve">Exceptions are the situations that do not follow the normal steps above, and how each is handled so that no case is left without an owner.</w:t>
      </w:r>
    </w:p>
    <w:p>
      <w:pPr>
        <w:pStyle w:val="ListParagraph"/>
        <w:numPr>
          <w:ilvl w:val="0"/>
          <w:numId w:val="2"/>
        </w:numPr>
        <w:spacing w:after="60" w:line="264"/>
      </w:pPr>
      <w:r>
        <w:rPr>
          <w:rFonts w:ascii="Calibri" w:cs="Calibri" w:eastAsia="Calibri" w:hAnsi="Calibri"/>
        </w:rPr>
        <w:t xml:space="preserve">Late registration: allowed within configured window with penalty fee.</w:t>
      </w:r>
    </w:p>
    <w:p>
      <w:pPr>
        <w:pStyle w:val="ListParagraph"/>
        <w:numPr>
          <w:ilvl w:val="0"/>
          <w:numId w:val="2"/>
        </w:numPr>
        <w:spacing w:after="60" w:line="264"/>
      </w:pPr>
      <w:r>
        <w:rPr>
          <w:rFonts w:ascii="Calibri" w:cs="Calibri" w:eastAsia="Calibri" w:hAnsi="Calibri"/>
        </w:rPr>
        <w:t xml:space="preserve">Clearance not met: registration pending; student notified of balance and control number.</w:t>
      </w:r>
    </w:p>
    <w:p>
      <w:pPr>
        <w:pStyle w:val="Heading3"/>
      </w:pPr>
      <w:r>
        <w:rPr>
          <w:rFonts w:ascii="Calibri" w:cs="Calibri" w:eastAsia="Calibri" w:hAnsi="Calibri"/>
        </w:rPr>
        <w:t xml:space="preserve">Service level / KPI</w:t>
      </w:r>
    </w:p>
    <w:p>
      <w:pPr>
        <w:spacing w:after="300"/>
      </w:pPr>
      <w:r>
        <w:rPr>
          <w:i/>
          <w:rFonts w:ascii="Calibri" w:cs="Calibri" w:eastAsia="Calibri" w:hAnsi="Calibri"/>
          <w:color w:val="595959"/>
          <w:sz w:val="22"/>
          <w:szCs w:val="22"/>
        </w:rPr>
        <w:t xml:space="preserve">The service level states how quickly and how well registration must be carried out, and the As built note describes how CIMS performs it today.</w:t>
      </w:r>
    </w:p>
    <w:p>
      <w:pPr>
        <w:pStyle w:val="ListParagraph"/>
        <w:numPr>
          <w:ilvl w:val="0"/>
          <w:numId w:val="2"/>
        </w:numPr>
        <w:spacing w:after="60" w:line="264"/>
      </w:pPr>
      <w:r>
        <w:rPr>
          <w:rFonts w:ascii="Calibri" w:cs="Calibri" w:eastAsia="Calibri" w:hAnsi="Calibri"/>
        </w:rPr>
        <w:t xml:space="preserve">90% of students registered within two weeks of the semester start.</w:t>
      </w:r>
    </w:p>
    <w:p>
      <w:pPr>
        <w:pBdr>
          <w:left w:val="single" w:sz="18" w:space="8" w:color="1F3864"/>
        </w:pBdr>
        <w:shd w:val="clear" w:color="auto" w:fill="EEF3F8"/>
        <w:spacing w:before="60" w:after="120" w:line="276"/>
        <w:ind w:left="170" w:right="113"/>
      </w:pPr>
      <w:r>
        <w:rPr>
          <w:rFonts w:ascii="Calibri" w:cs="Calibri" w:eastAsia="Calibri" w:hAnsi="Calibri"/>
          <w:b/>
          <w:bCs/>
        </w:rPr>
        <w:t xml:space="preserve">As built (October 2026) — partly built: Registry hands accepted applicants over: the student record, registration number and student portal sign-in are created, the fees invoice moves to the student and a welcome SMS is sent. At reporting Registry ticks the originals seen and approves first registration, which makes the student active. Each semester the student registers in the portal (core modules shown, electives chosen, fee clearance checked, late registrations flagged) and Registry approves or returns with a note. ID cards are printed from the student record. Registry sends registered students to NACTVET by API and follows each student's outcome (live interface awaited). Not built: a late registration penalty fee.</w:t>
      </w:r>
    </w:p>
    <w:p>
      <w:pPr>
        <w:pStyle w:val="Heading2"/>
      </w:pPr>
      <w:bookmarkStart w:id="12" w:name="_TocV11_12"/>
      <w:r>
        <w:rPr>
          <w:rFonts w:ascii="Calibri" w:cs="Calibri" w:eastAsia="Calibri" w:hAnsi="Calibri"/>
        </w:rPr>
        <w:t xml:space="preserve">BP-14 Student Status Changes</w:t>
      </w:r>
      <w:bookmarkEnd w:id="12"/>
    </w:p>
    <w:p>
      <w:pPr>
        <w:spacing w:after="300"/>
      </w:pPr>
      <w:r>
        <w:rPr>
          <w:i/>
          <w:rFonts w:ascii="Calibri" w:cs="Calibri" w:eastAsia="Calibri" w:hAnsi="Calibri"/>
          <w:color w:val="595959"/>
          <w:sz w:val="22"/>
          <w:szCs w:val="22"/>
        </w:rPr>
        <w:t xml:space="preserve">This process describes how changes in a student's status, such as postponement, suspension, transfer or withdrawal, are requested, approved and recorded. The table sets out its purpose, what starts it, who takes part, the steps and the controls the system applies.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5"/>
        <w:gridCol w:w="7041"/>
      </w:tblGrid>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Purpose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Record postponement, resumption, suspension, discontinuation, withdrawal, transfer and death with proper approval.</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Trigger</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Student request, examination decision or disciplinary decision.</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Actors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Student, Head of Department, Registry Officer, Deputy Principal (Academic).</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Inputs → Outputs</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Request with evidence → approved status change with effective date.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Requirements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FR-REG-04, FR-REG-05.</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1"/>
        <w:gridCol w:w="1624"/>
        <w:gridCol w:w="3610"/>
        <w:gridCol w:w="3251"/>
      </w:tblGrid>
      <w:tr>
        <w:trPr>
          <w:tblHeader/>
        </w:trPr>
        <w:tc>
          <w:tcPr>
            <w:tcW w:type="dxa" w:w="54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Actor</w:t>
            </w:r>
          </w:p>
        </w:tc>
        <w:tc>
          <w:tcPr>
            <w:tcW w:type="dxa" w:w="361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Activity</w:t>
            </w:r>
          </w:p>
        </w:tc>
        <w:tc>
          <w:tcPr>
            <w:tcW w:type="dxa" w:w="325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System support / control</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 / Officer</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Submits request with reason and documents.</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Request form per change type.</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Head of Department</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Recommends.</w:t>
            </w:r>
          </w:p>
        </w:tc>
        <w:tc>
          <w:tcPr>
            <w:tcW w:type="dxa" w:w="32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Workflow step with comments.</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Deputy Principal (Academic)</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Approves or rejects.</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Approval recorded.</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4</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System</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Applies status, adjusts invoices (per policy) and notifies offices.</w:t>
            </w:r>
          </w:p>
        </w:tc>
        <w:tc>
          <w:tcPr>
            <w:tcW w:type="dxa" w:w="32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Status history kept; class lists and clearance updated.</w:t>
            </w:r>
          </w:p>
        </w:tc>
      </w:tr>
    </w:tbl>
    <w:p>
      <w:pPr>
        <w:spacing w:after="120"/>
      </w:pPr>
    </w:p>
    <w:p>
      <w:pPr>
        <w:pBdr>
          <w:left w:val="single" w:sz="18" w:space="8" w:color="1F3864"/>
        </w:pBdr>
        <w:shd w:val="clear" w:color="auto" w:fill="EEF3F8"/>
        <w:spacing w:before="60" w:after="120" w:line="276"/>
        <w:ind w:left="170" w:right="113"/>
      </w:pPr>
      <w:r>
        <w:rPr>
          <w:rFonts w:ascii="Calibri" w:cs="Calibri" w:eastAsia="Calibri" w:hAnsi="Calibri"/>
          <w:b/>
          <w:bCs/>
        </w:rPr>
        <w:t xml:space="preserve">As built (October 2026) — partly built: Registry records the request (postponement, resumption, suspension, discontinuation, withdrawal, death) with reason, documents reference and effective date; the Head of the student's department recommends; the Deputy Principal (Academic) or administrator decides. The change is applied on the effective date by a daily job, the student is told by SMS and the history is kept. Programme and campus transfers follow the same path: asked by Registry or by the student, recommended by the receiving Head of Department and decided by the Deputy Principal (Academic); the registration number never changes. Not built: automatic invoice adjustments.</w:t>
      </w:r>
    </w:p>
    <w:p>
      <w:pPr>
        <w:pStyle w:val="Heading1"/>
      </w:pPr>
      <w:bookmarkStart w:id="13" w:name="_TocV11_13"/>
      <w:r>
        <w:rPr>
          <w:rFonts w:ascii="Calibri" w:cs="Calibri" w:eastAsia="Calibri" w:hAnsi="Calibri"/>
        </w:rPr>
        <w:t xml:space="preserve">4. Finance Processes</w:t>
      </w:r>
      <w:bookmarkEnd w:id="13"/>
    </w:p>
    <w:p>
      <w:pPr>
        <w:spacing w:after="300"/>
      </w:pPr>
      <w:r>
        <w:rPr>
          <w:i/>
          <w:rFonts w:ascii="Calibri" w:cs="Calibri" w:eastAsia="Calibri" w:hAnsi="Calibri"/>
          <w:color w:val="595959"/>
          <w:sz w:val="22"/>
          <w:szCs w:val="22"/>
        </w:rPr>
        <w:t xml:space="preserve">Finance processes ensure every student is billed correctly and every payment is collected, matched and receipted. The figure gives the overall flow of billing and payment.</w:t>
      </w:r>
    </w:p>
    <w:p>
      <w:pPr>
        <w:spacing w:after="60" w:before="120"/>
        <w:jc w:val="center"/>
      </w:pPr>
      <w:r>
        <w:drawing>
          <wp:inline distT="0" distB="0" distL="0" distR="0">
            <wp:extent cx="4953000" cy="1019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953000" cy="1019175"/>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Figure 2: Fee billing and payment flow (BP-06)</w:t>
      </w:r>
    </w:p>
    <w:p>
      <w:pPr>
        <w:pStyle w:val="Heading2"/>
      </w:pPr>
      <w:bookmarkStart w:id="14" w:name="_TocV11_14"/>
      <w:r>
        <w:rPr>
          <w:rFonts w:ascii="Calibri" w:cs="Calibri" w:eastAsia="Calibri" w:hAnsi="Calibri"/>
        </w:rPr>
        <w:t xml:space="preserve">BP-06 Fee Billing, Payment and Reconciliation</w:t>
      </w:r>
      <w:bookmarkEnd w:id="14"/>
    </w:p>
    <w:p>
      <w:pPr>
        <w:spacing w:after="300"/>
      </w:pPr>
      <w:r>
        <w:rPr>
          <w:i/>
          <w:rFonts w:ascii="Calibri" w:cs="Calibri" w:eastAsia="Calibri" w:hAnsi="Calibri"/>
          <w:color w:val="595959"/>
          <w:sz w:val="22"/>
          <w:szCs w:val="22"/>
        </w:rPr>
        <w:t xml:space="preserve">This process describes how students are billed, how they pay through control numbers or other channels, and how payments are reconciled and receipted automatically. The table sets out its purpose, what starts it, who takes part, the steps and the controls the system applies.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5"/>
        <w:gridCol w:w="7041"/>
      </w:tblGrid>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Purpose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Bill every student correctly and collect all fees through GePG with automatic receipting.</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Trigger</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Billing events (acceptance, registration, hostel allocation, supplementary registration) or scheduled billing.</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Actors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Bursar, Accountant, Student, GePG.</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Inputs → Outputs</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Approved fee structure → invoices, control numbers, receipts, reconciled collections.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Requirements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FR-FIN-01 to FR-FIN-06, FR-FIN-12.</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1"/>
        <w:gridCol w:w="1624"/>
        <w:gridCol w:w="3610"/>
        <w:gridCol w:w="3251"/>
      </w:tblGrid>
      <w:tr>
        <w:trPr>
          <w:tblHeader/>
        </w:trPr>
        <w:tc>
          <w:tcPr>
            <w:tcW w:type="dxa" w:w="54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Actor</w:t>
            </w:r>
          </w:p>
        </w:tc>
        <w:tc>
          <w:tcPr>
            <w:tcW w:type="dxa" w:w="361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Activity</w:t>
            </w:r>
          </w:p>
        </w:tc>
        <w:tc>
          <w:tcPr>
            <w:tcW w:type="dxa" w:w="325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System support / control</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Bursar</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Approves fee structure for the academic year.</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Versioned with effective dates; changes audited.</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System</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Generates itemised invoices on billing events.</w:t>
            </w:r>
          </w:p>
        </w:tc>
        <w:tc>
          <w:tcPr>
            <w:tcW w:type="dxa" w:w="32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Bulk or individual; duplicate prevention.</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System</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Obtains a GePG control number per invoice.</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Signed request; retries on failure; SMS to student.</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4</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Pays via bank or mobile money.</w:t>
            </w:r>
          </w:p>
        </w:tc>
        <w:tc>
          <w:tcPr>
            <w:tcW w:type="dxa" w:w="32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5</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System</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Receives payment notification, allocates to invoice lines, issues receipt.</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Real-time balance; clearance gates recalculated.</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6</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Accountant</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Reviews daily reconciliation exceptions.</w:t>
            </w:r>
          </w:p>
        </w:tc>
        <w:tc>
          <w:tcPr>
            <w:tcW w:type="dxa" w:w="32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GePG reconciliation file matched automatically; unmatched items listed.</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7</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Bursar</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Signs off monthly reconciliation and posts summary to MUSE/accounting.</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Export file or API (R3).</w:t>
            </w:r>
          </w:p>
        </w:tc>
      </w:tr>
    </w:tbl>
    <w:p>
      <w:pPr>
        <w:spacing w:after="120"/>
      </w:pPr>
    </w:p>
    <w:p>
      <w:pPr>
        <w:pStyle w:val="Heading3"/>
      </w:pPr>
      <w:r>
        <w:rPr>
          <w:rFonts w:ascii="Calibri" w:cs="Calibri" w:eastAsia="Calibri" w:hAnsi="Calibri"/>
        </w:rPr>
        <w:t xml:space="preserve">Exceptions</w:t>
      </w:r>
    </w:p>
    <w:p>
      <w:pPr>
        <w:spacing w:after="300"/>
      </w:pPr>
      <w:r>
        <w:rPr>
          <w:i/>
          <w:rFonts w:ascii="Calibri" w:cs="Calibri" w:eastAsia="Calibri" w:hAnsi="Calibri"/>
          <w:color w:val="595959"/>
          <w:sz w:val="22"/>
          <w:szCs w:val="22"/>
        </w:rPr>
        <w:t xml:space="preserve">Exceptions are the situations that do not follow the normal steps above, and how each is handled so that no case is left without an owner.</w:t>
      </w:r>
    </w:p>
    <w:p>
      <w:pPr>
        <w:pStyle w:val="ListParagraph"/>
        <w:numPr>
          <w:ilvl w:val="0"/>
          <w:numId w:val="2"/>
        </w:numPr>
        <w:spacing w:after="60" w:line="264"/>
      </w:pPr>
      <w:r>
        <w:rPr>
          <w:rFonts w:ascii="Calibri" w:cs="Calibri" w:eastAsia="Calibri" w:hAnsi="Calibri"/>
        </w:rPr>
        <w:t xml:space="preserve">Overpayment: held as credit and applied to next invoice or refunded via BP-17.</w:t>
      </w:r>
    </w:p>
    <w:p>
      <w:pPr>
        <w:pStyle w:val="ListParagraph"/>
        <w:numPr>
          <w:ilvl w:val="0"/>
          <w:numId w:val="2"/>
        </w:numPr>
        <w:spacing w:after="60" w:line="264"/>
      </w:pPr>
      <w:r>
        <w:rPr>
          <w:rFonts w:ascii="Calibri" w:cs="Calibri" w:eastAsia="Calibri" w:hAnsi="Calibri"/>
        </w:rPr>
        <w:t xml:space="preserve">Payment to expired control number: matched by GePG reference in reconciliation.</w:t>
      </w:r>
    </w:p>
    <w:p>
      <w:pPr>
        <w:pStyle w:val="Heading3"/>
      </w:pPr>
      <w:r>
        <w:rPr>
          <w:rFonts w:ascii="Calibri" w:cs="Calibri" w:eastAsia="Calibri" w:hAnsi="Calibri"/>
        </w:rPr>
        <w:t xml:space="preserve">Service level / KPI</w:t>
      </w:r>
    </w:p>
    <w:p>
      <w:pPr>
        <w:spacing w:after="300"/>
      </w:pPr>
      <w:r>
        <w:rPr>
          <w:i/>
          <w:rFonts w:ascii="Calibri" w:cs="Calibri" w:eastAsia="Calibri" w:hAnsi="Calibri"/>
          <w:color w:val="595959"/>
          <w:sz w:val="22"/>
          <w:szCs w:val="22"/>
        </w:rPr>
        <w:t xml:space="preserve">The service level states how quickly and how well billing and reconciliation must be carried out, and the As built note describes how CIMS performs it today.</w:t>
      </w:r>
    </w:p>
    <w:p>
      <w:pPr>
        <w:pStyle w:val="ListParagraph"/>
        <w:numPr>
          <w:ilvl w:val="0"/>
          <w:numId w:val="2"/>
        </w:numPr>
        <w:spacing w:after="60" w:line="264"/>
      </w:pPr>
      <w:r>
        <w:rPr>
          <w:rFonts w:ascii="Calibri" w:cs="Calibri" w:eastAsia="Calibri" w:hAnsi="Calibri"/>
        </w:rPr>
        <w:t xml:space="preserve">At least 98% of payments auto-matched.</w:t>
      </w:r>
    </w:p>
    <w:p>
      <w:pPr>
        <w:pStyle w:val="ListParagraph"/>
        <w:numPr>
          <w:ilvl w:val="0"/>
          <w:numId w:val="2"/>
        </w:numPr>
        <w:spacing w:after="60" w:line="264"/>
      </w:pPr>
      <w:r>
        <w:rPr>
          <w:rFonts w:ascii="Calibri" w:cs="Calibri" w:eastAsia="Calibri" w:hAnsi="Calibri"/>
        </w:rPr>
        <w:t xml:space="preserve">Reconciliation exceptions cleared within 3 working days.</w:t>
      </w:r>
    </w:p>
    <w:p>
      <w:pPr>
        <w:pBdr>
          <w:left w:val="single" w:sz="18" w:space="8" w:color="1F3864"/>
        </w:pBdr>
        <w:shd w:val="clear" w:color="auto" w:fill="EEF3F8"/>
        <w:spacing w:before="60" w:after="120" w:line="276"/>
        <w:ind w:left="170" w:right="113"/>
      </w:pPr>
      <w:r>
        <w:rPr>
          <w:rFonts w:ascii="Calibri" w:cs="Calibri" w:eastAsia="Calibri" w:hAnsi="Calibri"/>
          <w:b/>
          <w:bCs/>
        </w:rPr>
        <w:t xml:space="preserve">As built (October 2026) — built: The Accountant prepares fee structures per programme, year of study and academic year, and the Bursar approves them (never the same person); approved versions are kept. Invoices are raised on acceptance, at hand-over, for hostel, resit and appeal fees and in billing runs, without duplicates. Each invoice gets a GePG control number (SMS). The signed payment notification is processed once, allocated to fee items in priority order (overpayment held as credit) and receipted (PDF). The Accountant imports GePG's daily reconciliation file and resolves each exception type; a day closes only with no open exceptions; the Bursar signs off the month. Instalments fall due on dates set per academic year, with SMS reminders before, on and after the day and late-payment penalties after a grace period; discounts and scholarships are granted through the waiver approval. Fee structures can also differ by intake and student category. Postings go to MUSE per period, or as a file for another accounting system. The live GePG adapter is switched on with the institution's certificates; until then GePG is simulated.</w:t>
      </w:r>
    </w:p>
    <w:p>
      <w:pPr>
        <w:pStyle w:val="Heading2"/>
      </w:pPr>
      <w:bookmarkStart w:id="15" w:name="_TocV11_15"/>
      <w:r>
        <w:rPr>
          <w:rFonts w:ascii="Calibri" w:cs="Calibri" w:eastAsia="Calibri" w:hAnsi="Calibri"/>
        </w:rPr>
        <w:t xml:space="preserve">BP-17 Sponsorship, Waivers and Refunds</w:t>
      </w:r>
      <w:bookmarkEnd w:id="15"/>
    </w:p>
    <w:p>
      <w:pPr>
        <w:spacing w:after="300"/>
      </w:pPr>
      <w:r>
        <w:rPr>
          <w:i/>
          <w:rFonts w:ascii="Calibri" w:cs="Calibri" w:eastAsia="Calibri" w:hAnsi="Calibri"/>
          <w:color w:val="595959"/>
          <w:sz w:val="22"/>
          <w:szCs w:val="22"/>
        </w:rPr>
        <w:t xml:space="preserve">This process describes how payments by sponsors (including HESLB), fee waivers and refunds are handled under proper approval. The table sets out its purpose, what starts it, who takes part, the steps and the controls the system applies.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5"/>
        <w:gridCol w:w="7041"/>
      </w:tblGrid>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Purpose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Handle third-party funding and financial adjustments with control.</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Trigger</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Sponsor letter, HESLB beneficiary list, waiver application, refund request.</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Actors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Accountant, Bursar, Principal (above threshold), Sponsor/HESLB.</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Inputs → Outputs</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Funding or adjustment request → sponsor invoices, credit notes, approved refunds.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Requirements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FR-FIN-07 to FR-FIN-10.</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1"/>
        <w:gridCol w:w="1624"/>
        <w:gridCol w:w="3610"/>
        <w:gridCol w:w="3251"/>
      </w:tblGrid>
      <w:tr>
        <w:trPr>
          <w:tblHeader/>
        </w:trPr>
        <w:tc>
          <w:tcPr>
            <w:tcW w:type="dxa" w:w="54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Actor</w:t>
            </w:r>
          </w:p>
        </w:tc>
        <w:tc>
          <w:tcPr>
            <w:tcW w:type="dxa" w:w="361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Activity</w:t>
            </w:r>
          </w:p>
        </w:tc>
        <w:tc>
          <w:tcPr>
            <w:tcW w:type="dxa" w:w="325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System support / control</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Accountant</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Registers sponsor and sponsored students, or imports HESLB list.</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Sponsor share of each fee item defined.</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System</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Splits invoices between student and sponsor.</w:t>
            </w:r>
          </w:p>
        </w:tc>
        <w:tc>
          <w:tcPr>
            <w:tcW w:type="dxa" w:w="32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Sponsor invoice and statement produced.</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Accountant</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Records waiver/refund request with evidence.</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Policy checks (eligibility, limits).</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4</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Bursar / Principal</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Approves per threshold (two levels above limit).</w:t>
            </w:r>
          </w:p>
        </w:tc>
        <w:tc>
          <w:tcPr>
            <w:tcW w:type="dxa" w:w="32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Credit note or refund voucher generated; audit trail.</w:t>
            </w:r>
          </w:p>
        </w:tc>
      </w:tr>
    </w:tbl>
    <w:p>
      <w:pPr>
        <w:spacing w:after="120"/>
      </w:pPr>
    </w:p>
    <w:p>
      <w:pPr>
        <w:pBdr>
          <w:left w:val="single" w:sz="18" w:space="8" w:color="1F3864"/>
        </w:pBdr>
        <w:shd w:val="clear" w:color="auto" w:fill="EEF3F8"/>
        <w:spacing w:before="60" w:after="120" w:line="276"/>
        <w:ind w:left="170" w:right="113"/>
      </w:pPr>
      <w:r>
        <w:rPr>
          <w:rFonts w:ascii="Calibri" w:cs="Calibri" w:eastAsia="Calibri" w:hAnsi="Calibri"/>
          <w:b/>
          <w:bCs/>
        </w:rPr>
        <w:t xml:space="preserve">As built (October 2026) — built: The Accountant registers sponsors (including HESLB) and sponsorships per student and year (a percentage of all fees or chosen items, an optional cap and the sponsor's reference), or imports the sponsor's CSV list. One sponsor invoice carries a line per student, never more than the student owes. As the sponsor pays (GePG or a bank remittance recorded by the bursary) each share moves onto the student's invoice; until then the share invoiced to the sponsor counts towards the student's clearance. Waivers and refunds are requested with evidence; the Bursar approves, and above the threshold (default TZS 500,000) the Principal approves as well; nobody approves their own request or both levels. A waiver is posted as a credit note; a refund uses the student's credit and gets a refund voucher, marked paid when paid out. A Sponsor Officer sees only their sponsor. The HESLB exchange sends registration data, turns HESLB's beneficiaries into capped sponsorships and records disbursements on the HESLB invoice (simulated until HESLB grants access).</w:t>
      </w:r>
    </w:p>
    <w:p>
      <w:pPr>
        <w:pStyle w:val="Heading1"/>
        <w:pageBreakBefore/>
      </w:pPr>
      <w:bookmarkStart w:id="16" w:name="_TocV11_16"/>
      <w:r>
        <w:rPr>
          <w:rFonts w:ascii="Calibri" w:cs="Calibri" w:eastAsia="Calibri" w:hAnsi="Calibri"/>
        </w:rPr>
        <w:t xml:space="preserve">5. Teaching and Assessment Processes</w:t>
      </w:r>
      <w:bookmarkEnd w:id="16"/>
    </w:p>
    <w:p>
      <w:pPr>
        <w:spacing w:after="300"/>
      </w:pPr>
      <w:r>
        <w:rPr>
          <w:i/>
          <w:rFonts w:ascii="Calibri" w:cs="Calibri" w:eastAsia="Calibri" w:hAnsi="Calibri"/>
          <w:color w:val="595959"/>
          <w:sz w:val="22"/>
          <w:szCs w:val="22"/>
        </w:rPr>
        <w:t xml:space="preserve">These processes cover the academic core: allocating teaching, recording attendance, assessing students and approving results under the examination regulations.</w:t>
      </w:r>
    </w:p>
    <w:p>
      <w:pPr>
        <w:pStyle w:val="Heading2"/>
      </w:pPr>
      <w:bookmarkStart w:id="17" w:name="_TocV11_17"/>
      <w:r>
        <w:rPr>
          <w:rFonts w:ascii="Calibri" w:cs="Calibri" w:eastAsia="Calibri" w:hAnsi="Calibri"/>
        </w:rPr>
        <w:t xml:space="preserve">BP-07 Module Allocation and Attendance</w:t>
      </w:r>
      <w:bookmarkEnd w:id="17"/>
    </w:p>
    <w:p>
      <w:pPr>
        <w:spacing w:after="300"/>
      </w:pPr>
      <w:r>
        <w:rPr>
          <w:i/>
          <w:rFonts w:ascii="Calibri" w:cs="Calibri" w:eastAsia="Calibri" w:hAnsi="Calibri"/>
          <w:color w:val="595959"/>
          <w:sz w:val="22"/>
          <w:szCs w:val="22"/>
        </w:rPr>
        <w:t xml:space="preserve">This process describes how teaching is allocated to lecturers and how attendance is recorded, since attendance decides who may sit examinations. The table sets out its purpose, what starts it, who takes part, the steps and the controls the system applies.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5"/>
        <w:gridCol w:w="7041"/>
      </w:tblGrid>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Purpose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Assign teaching and track attendance for examination eligibility.</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Trigger</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Semester planning.</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Actors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Head of Department, Lecturer, Examinations Officer.</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Inputs → Outputs</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Curriculum and registrations → module offerings, class lists, attendance records.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Requirements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FR-TCH-01 to FR-TCH-04.</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1"/>
        <w:gridCol w:w="1624"/>
        <w:gridCol w:w="3610"/>
        <w:gridCol w:w="3251"/>
      </w:tblGrid>
      <w:tr>
        <w:trPr>
          <w:tblHeader/>
        </w:trPr>
        <w:tc>
          <w:tcPr>
            <w:tcW w:type="dxa" w:w="54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Actor</w:t>
            </w:r>
          </w:p>
        </w:tc>
        <w:tc>
          <w:tcPr>
            <w:tcW w:type="dxa" w:w="361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Activity</w:t>
            </w:r>
          </w:p>
        </w:tc>
        <w:tc>
          <w:tcPr>
            <w:tcW w:type="dxa" w:w="325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System support / control</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Head of Department</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Creates module offerings and allocates lecturers/assessors.</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Offerings generated from curriculum; workload view per lecturer.</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Lecturer</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Views class list and records attendance per session.</w:t>
            </w:r>
          </w:p>
        </w:tc>
        <w:tc>
          <w:tcPr>
            <w:tcW w:type="dxa" w:w="32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Web or tablet; offline-tolerant entry.</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System</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Computes attendance percentage.</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Students below threshold flagged to HoD and student.</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4</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Examinations Officer</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Uses attendance in examination eligibility.</w:t>
            </w:r>
          </w:p>
        </w:tc>
        <w:tc>
          <w:tcPr>
            <w:tcW w:type="dxa" w:w="32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Exemptions require reason and approval.</w:t>
            </w:r>
          </w:p>
        </w:tc>
      </w:tr>
    </w:tbl>
    <w:p>
      <w:pPr>
        <w:spacing w:after="120"/>
      </w:pPr>
    </w:p>
    <w:p>
      <w:pPr>
        <w:spacing w:after="60" w:before="120"/>
        <w:jc w:val="center"/>
      </w:pPr>
      <w:r>
        <w:drawing>
          <wp:inline distT="0" distB="0" distL="0" distR="0">
            <wp:extent cx="4953000" cy="1323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953000" cy="1323975"/>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Figure 3: NTA results approval workflow (BP-08)</w:t>
      </w:r>
    </w:p>
    <w:p>
      <w:pPr>
        <w:pBdr>
          <w:left w:val="single" w:sz="18" w:space="8" w:color="1F3864"/>
        </w:pBdr>
        <w:shd w:val="clear" w:color="auto" w:fill="EEF3F8"/>
        <w:spacing w:before="60" w:after="120" w:line="276"/>
        <w:ind w:left="170" w:right="113"/>
      </w:pPr>
      <w:r>
        <w:rPr>
          <w:rFonts w:ascii="Calibri" w:cs="Calibri" w:eastAsia="Calibri" w:hAnsi="Calibri"/>
          <w:b/>
          <w:bCs/>
        </w:rPr>
        <w:t xml:space="preserve">As built (October 2026) — built:</w:t>
      </w:r>
      <w:r>
        <w:rPr>
          <w:rFonts w:ascii="Calibri" w:cs="Calibri" w:eastAsia="Calibri" w:hAnsi="Calibri"/>
        </w:rPr>
        <w:t xml:space="preserve"> Module offerings are set up from approved semester registrations and lecturers are allocated by the Head of Department or the examinations office. Lecturers work from My teaching: class lists, a one-tap register that keeps working offline, or self check-in with a rotating QR code. Percentages are computed per student; a student below the threshold gets an SMS and is listed for the lecturer and Head of Department. Exemptions are asked for with a reason and decided by someone else in academic management.</w:t>
      </w:r>
    </w:p>
    <w:p>
      <w:pPr>
        <w:pStyle w:val="Heading2"/>
      </w:pPr>
      <w:bookmarkStart w:id="18" w:name="_TocV11_18"/>
      <w:r>
        <w:rPr>
          <w:rFonts w:ascii="Calibri" w:cs="Calibri" w:eastAsia="Calibri" w:hAnsi="Calibri"/>
        </w:rPr>
        <w:t xml:space="preserve">BP-08 NTA Assessment and Results Approval</w:t>
      </w:r>
      <w:bookmarkEnd w:id="18"/>
    </w:p>
    <w:p>
      <w:pPr>
        <w:spacing w:after="300"/>
      </w:pPr>
      <w:r>
        <w:rPr>
          <w:i/>
          <w:rFonts w:ascii="Calibri" w:cs="Calibri" w:eastAsia="Calibri" w:hAnsi="Calibri"/>
          <w:color w:val="595959"/>
          <w:sz w:val="22"/>
          <w:szCs w:val="22"/>
        </w:rPr>
        <w:t xml:space="preserve">This process describes how continuous assessment and examination marks for NTA programmes are entered, checked, approved by the boards and published. The table sets out its purpose, what starts it, who takes part, the steps and the controls the system applies.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5"/>
        <w:gridCol w:w="7041"/>
      </w:tblGrid>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Purpose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Produce accurate, approved and traceable NTA results.</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Trigger</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Assessment plan approved; marks windows open per calendar.</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Actors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Lecturer, Head of Department, Department Board, Examinations Officer, Academic Committee, Governing Board.</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Inputs → Outputs</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Assessment marks → approved results, GPA, progression decisions, published results, NACTVET results file.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Requirements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FR-EXM-01 to FR-EXM-07, FR-EXM-10, FR-EXM-11.</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1"/>
        <w:gridCol w:w="1624"/>
        <w:gridCol w:w="3610"/>
        <w:gridCol w:w="3251"/>
      </w:tblGrid>
      <w:tr>
        <w:trPr>
          <w:tblHeader/>
        </w:trPr>
        <w:tc>
          <w:tcPr>
            <w:tcW w:type="dxa" w:w="54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Actor</w:t>
            </w:r>
          </w:p>
        </w:tc>
        <w:tc>
          <w:tcPr>
            <w:tcW w:type="dxa" w:w="361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Activity</w:t>
            </w:r>
          </w:p>
        </w:tc>
        <w:tc>
          <w:tcPr>
            <w:tcW w:type="dxa" w:w="325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System support / control</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Lecturer</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Defines/confirms assessment plan and enters CA marks during the semester.</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Component weights validated against curriculum.</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Examinations Officer</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Generates examination eligibility lists and opens SE marks window.</w:t>
            </w:r>
          </w:p>
        </w:tc>
        <w:tc>
          <w:tcPr>
            <w:tcW w:type="dxa" w:w="32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Attendance, CA and financial clearance combined.</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Lecturer</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Enters SE marks and submits.</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Screen or Excel upload; range checks; submission locks lecturer editing.</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4</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Head of Department</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Reviews and moderates; returns with comments if needed.</w:t>
            </w:r>
          </w:p>
        </w:tc>
        <w:tc>
          <w:tcPr>
            <w:tcW w:type="dxa" w:w="32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Grade distribution and anomaly flags.</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5</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Department Board</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Approves department results.</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Decision recorded by Board Secretary.</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6</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Examinations Officer</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Runs GPA and progression computation.</w:t>
            </w:r>
          </w:p>
        </w:tc>
        <w:tc>
          <w:tcPr>
            <w:tcW w:type="dxa" w:w="32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Regulations applied; proposed decisions per student.</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7</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Academic Committee</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Reviews and recommends results and decisions.</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Committee report generated.</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8</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Governing Board</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Confirms results.</w:t>
            </w:r>
          </w:p>
        </w:tc>
        <w:tc>
          <w:tcPr>
            <w:tcW w:type="dxa" w:w="32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Results locked; amendments only through authorised workflow.</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9</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Examinations Officer</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Publishes results and submits to NACTVET.</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SMS + portal; NACTVET file generated; submission recorded.</w:t>
            </w:r>
          </w:p>
        </w:tc>
      </w:tr>
    </w:tbl>
    <w:p>
      <w:pPr>
        <w:spacing w:after="120"/>
      </w:pPr>
    </w:p>
    <w:p>
      <w:pPr>
        <w:pStyle w:val="Heading3"/>
      </w:pPr>
      <w:r>
        <w:rPr>
          <w:rFonts w:ascii="Calibri" w:cs="Calibri" w:eastAsia="Calibri" w:hAnsi="Calibri"/>
        </w:rPr>
        <w:t xml:space="preserve">Exceptions</w:t>
      </w:r>
    </w:p>
    <w:p>
      <w:pPr>
        <w:spacing w:after="300"/>
      </w:pPr>
      <w:r>
        <w:rPr>
          <w:i/>
          <w:rFonts w:ascii="Calibri" w:cs="Calibri" w:eastAsia="Calibri" w:hAnsi="Calibri"/>
          <w:color w:val="595959"/>
          <w:sz w:val="22"/>
          <w:szCs w:val="22"/>
        </w:rPr>
        <w:t xml:space="preserve">Exceptions are the situations that do not follow the normal steps above, and how each is handled so that no case is left without an owner.</w:t>
      </w:r>
    </w:p>
    <w:p>
      <w:pPr>
        <w:pStyle w:val="ListParagraph"/>
        <w:numPr>
          <w:ilvl w:val="0"/>
          <w:numId w:val="2"/>
        </w:numPr>
        <w:spacing w:after="60" w:line="264"/>
      </w:pPr>
      <w:r>
        <w:rPr>
          <w:rFonts w:ascii="Calibri" w:cs="Calibri" w:eastAsia="Calibri" w:hAnsi="Calibri"/>
        </w:rPr>
        <w:t xml:space="preserve">Missing marks: student marked incomplete with reason (e.g. absent with permission → special exam).</w:t>
      </w:r>
    </w:p>
    <w:p>
      <w:pPr>
        <w:pStyle w:val="ListParagraph"/>
        <w:numPr>
          <w:ilvl w:val="0"/>
          <w:numId w:val="2"/>
        </w:numPr>
        <w:spacing w:after="60" w:line="264"/>
      </w:pPr>
      <w:r>
        <w:rPr>
          <w:rFonts w:ascii="Calibri" w:cs="Calibri" w:eastAsia="Calibri" w:hAnsi="Calibri"/>
        </w:rPr>
        <w:t xml:space="preserve">Post-approval error: amendment request with justification, re-approval and full audit.</w:t>
      </w:r>
    </w:p>
    <w:p>
      <w:pPr>
        <w:pStyle w:val="Heading3"/>
      </w:pPr>
      <w:r>
        <w:rPr>
          <w:rFonts w:ascii="Calibri" w:cs="Calibri" w:eastAsia="Calibri" w:hAnsi="Calibri"/>
        </w:rPr>
        <w:t xml:space="preserve">Service level / KPI</w:t>
      </w:r>
    </w:p>
    <w:p>
      <w:pPr>
        <w:spacing w:after="300"/>
      </w:pPr>
      <w:r>
        <w:rPr>
          <w:i/>
          <w:rFonts w:ascii="Calibri" w:cs="Calibri" w:eastAsia="Calibri" w:hAnsi="Calibri"/>
          <w:color w:val="595959"/>
          <w:sz w:val="22"/>
          <w:szCs w:val="22"/>
        </w:rPr>
        <w:t xml:space="preserve">The service level states how quickly and how well results processing must be carried out, and the As built note describes how CIMS performs it today.</w:t>
      </w:r>
    </w:p>
    <w:p>
      <w:pPr>
        <w:pStyle w:val="ListParagraph"/>
        <w:numPr>
          <w:ilvl w:val="0"/>
          <w:numId w:val="2"/>
        </w:numPr>
        <w:spacing w:after="60" w:line="264"/>
      </w:pPr>
      <w:r>
        <w:rPr>
          <w:rFonts w:ascii="Calibri" w:cs="Calibri" w:eastAsia="Calibri" w:hAnsi="Calibri"/>
        </w:rPr>
        <w:t xml:space="preserve">Provisional results within the period set by regulations (e.g. 3 weeks after examinations).</w:t>
      </w:r>
    </w:p>
    <w:p>
      <w:pPr>
        <w:pBdr>
          <w:left w:val="single" w:sz="18" w:space="8" w:color="1F3864"/>
        </w:pBdr>
        <w:shd w:val="clear" w:color="auto" w:fill="EEF3F8"/>
        <w:spacing w:before="60" w:after="120" w:line="276"/>
        <w:ind w:left="170" w:right="113"/>
      </w:pPr>
      <w:r>
        <w:rPr>
          <w:rFonts w:ascii="Calibri" w:cs="Calibri" w:eastAsia="Calibri" w:hAnsi="Calibri"/>
          <w:b/>
          <w:bCs/>
        </w:rPr>
        <w:t xml:space="preserve">As built (October 2026) — built: Lecturers set the assessment plan (weights checked against the regulations) and enter marks on screen or by Excel during the marks entry dates set by the Examinations Officer (per assessment item where coursework and examination open at different times), who also generates eligibility lists. Submission locks the lecturer's editing. The Head of Department moderates with grade distribution and anomaly flags, or returns with comments; the Department Board stage is optional per institution, and an institution can add its own approval stages for module results and result sheets (up to six), each able to return with comments. The Examinations Officer computes the class result sheet (GPA, CGPA, proposed decisions, classification); the Deputy Principal records Academic Committee changes with reasons and recommends; an administrator other than the recommender records Governing Board confirmation, after which the database refuses changes. The Examinations Officer publishes (SMS; withheld without results clearance) and produces the NACTVET results file, recording NACTVET's response. Later corrections are amendments approved by an administrator.</w:t>
      </w:r>
    </w:p>
    <w:p>
      <w:pPr>
        <w:pStyle w:val="Heading2"/>
      </w:pPr>
      <w:bookmarkStart w:id="19" w:name="_TocV11_19"/>
      <w:r>
        <w:rPr>
          <w:rFonts w:ascii="Calibri" w:cs="Calibri" w:eastAsia="Calibri" w:hAnsi="Calibri"/>
        </w:rPr>
        <w:t xml:space="preserve">BP-09 NVA Competence Assessment</w:t>
      </w:r>
      <w:bookmarkEnd w:id="19"/>
    </w:p>
    <w:p>
      <w:pPr>
        <w:spacing w:after="300"/>
      </w:pPr>
      <w:r>
        <w:rPr>
          <w:i/>
          <w:rFonts w:ascii="Calibri" w:cs="Calibri" w:eastAsia="Calibri" w:hAnsi="Calibri"/>
          <w:color w:val="595959"/>
          <w:sz w:val="22"/>
          <w:szCs w:val="22"/>
        </w:rPr>
        <w:t xml:space="preserve">This process describes how competence-based assessment is recorded for NVA (vocational) programmes. The table sets out its purpose, what starts it, who takes part, the steps and the controls the system applies.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5"/>
        <w:gridCol w:w="7041"/>
      </w:tblGrid>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Purpose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Record competence-based assessment for NVA programmes.</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Trigger</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Unit or module assessment scheduled; trade test period.</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Actors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Assessor, Head of Department, Examinations Officer.</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Inputs → Outputs</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Assessment tasks and evidence → unit outcomes (competent / not yet competent) and award eligibility.</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Requirements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FR-EXM-09.</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1"/>
        <w:gridCol w:w="1624"/>
        <w:gridCol w:w="3610"/>
        <w:gridCol w:w="3251"/>
      </w:tblGrid>
      <w:tr>
        <w:trPr>
          <w:tblHeader/>
        </w:trPr>
        <w:tc>
          <w:tcPr>
            <w:tcW w:type="dxa" w:w="54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Actor</w:t>
            </w:r>
          </w:p>
        </w:tc>
        <w:tc>
          <w:tcPr>
            <w:tcW w:type="dxa" w:w="361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Activity</w:t>
            </w:r>
          </w:p>
        </w:tc>
        <w:tc>
          <w:tcPr>
            <w:tcW w:type="dxa" w:w="325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System support / control</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Head of Department</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Sets units, tasks and evidence requirements from the curriculum.</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Unit structure from academic module.</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Assessor</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Assesses trainees on practical and theory tasks; records outcome and evidence reference.</w:t>
            </w:r>
          </w:p>
        </w:tc>
        <w:tc>
          <w:tcPr>
            <w:tcW w:type="dxa" w:w="32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Tablet-friendly entry; date and assessor captured.</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Head of Department</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Verifies outcomes.</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Approval workflow as configured.</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4</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Examinations Officer</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Confirms award eligibility and submits to NACTVET.</w:t>
            </w:r>
          </w:p>
        </w:tc>
        <w:tc>
          <w:tcPr>
            <w:tcW w:type="dxa" w:w="32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Re-assessment scheduled for not-yet-competent units.</w:t>
            </w:r>
          </w:p>
        </w:tc>
      </w:tr>
    </w:tbl>
    <w:p>
      <w:pPr>
        <w:spacing w:after="120"/>
      </w:pPr>
    </w:p>
    <w:p>
      <w:pPr>
        <w:pBdr>
          <w:left w:val="single" w:sz="18" w:space="8" w:color="1F3864"/>
        </w:pBdr>
        <w:shd w:val="clear" w:color="auto" w:fill="EEF3F8"/>
        <w:spacing w:before="60" w:after="120" w:line="276"/>
        <w:ind w:left="170" w:right="113"/>
      </w:pPr>
      <w:r>
        <w:rPr>
          <w:rFonts w:ascii="Calibri" w:cs="Calibri" w:eastAsia="Calibri" w:hAnsi="Calibri"/>
          <w:b/>
          <w:bCs/>
        </w:rPr>
        <w:t xml:space="preserve">As built (October 2026) — built:</w:t>
      </w:r>
      <w:r>
        <w:rPr>
          <w:rFonts w:ascii="Calibri" w:cs="Calibri" w:eastAsia="Calibri" w:hAnsi="Calibri"/>
        </w:rPr>
        <w:t xml:space="preserve"> The Examinations Officer sets up competence units for a semester from modules marked as competence-based (each starts with a practical and a theory task), edits the tasks and evidence required, and allocates assessors. Assessors record competent or not yet competent per task with evidence; re-assessment attempts are allowed up to the maximum in the regulations (default 3). The assessor submits; the Head of Department verifies (attempts lock, SMS to trainees not yet competent) or returns with a comment; the examinations office can reopen. Award eligibility per class is confirmed and exported to Excel for NACTVET. Difference: units are set up by the examinations office rather than the Head of Department.</w:t>
      </w:r>
    </w:p>
    <w:p>
      <w:pPr>
        <w:pStyle w:val="Heading2"/>
      </w:pPr>
      <w:bookmarkStart w:id="20" w:name="_TocV11_20"/>
      <w:r>
        <w:rPr>
          <w:rFonts w:ascii="Calibri" w:cs="Calibri" w:eastAsia="Calibri" w:hAnsi="Calibri"/>
        </w:rPr>
        <w:t xml:space="preserve">BP-10 Supplementary, Special and Carry-over Examinations</w:t>
      </w:r>
      <w:bookmarkEnd w:id="20"/>
    </w:p>
    <w:p>
      <w:pPr>
        <w:spacing w:after="300"/>
      </w:pPr>
      <w:r>
        <w:rPr>
          <w:i/>
          <w:rFonts w:ascii="Calibri" w:cs="Calibri" w:eastAsia="Calibri" w:hAnsi="Calibri"/>
          <w:color w:val="595959"/>
          <w:sz w:val="22"/>
          <w:szCs w:val="22"/>
        </w:rPr>
        <w:t xml:space="preserve">This process describes how students who are entitled to a further attempt sit supplementary, special or carry-over examinations, and how their results are recorded. The table sets out its purpose, what starts it, who takes part, the steps and the controls the system applies.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5"/>
        <w:gridCol w:w="7041"/>
      </w:tblGrid>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Purpose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Give eligible students further assessment opportunities under the regulations.</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Trigger</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Publication of results with supplementary, special or carry-over decisions.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Actors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Student, Examinations Officer, Lecturer, Accountant.</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Inputs → Outputs</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Progression decisions → registrations, marks and updated results.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Requirements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FR-EXM-08.</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1"/>
        <w:gridCol w:w="1624"/>
        <w:gridCol w:w="3610"/>
        <w:gridCol w:w="3251"/>
      </w:tblGrid>
      <w:tr>
        <w:trPr>
          <w:tblHeader/>
        </w:trPr>
        <w:tc>
          <w:tcPr>
            <w:tcW w:type="dxa" w:w="54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Actor</w:t>
            </w:r>
          </w:p>
        </w:tc>
        <w:tc>
          <w:tcPr>
            <w:tcW w:type="dxa" w:w="361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Activity</w:t>
            </w:r>
          </w:p>
        </w:tc>
        <w:tc>
          <w:tcPr>
            <w:tcW w:type="dxa" w:w="325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System support / control</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Registers for supplementary/special examination and pays fee if applicable.</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Only eligible modules listed; invoice generated.</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Examinations Officer</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Schedules examinations and opens marks window.</w:t>
            </w:r>
          </w:p>
        </w:tc>
        <w:tc>
          <w:tcPr>
            <w:tcW w:type="dxa" w:w="32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Eligibility and payment checked.</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Lecturer</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Enters marks.</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Capping rules applied automatically (e.g. maximum C).</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4</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Approving bodies</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Approve as in BP-08.</w:t>
            </w:r>
          </w:p>
        </w:tc>
        <w:tc>
          <w:tcPr>
            <w:tcW w:type="dxa" w:w="32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Final status (pass, carry-over, repeat, discontinue) set.</w:t>
            </w:r>
          </w:p>
        </w:tc>
      </w:tr>
    </w:tbl>
    <w:p>
      <w:pPr>
        <w:spacing w:after="120"/>
      </w:pPr>
    </w:p>
    <w:p>
      <w:pPr>
        <w:pBdr>
          <w:left w:val="single" w:sz="18" w:space="8" w:color="1F3864"/>
        </w:pBdr>
        <w:shd w:val="clear" w:color="auto" w:fill="EEF3F8"/>
        <w:spacing w:before="60" w:after="120" w:line="276"/>
        <w:ind w:left="170" w:right="113"/>
      </w:pPr>
      <w:r>
        <w:rPr>
          <w:rFonts w:ascii="Calibri" w:cs="Calibri" w:eastAsia="Calibri" w:hAnsi="Calibri"/>
          <w:b/>
          <w:bCs/>
        </w:rPr>
        <w:t xml:space="preserve">As built (October 2026) — built:</w:t>
      </w:r>
      <w:r>
        <w:rPr>
          <w:rFonts w:ascii="Calibri" w:cs="Calibri" w:eastAsia="Calibri" w:hAnsi="Calibri"/>
        </w:rPr>
        <w:t xml:space="preserve"> The Examinations Officer opens a resit session per semester (fee per module, registration deadline, exam period). Students with a published supplementary or special-exam decision register in the portal for their failed or missed modules and pay by GePG. Lecturers enter resit marks only for students who have paid; supplementary grades are capped, special exams are not. The Head of Department approves; a resit result sheet goes through committee, board and publication; a module still failed becomes carry over. Confirmed resit results replace first attempts in the CGPA.</w:t>
      </w:r>
    </w:p>
    <w:p>
      <w:pPr>
        <w:pStyle w:val="Heading2"/>
      </w:pPr>
      <w:bookmarkStart w:id="21" w:name="_TocV11_21"/>
      <w:r>
        <w:rPr>
          <w:rFonts w:ascii="Calibri" w:cs="Calibri" w:eastAsia="Calibri" w:hAnsi="Calibri"/>
        </w:rPr>
        <w:t xml:space="preserve">BP-11 Remarking and Appeals</w:t>
      </w:r>
      <w:bookmarkEnd w:id="21"/>
    </w:p>
    <w:p>
      <w:pPr>
        <w:spacing w:after="300"/>
      </w:pPr>
      <w:r>
        <w:rPr>
          <w:i/>
          <w:rFonts w:ascii="Calibri" w:cs="Calibri" w:eastAsia="Calibri" w:hAnsi="Calibri"/>
          <w:color w:val="595959"/>
          <w:sz w:val="22"/>
          <w:szCs w:val="22"/>
        </w:rPr>
        <w:t xml:space="preserve">This process describes how a student may challenge a result through remarking or appeal, and how the case is decided fairly and recorded. The table sets out its purpose, what starts it, who takes part, the steps and the controls the system applies.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5"/>
        <w:gridCol w:w="7041"/>
      </w:tblGrid>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Purpose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Handle disputes over results fairly and transparently.</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Trigger</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Student applies within the appeal period after publication.</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Actors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Student, Examinations Officer, Head of Department, internal examiner.</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Inputs → Outputs</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Appeal → decision, possible amended result.</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Requirements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FR-EXM-12.</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1"/>
        <w:gridCol w:w="1624"/>
        <w:gridCol w:w="3610"/>
        <w:gridCol w:w="3251"/>
      </w:tblGrid>
      <w:tr>
        <w:trPr>
          <w:tblHeader/>
        </w:trPr>
        <w:tc>
          <w:tcPr>
            <w:tcW w:type="dxa" w:w="54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Actor</w:t>
            </w:r>
          </w:p>
        </w:tc>
        <w:tc>
          <w:tcPr>
            <w:tcW w:type="dxa" w:w="361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Activity</w:t>
            </w:r>
          </w:p>
        </w:tc>
        <w:tc>
          <w:tcPr>
            <w:tcW w:type="dxa" w:w="325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System support / control</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Submits remark/appeal request and pays fee.</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Period and eligible modules enforced.</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Examinations Officer</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Assigns examiner.</w:t>
            </w:r>
          </w:p>
        </w:tc>
        <w:tc>
          <w:tcPr>
            <w:tcW w:type="dxa" w:w="32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Conflict of interest check (not the original lecturer).</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Examiner / HoD</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Records outcome.</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Original and new marks kept.</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4</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Academic Committee</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Approves amendment if any.</w:t>
            </w:r>
          </w:p>
        </w:tc>
        <w:tc>
          <w:tcPr>
            <w:tcW w:type="dxa" w:w="32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Result amended with audit; student notified.</w:t>
            </w:r>
          </w:p>
        </w:tc>
      </w:tr>
    </w:tbl>
    <w:p>
      <w:pPr>
        <w:spacing w:after="120"/>
      </w:pPr>
    </w:p>
    <w:p>
      <w:pPr>
        <w:pBdr>
          <w:left w:val="single" w:sz="18" w:space="8" w:color="1F3864"/>
        </w:pBdr>
        <w:shd w:val="clear" w:color="auto" w:fill="EEF3F8"/>
        <w:spacing w:before="60" w:after="120" w:line="276"/>
        <w:ind w:left="170" w:right="113"/>
      </w:pPr>
      <w:r>
        <w:rPr>
          <w:rFonts w:ascii="Calibri" w:cs="Calibri" w:eastAsia="Calibri" w:hAnsi="Calibri"/>
          <w:b/>
          <w:bCs/>
        </w:rPr>
        <w:t xml:space="preserve">As built (October 2026) — built:</w:t>
      </w:r>
      <w:r>
        <w:rPr>
          <w:rFonts w:ascii="Calibri" w:cs="Calibri" w:eastAsia="Calibri" w:hAnsi="Calibri"/>
        </w:rPr>
        <w:t xml:space="preserve"> Within the appeal period (default 14 days after publication) the student asks in the portal for a remark or appeal and pays the fee by GePG. The Examinations Officer assigns an examiner who did not teach the module (otherwise refused) or declines with a reason. The examiner records new marks with a comment; original marks are kept. An unchanged outcome closes with an SMS; a changed one becomes an amendment approved by an administrator (rather than the Academic Committee), which re-grades and recomputes the student's results.</w:t>
      </w:r>
    </w:p>
    <w:p>
      <w:pPr>
        <w:pStyle w:val="Heading1"/>
      </w:pPr>
      <w:bookmarkStart w:id="22" w:name="_TocV11_22"/>
      <w:r>
        <w:rPr>
          <w:rFonts w:ascii="Calibri" w:cs="Calibri" w:eastAsia="Calibri" w:hAnsi="Calibri"/>
        </w:rPr>
        <w:t xml:space="preserve">6. Campus Service Processes</w:t>
      </w:r>
      <w:bookmarkEnd w:id="22"/>
    </w:p>
    <w:p>
      <w:pPr>
        <w:spacing w:after="300"/>
      </w:pPr>
      <w:r>
        <w:rPr>
          <w:i/>
          <w:rFonts w:ascii="Calibri" w:cs="Calibri" w:eastAsia="Calibri" w:hAnsi="Calibri"/>
          <w:color w:val="595959"/>
          <w:sz w:val="22"/>
          <w:szCs w:val="22"/>
        </w:rPr>
        <w:t xml:space="preserve">These processes cover services outside the classroom: student accommodation and industrial practical training.</w:t>
      </w:r>
    </w:p>
    <w:p>
      <w:pPr>
        <w:pStyle w:val="Heading2"/>
      </w:pPr>
      <w:bookmarkStart w:id="23" w:name="_TocV11_23"/>
      <w:r>
        <w:rPr>
          <w:rFonts w:ascii="Calibri" w:cs="Calibri" w:eastAsia="Calibri" w:hAnsi="Calibri"/>
        </w:rPr>
        <w:t xml:space="preserve">BP-12 Hostel Application and Allocation</w:t>
      </w:r>
      <w:bookmarkEnd w:id="23"/>
    </w:p>
    <w:p>
      <w:pPr>
        <w:spacing w:after="300"/>
      </w:pPr>
      <w:r>
        <w:rPr>
          <w:i/>
          <w:rFonts w:ascii="Calibri" w:cs="Calibri" w:eastAsia="Calibri" w:hAnsi="Calibri"/>
          <w:color w:val="595959"/>
          <w:sz w:val="22"/>
          <w:szCs w:val="22"/>
        </w:rPr>
        <w:t xml:space="preserve">This process describes how students apply for hostel places and how beds are allocated fairly and paid for. The table sets out its purpose, what starts it, who takes part, the steps and the controls the system applies.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5"/>
        <w:gridCol w:w="7041"/>
      </w:tblGrid>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Purpose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Allocate beds fairly and ensure occupancy is paid for.</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Trigger</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Hostel application window opens.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Actors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Student, Hostel Warden, Dean of Students, Accountant.</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Inputs → Outputs</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Applications and bed inventory → allocations, hostel invoices, occupancy.</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Requirements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FR-HST-01 to FR-HST-06.</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1"/>
        <w:gridCol w:w="1624"/>
        <w:gridCol w:w="3610"/>
        <w:gridCol w:w="3251"/>
      </w:tblGrid>
      <w:tr>
        <w:trPr>
          <w:tblHeader/>
        </w:trPr>
        <w:tc>
          <w:tcPr>
            <w:tcW w:type="dxa" w:w="54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Actor</w:t>
            </w:r>
          </w:p>
        </w:tc>
        <w:tc>
          <w:tcPr>
            <w:tcW w:type="dxa" w:w="361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Activity</w:t>
            </w:r>
          </w:p>
        </w:tc>
        <w:tc>
          <w:tcPr>
            <w:tcW w:type="dxa" w:w="325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System support / control</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Hostel Warden</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Updates bed inventory and opens the window.</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Gender designation and status per bed.</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Applies with preferences.</w:t>
            </w:r>
          </w:p>
        </w:tc>
        <w:tc>
          <w:tcPr>
            <w:tcW w:type="dxa" w:w="32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Only registered students can apply.</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System / Warden</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Allocates beds by priority rules.</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One active allocation per bed enforced by the database.</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4</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System</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Invoices hostel fee; releases allocation if unpaid after configured days.</w:t>
            </w:r>
          </w:p>
        </w:tc>
        <w:tc>
          <w:tcPr>
            <w:tcW w:type="dxa" w:w="32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Released beds return to pool; waiting list offered.</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5</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Hostel Warden</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Checks students in and out.</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Inventory condition, damages and charges recorded.</w:t>
            </w:r>
          </w:p>
        </w:tc>
      </w:tr>
    </w:tbl>
    <w:p>
      <w:pPr>
        <w:spacing w:after="120"/>
      </w:pPr>
    </w:p>
    <w:p>
      <w:pPr>
        <w:pStyle w:val="Heading3"/>
      </w:pPr>
      <w:r>
        <w:rPr>
          <w:rFonts w:ascii="Calibri" w:cs="Calibri" w:eastAsia="Calibri" w:hAnsi="Calibri"/>
        </w:rPr>
        <w:t xml:space="preserve">Service level / KPI</w:t>
      </w:r>
    </w:p>
    <w:p>
      <w:pPr>
        <w:spacing w:after="300"/>
      </w:pPr>
      <w:r>
        <w:rPr>
          <w:i/>
          <w:rFonts w:ascii="Calibri" w:cs="Calibri" w:eastAsia="Calibri" w:hAnsi="Calibri"/>
          <w:color w:val="595959"/>
          <w:sz w:val="22"/>
          <w:szCs w:val="22"/>
        </w:rPr>
        <w:t xml:space="preserve">The service level states how quickly and how well hostel allocation must be carried out, and the As built note describes how CIMS performs it today.</w:t>
      </w:r>
    </w:p>
    <w:p>
      <w:pPr>
        <w:pStyle w:val="ListParagraph"/>
        <w:numPr>
          <w:ilvl w:val="0"/>
          <w:numId w:val="2"/>
        </w:numPr>
        <w:spacing w:after="60" w:line="264"/>
      </w:pPr>
      <w:r>
        <w:rPr>
          <w:rFonts w:ascii="Calibri" w:cs="Calibri" w:eastAsia="Calibri" w:hAnsi="Calibri"/>
        </w:rPr>
        <w:t xml:space="preserve">No double allocation; occupancy report always current.</w:t>
      </w:r>
    </w:p>
    <w:p>
      <w:pPr>
        <w:pBdr>
          <w:left w:val="single" w:sz="18" w:space="8" w:color="1F3864"/>
        </w:pBdr>
        <w:shd w:val="clear" w:color="auto" w:fill="EEF3F8"/>
        <w:spacing w:before="60" w:after="120" w:line="276"/>
        <w:ind w:left="170" w:right="113"/>
      </w:pPr>
      <w:r>
        <w:rPr>
          <w:rFonts w:ascii="Calibri" w:cs="Calibri" w:eastAsia="Calibri" w:hAnsi="Calibri"/>
          <w:b/>
          <w:bCs/>
        </w:rPr>
        <w:t xml:space="preserve">As built (October 2026) — built:</w:t>
      </w:r>
      <w:r>
        <w:rPr>
          <w:rFonts w:ascii="Calibri" w:cs="Calibri" w:eastAsia="Calibri" w:hAnsi="Calibri"/>
        </w:rPr>
        <w:t xml:space="preserve"> The warden keeps the inventory (fee categories, hostels and rooms by gender, beds in or out of service) and opens windows with the payment period and priority rules. Active students apply with up to three hostel choices, a room type and special needs. Allocation, automatic or manual, never goes against gender and puts special needs, first years and fee clearance first; the rest go on a waiting list (SMS). The hostel fee is invoiced with a control number; unpaid allocations are released every morning and offered to the waiting list. Check-in follows payment; check-out records condition and damages, which are invoiced. Wardens assigned to hostels work only on those; repairs are logged by wardens or reported by students.</w:t>
      </w:r>
    </w:p>
    <w:p>
      <w:pPr>
        <w:pStyle w:val="Heading2"/>
      </w:pPr>
      <w:bookmarkStart w:id="24" w:name="_TocV11_24"/>
      <w:r>
        <w:rPr>
          <w:rFonts w:ascii="Calibri" w:cs="Calibri" w:eastAsia="Calibri" w:hAnsi="Calibri"/>
        </w:rPr>
        <w:t xml:space="preserve">BP-13 Industrial Practical Training (IPT)</w:t>
      </w:r>
      <w:bookmarkEnd w:id="24"/>
    </w:p>
    <w:p>
      <w:pPr>
        <w:spacing w:after="300"/>
      </w:pPr>
      <w:r>
        <w:rPr>
          <w:i/>
          <w:rFonts w:ascii="Calibri" w:cs="Calibri" w:eastAsia="Calibri" w:hAnsi="Calibri"/>
          <w:color w:val="595959"/>
          <w:sz w:val="22"/>
          <w:szCs w:val="22"/>
        </w:rPr>
        <w:t xml:space="preserve">This process describes how field attachment in industry is organised, supervised and assessed as part of the programme. The table sets out its purpose, what starts it, who takes part, the steps and the controls the system applies.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5"/>
        <w:gridCol w:w="7041"/>
      </w:tblGrid>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Purpose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Manage field attachment as an assessed part of the programme.</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Trigger</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IPT period in the academic calendar.</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Actors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IPT Coordinator, Student, workplace supervisor, institution supervisor.</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Inputs → Outputs</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Eligible students → placements, logbooks, IPT results.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Requirements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FR-IPT-01 to FR-IPT-03.</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1"/>
        <w:gridCol w:w="1624"/>
        <w:gridCol w:w="3610"/>
        <w:gridCol w:w="3251"/>
      </w:tblGrid>
      <w:tr>
        <w:trPr>
          <w:tblHeader/>
        </w:trPr>
        <w:tc>
          <w:tcPr>
            <w:tcW w:type="dxa" w:w="54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Actor</w:t>
            </w:r>
          </w:p>
        </w:tc>
        <w:tc>
          <w:tcPr>
            <w:tcW w:type="dxa" w:w="361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Activity</w:t>
            </w:r>
          </w:p>
        </w:tc>
        <w:tc>
          <w:tcPr>
            <w:tcW w:type="dxa" w:w="325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System support / control</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IPT Coordinator</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Registers placement organisations and assigns students.</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Placement letters generated.</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Fills electronic logbook.</w:t>
            </w:r>
          </w:p>
        </w:tc>
        <w:tc>
          <w:tcPr>
            <w:tcW w:type="dxa" w:w="32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Weekly entries; supervisor visibility.</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Supervisors</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Assess the student.</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Assessment form; visit records.</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4</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IPT Coordinator</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Submits IPT results to examination.</w:t>
            </w:r>
          </w:p>
        </w:tc>
        <w:tc>
          <w:tcPr>
            <w:tcW w:type="dxa" w:w="32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Results flow into BP-08 approvals.</w:t>
            </w:r>
          </w:p>
        </w:tc>
      </w:tr>
    </w:tbl>
    <w:p>
      <w:pPr>
        <w:spacing w:after="120"/>
      </w:pPr>
    </w:p>
    <w:p>
      <w:pPr>
        <w:pBdr>
          <w:left w:val="single" w:sz="18" w:space="8" w:color="1F3864"/>
        </w:pBdr>
        <w:shd w:val="clear" w:color="auto" w:fill="EEF3F8"/>
        <w:spacing w:before="60" w:after="120" w:line="276"/>
        <w:ind w:left="170" w:right="113"/>
      </w:pPr>
      <w:r>
        <w:rPr>
          <w:rFonts w:ascii="Calibri" w:cs="Calibri" w:eastAsia="Calibri" w:hAnsi="Calibri"/>
          <w:b/>
          <w:bCs/>
        </w:rPr>
        <w:t xml:space="preserve">As built (October 2026) — built: The IPT Coordinator keeps organisations with capacity and IPT periods with mark weights and the logbook weeks needed. Students request a placement on the portal, or the coordinator places them; confirmation with an institution supervisor (within capacity) or decline is sent by SMS, and a numbered placement letter is produced. Students keep a weekly logbook that the supervisor approves or returns; visits and the three marks are recorded and the IPT mark is computed. The coordinator sends IPT marks to the IPT module's results, which then follow BP-08. A coordinator can be limited to a department. The workplace supervisor rates the student through a personal link sent by SMS or email, without an account; the rating becomes the workplace mark.</w:t>
      </w:r>
    </w:p>
    <w:p>
      <w:pPr>
        <w:pStyle w:val="Heading1"/>
      </w:pPr>
      <w:bookmarkStart w:id="25" w:name="_TocV11_25"/>
      <w:r>
        <w:rPr>
          <w:rFonts w:ascii="Calibri" w:cs="Calibri" w:eastAsia="Calibri" w:hAnsi="Calibri"/>
        </w:rPr>
        <w:t xml:space="preserve">7. Completion Processes</w:t>
      </w:r>
      <w:bookmarkEnd w:id="25"/>
    </w:p>
    <w:p>
      <w:pPr>
        <w:spacing w:after="300"/>
      </w:pPr>
      <w:r>
        <w:rPr>
          <w:i/>
          <w:rFonts w:ascii="Calibri" w:cs="Calibri" w:eastAsia="Calibri" w:hAnsi="Calibri"/>
          <w:color w:val="595959"/>
          <w:sz w:val="22"/>
          <w:szCs w:val="22"/>
        </w:rPr>
        <w:t xml:space="preserve">Completion processes cover the end of a student's studies: clearance, graduation, awards and later verification of the documents issued.</w:t>
      </w:r>
    </w:p>
    <w:p>
      <w:pPr>
        <w:pStyle w:val="Heading2"/>
      </w:pPr>
      <w:bookmarkStart w:id="26" w:name="_TocV11_26"/>
      <w:r>
        <w:rPr>
          <w:rFonts w:ascii="Calibri" w:cs="Calibri" w:eastAsia="Calibri" w:hAnsi="Calibri"/>
        </w:rPr>
        <w:t xml:space="preserve">BP-15 Clearance and Graduation</w:t>
      </w:r>
      <w:bookmarkEnd w:id="26"/>
    </w:p>
    <w:p>
      <w:pPr>
        <w:spacing w:after="300"/>
      </w:pPr>
      <w:r>
        <w:rPr>
          <w:i/>
          <w:rFonts w:ascii="Calibri" w:cs="Calibri" w:eastAsia="Calibri" w:hAnsi="Calibri"/>
          <w:color w:val="595959"/>
          <w:sz w:val="22"/>
          <w:szCs w:val="22"/>
        </w:rPr>
        <w:t xml:space="preserve">This process describes how finalists are cleared by each office, approved as graduands and issued with their transcripts and certificates. The table sets out its purpose, what starts it, who takes part, the steps and the controls the system applies.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5"/>
        <w:gridCol w:w="7041"/>
      </w:tblGrid>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Purpose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Confirm that finalists have met all academic and other obligations and issue awards.</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Trigger</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Final results confirmed by the Governing Board.</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Actors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Student, clearance officers (department, library, hostel, finance, sports), Registry Officer, Governing Board.</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Inputs → Outputs</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Final results and clearance → graduand list, transcripts, certificates.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Requirements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FR-GRD-01 to FR-GRD-04.</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1"/>
        <w:gridCol w:w="1624"/>
        <w:gridCol w:w="3610"/>
        <w:gridCol w:w="3251"/>
      </w:tblGrid>
      <w:tr>
        <w:trPr>
          <w:tblHeader/>
        </w:trPr>
        <w:tc>
          <w:tcPr>
            <w:tcW w:type="dxa" w:w="54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Actor</w:t>
            </w:r>
          </w:p>
        </w:tc>
        <w:tc>
          <w:tcPr>
            <w:tcW w:type="dxa" w:w="361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Activity</w:t>
            </w:r>
          </w:p>
        </w:tc>
        <w:tc>
          <w:tcPr>
            <w:tcW w:type="dxa" w:w="325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System support / control</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Starts online clearance.</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Offices notified; outstanding items shown.</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Clearance officers</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Clear or hold with reason.</w:t>
            </w:r>
          </w:p>
        </w:tc>
        <w:tc>
          <w:tcPr>
            <w:tcW w:type="dxa" w:w="32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Finance clearance automatic from balance.</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Registry Officer</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Generates graduand list.</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Only students with approved award and full clearance.</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4</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Governing Board</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Approves graduands.</w:t>
            </w:r>
          </w:p>
        </w:tc>
        <w:tc>
          <w:tcPr>
            <w:tcW w:type="dxa" w:w="32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Approval recorded; NACTVET graduand submission prepared.</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5</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Registry Officer</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Issues transcripts and certificates.</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Unique verification number and QR code; issue log.</w:t>
            </w:r>
          </w:p>
        </w:tc>
      </w:tr>
    </w:tbl>
    <w:p>
      <w:pPr>
        <w:spacing w:after="120"/>
      </w:pPr>
    </w:p>
    <w:p>
      <w:pPr>
        <w:pBdr>
          <w:left w:val="single" w:sz="18" w:space="8" w:color="1F3864"/>
        </w:pBdr>
        <w:shd w:val="clear" w:color="auto" w:fill="EEF3F8"/>
        <w:spacing w:before="60" w:after="120" w:line="276"/>
        <w:ind w:left="170" w:right="113"/>
      </w:pPr>
      <w:r>
        <w:rPr>
          <w:rFonts w:ascii="Calibri" w:cs="Calibri" w:eastAsia="Calibri" w:hAnsi="Calibri"/>
          <w:b/>
          <w:bCs/>
        </w:rPr>
        <w:t xml:space="preserve">As built (October 2026) — built: Finalists are found from published results (the programme's last semester passed, nothing outstanding). Registry configures offices: the student's Head of Department, finance (cleared automatically when nothing is owed and the graduation gate is met) and offices with assigned officers (library, hostel, sports by default). The student starts clearance on the portal (or Registry does); offices clear or hold with a reason (SMS); completion is sent by SMS. Registry generates the graduand list (showing who is not ready and why) and sends it to the Board; another administrator records approval with the minute reference. Graduates are told by SMS; the NACTVET graduand file is produced; certificates are numbered once with a QR code, and every print and reprint (with a reason) is logged. Graduates become alumni; tracer surveys are sent by SMS link and the answers update the alumni record.</w:t>
      </w:r>
    </w:p>
    <w:p>
      <w:pPr>
        <w:pStyle w:val="Heading2"/>
      </w:pPr>
      <w:bookmarkStart w:id="27" w:name="_TocV11_27"/>
      <w:r>
        <w:rPr>
          <w:rFonts w:ascii="Calibri" w:cs="Calibri" w:eastAsia="Calibri" w:hAnsi="Calibri"/>
        </w:rPr>
        <w:t xml:space="preserve">BP-16 Document Verification</w:t>
      </w:r>
      <w:bookmarkEnd w:id="27"/>
    </w:p>
    <w:p>
      <w:pPr>
        <w:spacing w:after="300"/>
      </w:pPr>
      <w:r>
        <w:rPr>
          <w:i/>
          <w:rFonts w:ascii="Calibri" w:cs="Calibri" w:eastAsia="Calibri" w:hAnsi="Calibri"/>
          <w:color w:val="595959"/>
          <w:sz w:val="22"/>
          <w:szCs w:val="22"/>
        </w:rPr>
        <w:t xml:space="preserve">This process describes how employers, institutions and agencies can check that a certificate or transcript issued by CIMS is genuine. The table sets out its purpose, what starts it, who takes part, the steps and the controls the system applies.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5"/>
        <w:gridCol w:w="7041"/>
      </w:tblGrid>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Purpose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Let employers, institutions and agencies verify CIMS-issued documents instantly.</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Trigger</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Third party scans QR code or enters verification number.</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Actors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Third party, Registry Officer (for formal requests).</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Inputs → Outputs</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Verification code → authenticity confirmation.</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Requirements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FR-GRD-04.</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1"/>
        <w:gridCol w:w="1624"/>
        <w:gridCol w:w="3610"/>
        <w:gridCol w:w="3251"/>
      </w:tblGrid>
      <w:tr>
        <w:trPr>
          <w:tblHeader/>
        </w:trPr>
        <w:tc>
          <w:tcPr>
            <w:tcW w:type="dxa" w:w="54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Actor</w:t>
            </w:r>
          </w:p>
        </w:tc>
        <w:tc>
          <w:tcPr>
            <w:tcW w:type="dxa" w:w="361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Activity</w:t>
            </w:r>
          </w:p>
        </w:tc>
        <w:tc>
          <w:tcPr>
            <w:tcW w:type="dxa" w:w="325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System support / control</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Third party</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Scans QR code or enters number on public verification page.</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Rate-limited public endpoint.</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System</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Displays document type, name, programme, award and issue date if valid.</w:t>
            </w:r>
          </w:p>
        </w:tc>
        <w:tc>
          <w:tcPr>
            <w:tcW w:type="dxa" w:w="32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Minimal personal data shown; access logged.</w:t>
            </w:r>
          </w:p>
        </w:tc>
      </w:tr>
    </w:tbl>
    <w:p>
      <w:pPr>
        <w:spacing w:after="120"/>
      </w:pPr>
    </w:p>
    <w:p>
      <w:pPr>
        <w:pBdr>
          <w:left w:val="single" w:sz="18" w:space="8" w:color="1F3864"/>
        </w:pBdr>
        <w:shd w:val="clear" w:color="auto" w:fill="EEF3F8"/>
        <w:spacing w:before="60" w:after="120" w:line="276"/>
        <w:ind w:left="170" w:right="113"/>
      </w:pPr>
      <w:r>
        <w:rPr>
          <w:rFonts w:ascii="Calibri" w:cs="Calibri" w:eastAsia="Calibri" w:hAnsi="Calibri"/>
          <w:b/>
          <w:bCs/>
        </w:rPr>
        <w:t xml:space="preserve">As built (October 2026) — built:</w:t>
      </w:r>
      <w:r>
        <w:rPr>
          <w:rFonts w:ascii="Calibri" w:cs="Calibri" w:eastAsia="Calibri" w:hAnsi="Calibri"/>
        </w:rPr>
        <w:t xml:space="preserve"> Admission letters, statements of results and certificates carry a QR code and verification code. The public verification page is rate-limited and shows the document type, name, programme and status with minimal personal data; superseded and revoked documents are shown as such.</w:t>
      </w:r>
    </w:p>
    <w:p>
      <w:pPr>
        <w:pStyle w:val="Heading1"/>
      </w:pPr>
      <w:bookmarkStart w:id="28" w:name="_TocV11_28"/>
      <w:r>
        <w:rPr>
          <w:rFonts w:ascii="Calibri" w:cs="Calibri" w:eastAsia="Calibri" w:hAnsi="Calibri"/>
        </w:rPr>
        <w:t xml:space="preserve">8. Process Controls Summary</w:t>
      </w:r>
      <w:bookmarkEnd w:id="28"/>
    </w:p>
    <w:p>
      <w:pPr>
        <w:spacing w:after="300"/>
      </w:pPr>
      <w:r>
        <w:rPr>
          <w:i/>
          <w:rFonts w:ascii="Calibri" w:cs="Calibri" w:eastAsia="Calibri" w:hAnsi="Calibri"/>
          <w:color w:val="595959"/>
          <w:sz w:val="22"/>
          <w:szCs w:val="22"/>
        </w:rPr>
        <w:t xml:space="preserve">Process controls protect the institution against error and fraud. This table summarises the controls applied across all processes and where each one is used.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7"/>
        <w:gridCol w:w="6319"/>
      </w:tblGrid>
      <w:tr>
        <w:trPr>
          <w:tblHeader/>
        </w:trPr>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Control</w:t>
            </w:r>
          </w:p>
        </w:tc>
        <w:tc>
          <w:tcPr>
            <w:tcW w:type="dxa" w:w="631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Where applied</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Segregation of duties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Marks entry vs approval; invoice creation vs waiver approval; selection proposal vs committee approval.</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Approval workflows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Admission selection, results, status changes, waivers/refunds above thresholds, results amendments.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Automated validation</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Entry requirements, capacity, clearance gates, grading rules, bed allocation uniqueness.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Audit trail</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All create/update/approve actions on applications, marks, invoices, payments, statuses and allocations.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Reconciliation</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Daily GePG reconciliation; NACTVET submission outcome tracking.</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Notifications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Applicants and students informed at each key event, reducing enquiries and disputes.</w:t>
            </w:r>
          </w:p>
        </w:tc>
      </w:tr>
    </w:tbl>
    <w:p>
      <w:pPr>
        <w:spacing w:after="120"/>
      </w:pPr>
    </w:p>
    <w:p>
      <w:pPr>
        <w:pBdr>
          <w:left w:val="single" w:sz="18" w:space="8" w:color="1F3864"/>
        </w:pBdr>
        <w:shd w:val="clear" w:color="auto" w:fill="EEF3F8"/>
        <w:spacing w:before="60" w:after="120" w:line="276"/>
        <w:ind w:left="170" w:right="113"/>
      </w:pPr>
      <w:r>
        <w:rPr>
          <w:rFonts w:ascii="Calibri" w:cs="Calibri" w:eastAsia="Calibri" w:hAnsi="Calibri"/>
          <w:b/>
          <w:bCs/>
        </w:rPr>
        <w:t xml:space="preserve">As built:</w:t>
      </w:r>
      <w:r>
        <w:rPr>
          <w:rFonts w:ascii="Calibri" w:cs="Calibri" w:eastAsia="Calibri" w:hAnsi="Calibri"/>
        </w:rPr>
        <w:t xml:space="preserve"> segregation of duties is enforced in the software (fee structure preparer vs approver, selection proposer vs approver, curriculum preparer vs approver, recommender vs Board confirmation, amendment requester vs approver, waiver requester vs approvers, own appeals and modules excluded). Database rules back the most important controls: one active allocation per bed, unique registration numbers that never change, confirmed results locked, invoices and payments never deleted, and an append-only audit trail. Every SMS is sent from an outbox only after the work commits.</w:t>
      </w:r>
    </w:p>
    <w:sectPr>
      <w:headerReference w:type="default" r:id="rId7"/>
      <w:footerReference w:type="default" r:id="rId8"/>
      <w:pgSz w:w="11906" w:h="16838" w:orient="portrait"/>
      <w:pgMar w:top="1300" w:right="1440" w:bottom="130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Calibri" w:cs="Calibri" w:eastAsia="Calibri" w:hAnsi="Calibri"/>
        <w:color w:val="595959"/>
        <w:sz w:val="16"/>
        <w:szCs w:val="16"/>
      </w:rPr>
      <w:t xml:space="preserve">© 2026 Msingi Technologies Ltd  |  Confidential — For Stakeholder Review</w:t>
    </w:r>
    <w:r>
      <w:rPr>
        <w:rFonts w:ascii="Calibri" w:cs="Calibri" w:eastAsia="Calibri" w:hAnsi="Calibri"/>
        <w:color w:val="595959"/>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95959"/>
        <w:sz w:val="16"/>
        <w:szCs w:val="16"/>
      </w:rPr>
      <w:t xml:space="preserve">Msingi Technologies Ltd  |  CIMS — Document 04: Business Process Document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keepNext/>
      <w:spacing w:after="120" w:before="260"/>
      <w:outlineLvl w:val="1"/>
    </w:pPr>
    <w:rPr>
      <w:rFonts w:ascii="Calibri" w:cs="Calibri" w:eastAsia="Calibri" w:hAnsi="Calibri"/>
      <w:b/>
      <w:bCs/>
      <w:color w:val="0E7C7B"/>
      <w:sz w:val="26"/>
      <w:szCs w:val="26"/>
    </w:rPr>
  </w:style>
  <w:style w:type="paragraph" w:styleId="Heading3">
    <w:name w:val="Heading 3"/>
    <w:basedOn w:val="Normal"/>
    <w:next w:val="Normal"/>
    <w:qFormat/>
    <w:pPr>
      <w:keepNext/>
      <w:spacing w:after="80" w:before="200"/>
      <w:outlineLvl w:val="2"/>
    </w:pPr>
    <w:rPr>
      <w:rFonts w:ascii="Calibri" w:cs="Calibri" w:eastAsia="Calibri" w:hAnsi="Calibri"/>
      <w:b/>
      <w:bCs/>
      <w:color w:val="1F386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ed76639c2fb95fc90b93f55f0ca503fd63567ce.png"/><Relationship Id="rId10" Type="http://schemas.openxmlformats.org/officeDocument/2006/relationships/image" Target="media/9827bea42c37b9ff4e07104f8d7590a2ca34a6f2.jpg"/><Relationship Id="rId11" Type="http://schemas.openxmlformats.org/officeDocument/2006/relationships/image" Target="media/0cad81f1fc88c5eafe6c99c53dc031047ff43f7b.png"/><Relationship Id="rId12" Type="http://schemas.openxmlformats.org/officeDocument/2006/relationships/image" Target="media/a9ef0c35207391ef4e6eb85eefa163ad527afd0a.png"/><Relationship Id="rId13" Type="http://schemas.openxmlformats.org/officeDocument/2006/relationships/image" Target="media/ad263bb453f3e6375546cc2c8f08d313c7aa6399.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CIMS — Document 04: Business Process Document</dc:title>
  <dc:creator>Msingi Technologies Ltd</dc:creator>
  <cp:lastModifiedBy>Un-named</cp:lastModifiedBy>
  <cp:revision>1</cp:revision>
  <dcterms:created xsi:type="dcterms:W3CDTF">2026-10-06T09:59:03.093Z</dcterms:created>
  <dcterms:modified xsi:type="dcterms:W3CDTF">2026-10-06T09:59:03.093Z</dcterms:modified>
</cp:coreProperties>
</file>

<file path=docProps/custom.xml><?xml version="1.0" encoding="utf-8"?>
<Properties xmlns="http://schemas.openxmlformats.org/officeDocument/2006/custom-properties" xmlns:vt="http://schemas.openxmlformats.org/officeDocument/2006/docPropsVTypes"/>
</file>