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7326"/>
      </w:tblGrid>
      <w:tr>
        <w:tc>
          <w:tcPr>
            <w:tcW w:type="dxa" w:w="1700"/>
            <w:tcBorders>
              <w:top w:val="none" w:color="FFFFFF" w:sz="0"/>
              <w:left w:val="none" w:color="FFFFFF" w:sz="0"/>
              <w:bottom w:val="none" w:color="FFFFFF" w:sz="0"/>
              <w:right w:val="none" w:color="FFFFFF" w:sz="0"/>
            </w:tcBorders>
            <w:vAlign w:val="center"/>
          </w:tcPr>
          <w:p>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tc>
        <w:tc>
          <w:tcPr>
            <w:tcW w:type="dxa" w:w="7326"/>
            <w:tcBorders>
              <w:top w:val="none" w:color="FFFFFF" w:sz="0"/>
              <w:left w:val="none" w:color="FFFFFF" w:sz="0"/>
              <w:bottom w:val="none" w:color="FFFFFF" w:sz="0"/>
              <w:right w:val="none" w:color="FFFFFF" w:sz="0"/>
            </w:tcBorders>
            <w:vAlign w:val="center"/>
          </w:tcPr>
          <w:p>
            <w:pPr>
              <w:spacing w:after="20"/>
            </w:pPr>
            <w:r>
              <w:rPr>
                <w:rFonts w:ascii="Calibri" w:cs="Calibri" w:eastAsia="Calibri" w:hAnsi="Calibri"/>
                <w:b/>
                <w:bCs/>
                <w:color w:val="0F1B2D"/>
                <w:spacing w:val="30"/>
                <w:sz w:val="34"/>
                <w:szCs w:val="34"/>
              </w:rPr>
              <w:t xml:space="preserve">MSINGI TECHNOLOGIES LTD</w:t>
            </w:r>
          </w:p>
          <w:p>
            <w:r>
              <w:rPr>
                <w:rFonts w:ascii="Calibri" w:cs="Calibri" w:eastAsia="Calibri" w:hAnsi="Calibri"/>
                <w:b/>
                <w:bCs/>
                <w:color w:val="12715B"/>
                <w:spacing w:val="20"/>
                <w:sz w:val="20"/>
                <w:szCs w:val="20"/>
              </w:rPr>
              <w:t xml:space="preserve">Software  •  IT Systems</w:t>
            </w:r>
          </w:p>
        </w:tc>
      </w:tr>
    </w:tbl>
    <w:p>
      <w:pPr>
        <w:pBdr>
          <w:bottom w:val="single" w:color="E3A72F" w:sz="12" w:space="1"/>
        </w:pBdr>
        <w:spacing w:after="160" w:before="120"/>
      </w:pPr>
    </w:p>
    <w:p>
      <w:pPr>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60" w:before="240"/>
      </w:pPr>
      <w:r>
        <w:rPr>
          <w:rFonts w:ascii="Calibri" w:cs="Calibri" w:eastAsia="Calibri" w:hAnsi="Calibri"/>
          <w:b/>
          <w:bCs/>
          <w:color w:val="1F3864"/>
          <w:sz w:val="44"/>
          <w:szCs w:val="44"/>
        </w:rPr>
        <w:t xml:space="preserve">College/Institution Management System (CIMS)</w:t>
      </w:r>
    </w:p>
    <w:p>
      <w:pPr>
        <w:spacing w:after="60"/>
      </w:pPr>
      <w:r>
        <w:rPr>
          <w:rFonts w:ascii="Calibri" w:cs="Calibri" w:eastAsia="Calibri" w:hAnsi="Calibri"/>
          <w:i/>
          <w:iCs/>
          <w:color w:val="0E7C7B"/>
          <w:sz w:val="24"/>
          <w:szCs w:val="24"/>
        </w:rPr>
        <w:t xml:space="preserve">One platform from application to graduation for NACTVET-registered institutions</w:t>
      </w:r>
    </w:p>
    <w:p>
      <w:pPr>
        <w:pBdr>
          <w:bottom w:val="single" w:color="0E7C7B" w:sz="8" w:space="4"/>
        </w:pBdr>
        <w:spacing w:after="60" w:before="240"/>
      </w:pPr>
      <w:r>
        <w:rPr>
          <w:rFonts w:ascii="Calibri" w:cs="Calibri" w:eastAsia="Calibri" w:hAnsi="Calibri"/>
          <w:b/>
          <w:bCs/>
          <w:color w:val="1F3864"/>
          <w:sz w:val="34"/>
          <w:szCs w:val="34"/>
        </w:rPr>
        <w:t xml:space="preserve">Document 02: Business Requirements Document</w:t>
      </w:r>
    </w:p>
    <w:p>
      <w:pPr>
        <w:spacing w:after="300"/>
      </w:pPr>
      <w:r>
        <w:rPr>
          <w:rFonts w:ascii="Calibri" w:cs="Calibri" w:eastAsia="Calibri" w:hAnsi="Calibri"/>
          <w:color w:val="595959"/>
          <w:sz w:val="22"/>
          <w:szCs w:val="22"/>
        </w:rPr>
        <w:t xml:space="preserve">Business context, stakeholders, business requirements, business rules, regulatory obligations and success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6499"/>
      </w:tblGrid>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Document 02: Business Requirements Document</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Document Status</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Version 3.0 — updated to the system as built, for stakeholder review</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For</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Institutions registered by NACTVET to deliver NVA and NTA programmes, their governing boards and management</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System Scope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Online Admission, Student Registry, Academic Structure, Teaching &amp; Attendance, Assessment &amp; Examination (NTA and NVA), Finance &amp; Fees (GePG), Hostel, Industrial Practical Training, Clearance &amp; Graduation, Student Portal, Reports and Integrations</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By</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Msingi Technologies Ltd</w:t>
            </w:r>
          </w:p>
        </w:tc>
      </w:tr>
      <w:tr>
        <w:trPr>
          <w:cantSplit/>
        </w:trPr>
        <w:tc>
          <w:tcPr>
            <w:tcW w:type="dxa" w:w="252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Prepared Date</w:t>
            </w:r>
          </w:p>
        </w:tc>
        <w:tc>
          <w:tcPr>
            <w:tcW w:type="dxa" w:w="649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October 2026</w:t>
            </w:r>
          </w:p>
        </w:tc>
      </w:tr>
      <w:tr>
        <w:trPr>
          <w:cantSplit/>
        </w:trPr>
        <w:tc>
          <w:tcPr>
            <w:tcW w:type="dxa" w:w="252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Classification</w:t>
            </w:r>
          </w:p>
        </w:tc>
        <w:tc>
          <w:tcPr>
            <w:tcW w:type="dxa" w:w="649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val="false"/>
                <w:bCs w:val="false"/>
                <w:sz w:val="18"/>
                <w:szCs w:val="18"/>
              </w:rPr>
              <w:t xml:space="preserve">Confidential — For Stakeholder Review</w:t>
            </w:r>
          </w:p>
        </w:tc>
      </w:tr>
    </w:tbl>
    <w:p>
      <w:r>
        <w:br w:type="page"/>
      </w:r>
    </w:p>
    <w:p>
      <w:pPr>
        <w:pStyle w:val="Heading1"/>
      </w:pPr>
      <w:r>
        <w:rPr>
          <w:rFonts w:ascii="Calibri" w:cs="Calibri" w:eastAsia="Calibri" w:hAnsi="Calibri"/>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3"/>
        <w:gridCol w:w="1624"/>
        <w:gridCol w:w="1985"/>
        <w:gridCol w:w="4334"/>
      </w:tblGrid>
      <w:tr>
        <w:trPr>
          <w:tblHeader/>
        </w:trPr>
        <w:tc>
          <w:tcPr>
            <w:tcW w:type="dxa" w:w="108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Version</w:t>
            </w:r>
          </w:p>
        </w:tc>
        <w:tc>
          <w:tcPr>
            <w:tcW w:type="dxa" w:w="16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Prepared By</w:t>
            </w:r>
          </w:p>
        </w:tc>
        <w:tc>
          <w:tcPr>
            <w:tcW w:type="dxa" w:w="433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Description</w:t>
            </w:r>
          </w:p>
        </w:tc>
      </w:tr>
      <w:tr>
        <w:trPr>
          <w:cantSplit/>
        </w:trPr>
        <w:tc>
          <w:tcPr>
            <w:tcW w:type="dxa" w:w="108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1.0</w:t>
            </w:r>
          </w:p>
        </w:tc>
        <w:tc>
          <w:tcPr>
            <w:tcW w:type="dxa" w:w="16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Team</w:t>
            </w:r>
          </w:p>
        </w:tc>
        <w:tc>
          <w:tcPr>
            <w:tcW w:type="dxa" w:w="43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Initial planning version (generic institution).</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2.0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Re-baselined for NACTVET-registered NVA/NTA institutions, each with its own online admission system; content expanded and aligned across the document suite.</w:t>
            </w:r>
          </w:p>
        </w:tc>
      </w:tr>
      <w:tr>
        <w:trPr>
          <w:cantSplit/>
        </w:trPr>
        <w:tc>
          <w:tcPr>
            <w:tcW w:type="dxa" w:w="108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3.0</w:t>
            </w:r>
          </w:p>
        </w:tc>
        <w:tc>
          <w:tcPr>
            <w:tcW w:type="dxa" w:w="16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October 2026</w:t>
            </w: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Msingi Technologies Ltd</w:t>
            </w:r>
          </w:p>
        </w:tc>
        <w:tc>
          <w:tcPr>
            <w:tcW w:type="dxa" w:w="43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Updated to the system as built (development build, October 2026): what is built, what is partly built and what remains, with corrected technology, data model and plan. The version 2.0 requirements stay the baseline.</w:t>
            </w:r>
          </w:p>
        </w:tc>
      </w:tr>
    </w:tbl>
    <w:p>
      <w:pPr>
        <w:pStyle w:val="Heading2"/>
        <w:spacing w:before="200"/>
      </w:pPr>
      <w:r>
        <w:rPr>
          <w:rFonts w:ascii="Calibri" w:cs="Calibri" w:eastAsia="Calibri" w:hAnsi="Calibri"/>
        </w:rPr>
        <w:t xml:space="preserve">Review and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2707"/>
        <w:gridCol w:w="1985"/>
        <w:gridCol w:w="1988"/>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Role</w:t>
            </w:r>
          </w:p>
        </w:tc>
        <w:tc>
          <w:tcPr>
            <w:tcW w:type="dxa" w:w="2707"/>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Name</w:t>
            </w:r>
          </w:p>
        </w:tc>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Signature</w:t>
            </w:r>
          </w:p>
        </w:tc>
        <w:tc>
          <w:tcPr>
            <w:tcW w:type="dxa" w:w="198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Date</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Managing Director, Msingi Technologies Ltd</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Manager, Msingi Technologies Ltd</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Project Sponsor (Institution)</w:t>
            </w:r>
          </w:p>
        </w:tc>
        <w:tc>
          <w:tcPr>
            <w:tcW w:type="dxa" w:w="2707"/>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Principal / Head of Institution</w:t>
            </w:r>
          </w:p>
        </w:tc>
        <w:tc>
          <w:tcPr>
            <w:tcW w:type="dxa" w:w="2707"/>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c>
          <w:tcPr>
            <w:tcW w:type="dxa" w:w="198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p>
        </w:tc>
      </w:tr>
    </w:tbl>
    <w:p>
      <w:pPr>
        <w:pStyle w:val="Heading2"/>
        <w:spacing w:before="200"/>
      </w:pPr>
      <w:r>
        <w:rPr>
          <w:rFonts w:ascii="Calibri" w:cs="Calibri" w:eastAsia="Calibri" w:hAnsi="Calibri"/>
        </w:rPr>
        <w:t xml:space="preserve">Related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3068"/>
        <w:gridCol w:w="5236"/>
      </w:tblGrid>
      <w:tr>
        <w:trPr>
          <w:tblHeader/>
        </w:trPr>
        <w:tc>
          <w:tcPr>
            <w:tcW w:type="dxa" w:w="72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No.</w:t>
            </w:r>
          </w:p>
        </w:tc>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Document</w:t>
            </w:r>
          </w:p>
        </w:tc>
        <w:tc>
          <w:tcPr>
            <w:tcW w:type="dxa" w:w="523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Purpose</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01</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Concept Note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Why the system is needed, the vision, value to stakeholders and the delivery model.</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02</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8"/>
                <w:szCs w:val="18"/>
              </w:rPr>
              <w:t xml:space="preserve">Business Requirements Document (this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Stakeholders, business requirements, business rules and success measures.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03</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Requirements Specification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Functional and non-functional requirements, roles, use cases and traceability.</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04</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Business Process Document</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End-to-end institutional workflows with actors, controls and service levels.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05</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Database Design</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 model, table catalogue, constraints, multi-tenancy and data governance.</w:t>
            </w:r>
          </w:p>
        </w:tc>
      </w:tr>
      <w:tr>
        <w:trPr>
          <w:cantSplit/>
        </w:trPr>
        <w:tc>
          <w:tcPr>
            <w:tcW w:type="dxa" w:w="72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06</w:t>
            </w:r>
          </w:p>
        </w:tc>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Architecture</w:t>
            </w:r>
          </w:p>
        </w:tc>
        <w:tc>
          <w:tcPr>
            <w:tcW w:type="dxa" w:w="523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Technology stack, components, security, integrations, deployment and operations.</w:t>
            </w:r>
          </w:p>
        </w:tc>
      </w:tr>
      <w:tr>
        <w:trPr>
          <w:cantSplit/>
        </w:trPr>
        <w:tc>
          <w:tcPr>
            <w:tcW w:type="dxa" w:w="72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07</w:t>
            </w:r>
          </w:p>
        </w:tc>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Development Plan and Cost Estimate</w:t>
            </w:r>
          </w:p>
        </w:tc>
        <w:tc>
          <w:tcPr>
            <w:tcW w:type="dxa" w:w="523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Release plan, team, effort-based budget, pricing model and risks.</w:t>
            </w:r>
          </w:p>
        </w:tc>
      </w:tr>
    </w:tbl>
    <w:p>
      <w:r>
        <w:br w:type="page"/>
      </w:r>
    </w:p>
    <w:p>
      <w:pPr>
        <w:pStyle w:val="Heading1"/>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20"/>
      </w:pPr>
      <w:r>
        <w:rPr>
          <w:rFonts w:ascii="Calibri" w:cs="Calibri" w:eastAsia="Calibri" w:hAnsi="Calibri"/>
          <w:i/>
          <w:iCs/>
          <w:color w:val="595959"/>
          <w:sz w:val="16"/>
          <w:szCs w:val="16"/>
        </w:rPr>
        <w:t xml:space="preserve">If page numbers are not shown, right-click the table and choose Update Field.</w:t>
      </w:r>
    </w:p>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jc w:val="both"/>
      </w:pPr>
      <w:r>
        <w:rPr>
          <w:rFonts w:ascii="Calibri" w:cs="Calibri" w:eastAsia="Calibri" w:hAnsi="Calibri"/>
        </w:rPr>
        <w:t xml:space="preserve">This Business Requirements Document (BRD) states what NACTVET-registered institutions need from the College/Institution Management System (CIMS), in business terms, independent of technology. It is the reference against which the System Requirements Specification (Document 03), the business processes (Document 04) and the final system are checked and accepted.</w:t>
      </w:r>
    </w:p>
    <w:p>
      <w:pPr>
        <w:pStyle w:val="Heading2"/>
      </w:pPr>
      <w:r>
        <w:rPr>
          <w:rFonts w:ascii="Calibri" w:cs="Calibri" w:eastAsia="Calibri" w:hAnsi="Calibri"/>
        </w:rPr>
        <w:t xml:space="preserve">1.2 Audience</w:t>
      </w:r>
    </w:p>
    <w:p>
      <w:pPr>
        <w:spacing w:after="120" w:line="276"/>
        <w:jc w:val="both"/>
      </w:pPr>
      <w:r>
        <w:rPr>
          <w:rFonts w:ascii="Calibri" w:cs="Calibri" w:eastAsia="Calibri" w:hAnsi="Calibri"/>
        </w:rPr>
        <w:t xml:space="preserve">Governing boards, principals and deputy principals, heads of admissions, registry, examinations, finance, hostel and ICT, pilot institution focal persons, the delivery team and, where relevant, NACTVET and other public bodies.</w:t>
      </w:r>
    </w:p>
    <w:p>
      <w:pPr>
        <w:pStyle w:val="Heading2"/>
      </w:pPr>
      <w:r>
        <w:rPr>
          <w:rFonts w:ascii="Calibri" w:cs="Calibri" w:eastAsia="Calibri" w:hAnsi="Calibri"/>
        </w:rPr>
        <w:t xml:space="preserve">1.3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7041"/>
      </w:tblGrid>
      <w:tr>
        <w:trPr>
          <w:tblHeader/>
        </w:trPr>
        <w:tc>
          <w:tcPr>
            <w:tcW w:type="dxa" w:w="19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Term</w:t>
            </w:r>
          </w:p>
        </w:tc>
        <w:tc>
          <w:tcPr>
            <w:tcW w:type="dxa" w:w="704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Meaning</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NACTVET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Council for Technical and Vocational Education and Training — the regulator for TVET institutions and awards.</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NVA</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Vocational Award, Levels I–III (Certificate of Competence).</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NTA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Technical Award, Levels 4–8 (Basic Technician Certificate to Bachelor Degree).</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AVN</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Award Verification Number issued by NACTVET for NTA awards; used to verify prior qualifications of applicants.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NECTA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National Examinations Council of Tanzania — source of CSEE (Form Four) and ACSEE (Form Six) results.</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GePG</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Government electronic Payment Gateway — issues control numbers and confirms payments.</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HESLB</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Higher Education Students' Loans Board — funds eligible students in eligible programmes.</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CA / SE</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Continuous Assessment / Semester (End of Semester) Examination.</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GPA</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Grade Point Average — semester, annual and cumulative.</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IPT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Industrial Practical Training (field attachment).</w:t>
            </w:r>
          </w:p>
        </w:tc>
      </w:tr>
      <w:tr>
        <w:trPr>
          <w:cantSplit/>
        </w:trPr>
        <w:tc>
          <w:tcPr>
            <w:tcW w:type="dxa" w:w="19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Tenant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One institution's isolated space within the shared CIMS platform, with its own branding, users, data and configuration.</w:t>
            </w:r>
          </w:p>
        </w:tc>
      </w:tr>
      <w:tr>
        <w:trPr>
          <w:cantSplit/>
        </w:trPr>
        <w:tc>
          <w:tcPr>
            <w:tcW w:type="dxa" w:w="19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PDPA</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Personal Data Protection Act, 2022 (Tanzania).</w:t>
            </w:r>
          </w:p>
        </w:tc>
      </w:tr>
    </w:tbl>
    <w:p>
      <w:pPr>
        <w:spacing w:after="120"/>
      </w:pPr>
    </w:p>
    <w:p>
      <w:pPr>
        <w:pStyle w:val="Heading1"/>
      </w:pPr>
      <w:r>
        <w:rPr>
          <w:rFonts w:ascii="Calibri" w:cs="Calibri" w:eastAsia="Calibri" w:hAnsi="Calibri"/>
        </w:rPr>
        <w:t xml:space="preserve">2. Business Context</w:t>
      </w:r>
    </w:p>
    <w:p>
      <w:pPr>
        <w:spacing w:after="120" w:line="276"/>
        <w:jc w:val="both"/>
      </w:pPr>
      <w:r>
        <w:rPr>
          <w:rFonts w:ascii="Calibri" w:cs="Calibri" w:eastAsia="Calibri" w:hAnsi="Calibri"/>
        </w:rPr>
        <w:t xml:space="preserve">Each NACTVET-registered institution recruits its own applicants through its own admission process, then registers, teaches, assesses and graduates students according to curricula and examination regulations approved by NACTVET and its governing board. Departments that touch the student lifecycle include admissions, registry, academic departments, examinations, finance, hostel/dean of students, library, IPT coordination and management.</w:t>
      </w:r>
    </w:p>
    <w:p>
      <w:pPr>
        <w:spacing w:after="120" w:line="276"/>
        <w:jc w:val="both"/>
      </w:pPr>
      <w:r>
        <w:rPr>
          <w:rFonts w:ascii="Calibri" w:cs="Calibri" w:eastAsia="Calibri" w:hAnsi="Calibri"/>
        </w:rPr>
        <w:t xml:space="preserve">The institution must also exchange information with external bodies: NECTA (verifying secondary results), NACTVET (verification of admitted applicants, student registration and results), GePG (all fee collections for public institutions and many private ones), HESLB (for eligible programmes), and SMS/email providers. CIMS must make these exchanges routine rather than exceptional.</w:t>
      </w:r>
    </w:p>
    <w:p>
      <w:pPr>
        <w:pStyle w:val="Heading2"/>
      </w:pPr>
      <w:r>
        <w:rPr>
          <w:rFonts w:ascii="Calibri" w:cs="Calibri" w:eastAsia="Calibri" w:hAnsi="Calibri"/>
        </w:rPr>
        <w:t xml:space="preserve">2.1 Business drivers</w:t>
      </w:r>
    </w:p>
    <w:p>
      <w:pPr>
        <w:pStyle w:val="ListParagraph"/>
        <w:numPr>
          <w:ilvl w:val="0"/>
          <w:numId w:val="2"/>
        </w:numPr>
        <w:spacing w:after="60" w:line="264"/>
      </w:pPr>
      <w:r>
        <w:rPr>
          <w:rFonts w:ascii="Calibri" w:cs="Calibri" w:eastAsia="Calibri" w:hAnsi="Calibri"/>
          <w:b/>
          <w:bCs/>
        </w:rPr>
        <w:t xml:space="preserve">Competition for applicants:</w:t>
      </w:r>
      <w:r>
        <w:rPr>
          <w:rFonts w:ascii="Calibri" w:cs="Calibri" w:eastAsia="Calibri" w:hAnsi="Calibri"/>
        </w:rPr>
        <w:t xml:space="preserve"> applicants apply to several institutions; the fastest, simplest online experience wins.</w:t>
      </w:r>
    </w:p>
    <w:p>
      <w:pPr>
        <w:pStyle w:val="ListParagraph"/>
        <w:numPr>
          <w:ilvl w:val="0"/>
          <w:numId w:val="2"/>
        </w:numPr>
        <w:spacing w:after="60" w:line="264"/>
      </w:pPr>
      <w:r>
        <w:rPr>
          <w:rFonts w:ascii="Calibri" w:cs="Calibri" w:eastAsia="Calibri" w:hAnsi="Calibri"/>
          <w:b/>
          <w:bCs/>
        </w:rPr>
        <w:t xml:space="preserve">Regulatory compliance:</w:t>
      </w:r>
      <w:r>
        <w:rPr>
          <w:rFonts w:ascii="Calibri" w:cs="Calibri" w:eastAsia="Calibri" w:hAnsi="Calibri"/>
        </w:rPr>
        <w:t xml:space="preserve"> NACTVET entry requirements, verification deadlines and results submission must be met every cycle.</w:t>
      </w:r>
    </w:p>
    <w:p>
      <w:pPr>
        <w:pStyle w:val="ListParagraph"/>
        <w:numPr>
          <w:ilvl w:val="0"/>
          <w:numId w:val="2"/>
        </w:numPr>
        <w:spacing w:after="60" w:line="264"/>
      </w:pPr>
      <w:r>
        <w:rPr>
          <w:rFonts w:ascii="Calibri" w:cs="Calibri" w:eastAsia="Calibri" w:hAnsi="Calibri"/>
          <w:b/>
          <w:bCs/>
        </w:rPr>
        <w:t xml:space="preserve">Revenue assurance:</w:t>
      </w:r>
      <w:r>
        <w:rPr>
          <w:rFonts w:ascii="Calibri" w:cs="Calibri" w:eastAsia="Calibri" w:hAnsi="Calibri"/>
        </w:rPr>
        <w:t xml:space="preserve"> fee income must be fully billed, collected through approved channels and reconciled.</w:t>
      </w:r>
    </w:p>
    <w:p>
      <w:pPr>
        <w:pStyle w:val="ListParagraph"/>
        <w:numPr>
          <w:ilvl w:val="0"/>
          <w:numId w:val="2"/>
        </w:numPr>
        <w:spacing w:after="60" w:line="264"/>
      </w:pPr>
      <w:r>
        <w:rPr>
          <w:rFonts w:ascii="Calibri" w:cs="Calibri" w:eastAsia="Calibri" w:hAnsi="Calibri"/>
          <w:b/>
          <w:bCs/>
        </w:rPr>
        <w:t xml:space="preserve">Academic integrity:</w:t>
      </w:r>
      <w:r>
        <w:rPr>
          <w:rFonts w:ascii="Calibri" w:cs="Calibri" w:eastAsia="Calibri" w:hAnsi="Calibri"/>
        </w:rPr>
        <w:t xml:space="preserve"> results must be accurate, approved through the proper bodies and traceable.</w:t>
      </w:r>
    </w:p>
    <w:p>
      <w:pPr>
        <w:pStyle w:val="ListParagraph"/>
        <w:numPr>
          <w:ilvl w:val="0"/>
          <w:numId w:val="2"/>
        </w:numPr>
        <w:spacing w:after="60" w:line="264"/>
      </w:pPr>
      <w:r>
        <w:rPr>
          <w:rFonts w:ascii="Calibri" w:cs="Calibri" w:eastAsia="Calibri" w:hAnsi="Calibri"/>
          <w:b/>
          <w:bCs/>
        </w:rPr>
        <w:t xml:space="preserve">Data protection:</w:t>
      </w:r>
      <w:r>
        <w:rPr>
          <w:rFonts w:ascii="Calibri" w:cs="Calibri" w:eastAsia="Calibri" w:hAnsi="Calibri"/>
        </w:rPr>
        <w:t xml:space="preserve"> applicant and student personal data must be handled lawfully under PDPA 2022.</w:t>
      </w:r>
    </w:p>
    <w:p>
      <w:pPr>
        <w:pStyle w:val="ListParagraph"/>
        <w:numPr>
          <w:ilvl w:val="0"/>
          <w:numId w:val="2"/>
        </w:numPr>
        <w:spacing w:after="60" w:line="264"/>
      </w:pPr>
      <w:r>
        <w:rPr>
          <w:rFonts w:ascii="Calibri" w:cs="Calibri" w:eastAsia="Calibri" w:hAnsi="Calibri"/>
          <w:b/>
          <w:bCs/>
        </w:rPr>
        <w:t xml:space="preserve">Efficiency:</w:t>
      </w:r>
      <w:r>
        <w:rPr>
          <w:rFonts w:ascii="Calibri" w:cs="Calibri" w:eastAsia="Calibri" w:hAnsi="Calibri"/>
        </w:rPr>
        <w:t xml:space="preserve"> small administrative teams must handle large volumes during peak periods.</w:t>
      </w:r>
    </w:p>
    <w:p>
      <w:pPr>
        <w:pStyle w:val="Heading1"/>
      </w:pPr>
      <w:r>
        <w:rPr>
          <w:rFonts w:ascii="Calibri" w:cs="Calibri" w:eastAsia="Calibri" w:hAnsi="Calibri"/>
        </w:rPr>
        <w:t xml:space="preserve">3.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4151"/>
        <w:gridCol w:w="2709"/>
      </w:tblGrid>
      <w:tr>
        <w:trPr>
          <w:tblHeader/>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Stakeholder</w:t>
            </w:r>
          </w:p>
        </w:tc>
        <w:tc>
          <w:tcPr>
            <w:tcW w:type="dxa" w:w="415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Interest</w:t>
            </w:r>
          </w:p>
        </w:tc>
        <w:tc>
          <w:tcPr>
            <w:tcW w:type="dxa" w:w="270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Involvement</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Governing Board</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Approval of results and fees; institutional performance; compliance.</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Approves results and policies in the system; views dashboards.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Principal / Management</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Enrolment, revenue, pass rates, regulatory standing.</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Sponsor; dashboards and reports.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Deputy Principal (Academic)</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Academic calendar, curricula, examinations, results.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Chairs Academic Committee; approves results.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Admissions Office</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Applications, eligibility, selection, NACTVET verification.</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Primary user of M01.</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Registry</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Student records, registration, status changes, graduation lists.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Primary user of M02 and M09.</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Heads of Department / Programme Coordinators</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Module offerings, lecturer allocation, moderation.</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Approvers in examination workflow.</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Lecturers / Tutors / Assessors</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Class lists, attendance, marks, competence records.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Daily users of M04 and M05.</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Examinations Office</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Assessment plans, marks windows, results processing and submission.</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Primary user of M05.</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Finance Office (Bursar, Accountants)</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Fees, invoices, receipts, balances, sponsors, reconciliation.</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Primary user of M06.</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Dean of Students / Hostel Wardens</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Accommodation, allocation, discipline holds.</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Primary user of M07.</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IPT Coordinator</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Placements, supervisors, logbooks and IPT assessment.</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Primary user of M08.</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Librarian and other clearance offices</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Borrowed items and obligations at clearance.</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Clearance approvers in M09.</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ICT Office</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User support, configuration, integrations.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Institution administrator.</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Applicants and Parents/Guardians</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Easy application, payment and status updates.</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 portal users.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Students</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Registration, payments, results, hostel, documents.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Student portal users.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Sponsors (HESLB, government, private)</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Beneficiary lists and payment application.</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Data exchange; sponsor statements.</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NACTVET</w:t>
            </w:r>
          </w:p>
        </w:tc>
        <w:tc>
          <w:tcPr>
            <w:tcW w:type="dxa" w:w="415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Accurate, timely submissions.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External regulator; data exchange.</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Internal and external auditors</w:t>
            </w:r>
          </w:p>
        </w:tc>
        <w:tc>
          <w:tcPr>
            <w:tcW w:type="dxa" w:w="415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Evidence of controls over fees, results and access.</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Read-only audit access.</w:t>
            </w:r>
          </w:p>
        </w:tc>
      </w:tr>
    </w:tbl>
    <w:p>
      <w:pPr>
        <w:spacing w:after="120"/>
      </w:pPr>
    </w:p>
    <w:p>
      <w:pPr>
        <w:pStyle w:val="Heading1"/>
      </w:pPr>
      <w:r>
        <w:rPr>
          <w:rFonts w:ascii="Calibri" w:cs="Calibri" w:eastAsia="Calibri" w:hAnsi="Calibri"/>
        </w:rPr>
        <w:t xml:space="preserve">4. Current Challenges (As-Is)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tblHeader/>
        </w:trPr>
        <w:tc>
          <w:tcPr>
            <w:tcW w:type="dxa" w:w="216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Area</w:t>
            </w:r>
          </w:p>
        </w:tc>
        <w:tc>
          <w:tcPr>
            <w:tcW w:type="dxa" w:w="686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Current situation</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Admissions</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Paper forms or generic online forms; manual checking of NECTA results; eligibility errors discovered at NACTVET verification; letters prepared in word processors.</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Registry</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Spreadsheets per intake; inconsistent registration number formats; status changes not recorded consistently.</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Examinations</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Marks in spreadsheets emailed between offices; manual GPA, supplementary and progression decisions; difficult to prove who changed what.</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Finance</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Control numbers requested manually; payments matched by hand from bank statements; paper receipts used as proof for clearance.</w:t>
            </w:r>
          </w:p>
        </w:tc>
      </w:tr>
      <w:tr>
        <w:trPr>
          <w:cantSplit/>
        </w:trPr>
        <w:tc>
          <w:tcPr>
            <w:tcW w:type="dxa" w:w="216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Hostel</w:t>
            </w:r>
          </w:p>
        </w:tc>
        <w:tc>
          <w:tcPr>
            <w:tcW w:type="dxa" w:w="686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Paper allocation registers; double allocation and unpaid occupancy are hard to detect.</w:t>
            </w:r>
          </w:p>
        </w:tc>
      </w:tr>
      <w:tr>
        <w:trPr>
          <w:cantSplit/>
        </w:trPr>
        <w:tc>
          <w:tcPr>
            <w:tcW w:type="dxa" w:w="216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Reporting</w:t>
            </w:r>
          </w:p>
        </w:tc>
        <w:tc>
          <w:tcPr>
            <w:tcW w:type="dxa" w:w="686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Figures compiled manually for each request; regulator files prepared under pressure.</w:t>
            </w:r>
          </w:p>
        </w:tc>
      </w:tr>
    </w:tbl>
    <w:p>
      <w:pPr>
        <w:spacing w:after="120"/>
      </w:pPr>
    </w:p>
    <w:p>
      <w:pPr>
        <w:pStyle w:val="Heading1"/>
      </w:pPr>
      <w:r>
        <w:rPr>
          <w:rFonts w:ascii="Calibri" w:cs="Calibri" w:eastAsia="Calibri" w:hAnsi="Calibri"/>
        </w:rPr>
        <w:t xml:space="preserve">5. Business Objectives</w:t>
      </w:r>
    </w:p>
    <w:p>
      <w:pPr>
        <w:spacing w:after="120" w:line="276"/>
        <w:jc w:val="both"/>
      </w:pPr>
      <w:r>
        <w:rPr>
          <w:rFonts w:ascii="Calibri" w:cs="Calibri" w:eastAsia="Calibri" w:hAnsi="Calibri"/>
        </w:rPr>
        <w:t xml:space="preserve">The business objectives are those stated in the Concept Note (Document 01, section 4), objectives O1–O8. Each business requirement below is traced to one or more of them.</w:t>
      </w:r>
    </w:p>
    <w:p>
      <w:pPr>
        <w:pStyle w:val="Heading1"/>
      </w:pPr>
      <w:r>
        <w:rPr>
          <w:rFonts w:ascii="Calibri" w:cs="Calibri" w:eastAsia="Calibri" w:hAnsi="Calibri"/>
        </w:rPr>
        <w:t xml:space="preserve">6. Business Requirements</w:t>
      </w:r>
    </w:p>
    <w:p>
      <w:pPr>
        <w:spacing w:after="120" w:line="276"/>
        <w:jc w:val="both"/>
      </w:pPr>
      <w:r>
        <w:rPr>
          <w:rFonts w:ascii="Calibri" w:cs="Calibri" w:eastAsia="Calibri" w:hAnsi="Calibri"/>
        </w:rPr>
        <w:t xml:space="preserve">Priorities use MoSCoW: </w:t>
      </w:r>
      <w:r>
        <w:rPr>
          <w:rFonts w:ascii="Calibri" w:cs="Calibri" w:eastAsia="Calibri" w:hAnsi="Calibri"/>
          <w:b/>
          <w:bCs/>
        </w:rPr>
        <w:t xml:space="preserve">M</w:t>
      </w:r>
      <w:r>
        <w:rPr>
          <w:rFonts w:ascii="Calibri" w:cs="Calibri" w:eastAsia="Calibri" w:hAnsi="Calibri"/>
        </w:rPr>
        <w:t xml:space="preserve"> = Must have for the release, </w:t>
      </w:r>
      <w:r>
        <w:rPr>
          <w:rFonts w:ascii="Calibri" w:cs="Calibri" w:eastAsia="Calibri" w:hAnsi="Calibri"/>
          <w:b/>
          <w:bCs/>
        </w:rPr>
        <w:t xml:space="preserve">S</w:t>
      </w:r>
      <w:r>
        <w:rPr>
          <w:rFonts w:ascii="Calibri" w:cs="Calibri" w:eastAsia="Calibri" w:hAnsi="Calibri"/>
        </w:rPr>
        <w:t xml:space="preserve"> = Should have, </w:t>
      </w:r>
      <w:r>
        <w:rPr>
          <w:rFonts w:ascii="Calibri" w:cs="Calibri" w:eastAsia="Calibri" w:hAnsi="Calibri"/>
          <w:b/>
          <w:bCs/>
        </w:rPr>
        <w:t xml:space="preserve">C</w:t>
      </w:r>
      <w:r>
        <w:rPr>
          <w:rFonts w:ascii="Calibri" w:cs="Calibri" w:eastAsia="Calibri" w:hAnsi="Calibri"/>
        </w:rPr>
        <w:t xml:space="preserve"> = Could have. The release column refers to the plan in Document 07.</w:t>
      </w:r>
    </w:p>
    <w:p>
      <w:pPr>
        <w:pStyle w:val="Heading2"/>
      </w:pPr>
      <w:r>
        <w:rPr>
          <w:rFonts w:ascii="Calibri" w:cs="Calibri" w:eastAsia="Calibri" w:hAnsi="Calibri"/>
        </w:rPr>
        <w:t xml:space="preserve">6.1 Admissions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5596"/>
        <w:gridCol w:w="631"/>
        <w:gridCol w:w="812"/>
        <w:gridCol w:w="1085"/>
      </w:tblGrid>
      <w:tr>
        <w:trPr>
          <w:tblHeader/>
        </w:trPr>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59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Requirement</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Obj.</w:t>
            </w:r>
          </w:p>
        </w:tc>
        <w:tc>
          <w:tcPr>
            <w:tcW w:type="dxa" w:w="10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BR-01</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Each institution shall have its own branded online admission portal on its own web address, available on mobile phones and computers.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O1</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BR-02</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institution shall configure admission windows per academic year and intake (e.g. September, March), programmes on offer, capacity per programme and application fees.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O1</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BR-03</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check each applicant automatically against the NACTVET minimum entry requirements for the chosen programme and NTA/NVA level, including CSEE, ACSEE, prior NTA/NVA awards and equivalent qualifications.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O1, O2</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BR-04</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retrieve and verify secondary school results from NECTA and prior NTA awards using the AVN, reducing reliance on uploaded certificates.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O2</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BR-05</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Applicants shall pay application fees through GePG control numbers, with the application released for processing only after payment is confirmed.</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O1, O5</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BR-06</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institution shall rank and select eligible applicants within approved capacity, generate admission letters and joining instructions, and record offer acceptance.</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O1</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BR-07</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produce the NACTVET verification submission for selected applicants, record the verification outcome and confirmation code, and manage applicants admitted by more than one institution.</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O2</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BR-08</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import students selected for the institution by external bodies (e.g. TAMISEMI selections) where applicable.</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O1</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bl>
    <w:p>
      <w:pPr>
        <w:spacing w:after="120"/>
      </w:pPr>
    </w:p>
    <w:p>
      <w:pPr>
        <w:pStyle w:val="Heading2"/>
      </w:pPr>
      <w:r>
        <w:rPr>
          <w:rFonts w:ascii="Calibri" w:cs="Calibri" w:eastAsia="Calibri" w:hAnsi="Calibri"/>
        </w:rPr>
        <w:t xml:space="preserve">6.2 Student registry and academic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5596"/>
        <w:gridCol w:w="631"/>
        <w:gridCol w:w="812"/>
        <w:gridCol w:w="1085"/>
      </w:tblGrid>
      <w:tr>
        <w:trPr>
          <w:tblHeader/>
        </w:trPr>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59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Requirement</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Obj.</w:t>
            </w:r>
          </w:p>
        </w:tc>
        <w:tc>
          <w:tcPr>
            <w:tcW w:type="dxa" w:w="10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BR-09</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maintain one record per student from admission to graduation, reused by all offices, with a unique registration number in the institution's configured format.</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O3</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BR-10</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manage semester/annual registration, with academic and financial conditions checked before approval.</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O3</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BR-11</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track student status changes (active, postponed, suspended, discontinued, withdrawn, completed, graduated, deceased) with reasons, approvals and effective dates.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O3</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BR-12</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institution shall define departments, programmes, award levels (NVA I–III, NTA 4–8), curricula, modules/units, credits, academic years, semesters and intakes.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O3, O4</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BR-13</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support multiple campuses and programme transfers while keeping a full history.</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O3</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bl>
    <w:p>
      <w:pPr>
        <w:spacing w:after="120"/>
      </w:pPr>
    </w:p>
    <w:p>
      <w:pPr>
        <w:pStyle w:val="Heading2"/>
      </w:pPr>
      <w:r>
        <w:rPr>
          <w:rFonts w:ascii="Calibri" w:cs="Calibri" w:eastAsia="Calibri" w:hAnsi="Calibri"/>
        </w:rPr>
        <w:t xml:space="preserve">6.3 Teaching, assessment and examinations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5596"/>
        <w:gridCol w:w="631"/>
        <w:gridCol w:w="812"/>
        <w:gridCol w:w="1085"/>
      </w:tblGrid>
      <w:tr>
        <w:trPr>
          <w:tblHeader/>
        </w:trPr>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59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Requirement</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Obj.</w:t>
            </w:r>
          </w:p>
        </w:tc>
        <w:tc>
          <w:tcPr>
            <w:tcW w:type="dxa" w:w="10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BR-14</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Departments shall allocate modules to lecturers/assessors each semester; lecturers shall see only their allocated classes.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O4</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BR-15</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Lecturers shall record attendance; the system shall flag students below the institution's attendance threshold (e.g. 75%) for examination eligibility.</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O4</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BR-16</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support NTA assessment (CA and SE components with configurable weights and pass thresholds) and NVA competence-based assessment (practical tasks, workplace assessment, trade tests, competent/not yet competent).</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O4</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BR-17</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Marks shall pass through the approval stages set by the institution (e.g. Head of Department → Department Board → Academic Committee → Governing Board) before publication, and be locked after approval.</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O4</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BR-18</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compute grades, semester/annual/cumulative GPA, award classification and progression decisions (pass, supplementary, special examination, carry-over, repeat, discontinuation) from configurable regulations per award level.</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O4</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BR-19</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publish approved results to students and produce NACTVET results submissions in the required format.</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O4, O7</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BR-20</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support remarking/appeal requests with fees, decisions and audit trail.</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O4</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BR-21</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manage IPT placements, supervisors, logbooks and IPT assessment results.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O6</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bl>
    <w:p>
      <w:pPr>
        <w:spacing w:after="120"/>
      </w:pPr>
    </w:p>
    <w:p>
      <w:pPr>
        <w:pStyle w:val="Heading2"/>
      </w:pPr>
      <w:r>
        <w:rPr>
          <w:rFonts w:ascii="Calibri" w:cs="Calibri" w:eastAsia="Calibri" w:hAnsi="Calibri"/>
        </w:rPr>
        <w:t xml:space="preserve">6.4 Finance and 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5596"/>
        <w:gridCol w:w="631"/>
        <w:gridCol w:w="812"/>
        <w:gridCol w:w="1085"/>
      </w:tblGrid>
      <w:tr>
        <w:trPr>
          <w:tblHeader/>
        </w:trPr>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59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Requirement</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Obj.</w:t>
            </w:r>
          </w:p>
        </w:tc>
        <w:tc>
          <w:tcPr>
            <w:tcW w:type="dxa" w:w="10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BR-22</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institution shall configure fee structures by programme, award level, year of study, intake, nationality and category, with fee items (tuition, examination, registration, hostel, caution money, etc.).</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O5</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BR-23</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issue itemised invoices, obtain GePG control numbers automatically, receive payment notifications, issue receipts and update balances without manual matching.</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O5</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BR-24</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support instalment plans, waivers, discounts, scholarships, sponsor and HESLB payments, penalties, credit notes and refunds, each with approval and audit trail.</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O5</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BR-25</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reconcile collections daily against GePG/bank statements and report exceptions.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O5</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BR-26</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Financial clearance gates (registration, examinations, results release, hostel, graduation) shall be configurable per institution.</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O5</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BR-27</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export summarised fee postings to MUSE or the institution's accounting system.</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O5</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bl>
    <w:p>
      <w:pPr>
        <w:spacing w:after="120"/>
      </w:pPr>
    </w:p>
    <w:p>
      <w:pPr>
        <w:pStyle w:val="Heading2"/>
      </w:pPr>
      <w:r>
        <w:rPr>
          <w:rFonts w:ascii="Calibri" w:cs="Calibri" w:eastAsia="Calibri" w:hAnsi="Calibri"/>
        </w:rPr>
        <w:t xml:space="preserve">6.5 Hostel, clearance and graduation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5596"/>
        <w:gridCol w:w="631"/>
        <w:gridCol w:w="812"/>
        <w:gridCol w:w="1085"/>
      </w:tblGrid>
      <w:tr>
        <w:trPr>
          <w:tblHeader/>
        </w:trPr>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59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Requirement</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Obj.</w:t>
            </w:r>
          </w:p>
        </w:tc>
        <w:tc>
          <w:tcPr>
            <w:tcW w:type="dxa" w:w="10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BR-28</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institution shall manage hostels, blocks, rooms and beds; receive hostel applications; allocate beds by gender, priority and payment status; record check-in/out, damages and maintenance requests.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O6</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BR-29</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Students shall complete clearance online across configured offices (department, library, hostel, finance, sports, etc.).</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O6</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BR-30</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produce graduation lists, transcripts, statements of results and certificates with a QR code that third parties can verify online.</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O4, O6</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R2/R3</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BR-31</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keep alumni contact details and support graduate tracer surveys.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C</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O7</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R3</w:t>
            </w:r>
          </w:p>
        </w:tc>
      </w:tr>
    </w:tbl>
    <w:p>
      <w:pPr>
        <w:spacing w:after="120"/>
      </w:pPr>
    </w:p>
    <w:p>
      <w:pPr>
        <w:pStyle w:val="Heading2"/>
      </w:pPr>
      <w:r>
        <w:rPr>
          <w:rFonts w:ascii="Calibri" w:cs="Calibri" w:eastAsia="Calibri" w:hAnsi="Calibri"/>
        </w:rPr>
        <w:t xml:space="preserve">6.6 Self-service, communication and reporting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5596"/>
        <w:gridCol w:w="631"/>
        <w:gridCol w:w="812"/>
        <w:gridCol w:w="1085"/>
      </w:tblGrid>
      <w:tr>
        <w:trPr>
          <w:tblHeader/>
        </w:trPr>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59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Requirement</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Obj.</w:t>
            </w:r>
          </w:p>
        </w:tc>
        <w:tc>
          <w:tcPr>
            <w:tcW w:type="dxa" w:w="10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BR-32</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Students shall have a mobile-friendly self-service portal for registration, invoices, payments, results, hostel, clearance, documents and notices.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O3</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R1–R3</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BR-33</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send SMS, email and in-app notifications at key events and support targeted bulk messages, in English and Kiswahili.</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O1</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BR-34</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provide role-based dashboards and a standard report catalogue in PDF and Excel, including regulator returns.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O7</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R1–R3</w:t>
            </w:r>
          </w:p>
        </w:tc>
      </w:tr>
    </w:tbl>
    <w:p>
      <w:pPr>
        <w:spacing w:after="120"/>
      </w:pPr>
    </w:p>
    <w:p>
      <w:pPr>
        <w:pStyle w:val="Heading2"/>
      </w:pPr>
      <w:r>
        <w:rPr>
          <w:rFonts w:ascii="Calibri" w:cs="Calibri" w:eastAsia="Calibri" w:hAnsi="Calibri"/>
        </w:rPr>
        <w:t xml:space="preserve">6.7 Platform, security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5596"/>
        <w:gridCol w:w="631"/>
        <w:gridCol w:w="812"/>
        <w:gridCol w:w="1085"/>
      </w:tblGrid>
      <w:tr>
        <w:trPr>
          <w:tblHeader/>
        </w:trPr>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559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Requirement</w:t>
            </w:r>
          </w:p>
        </w:tc>
        <w:tc>
          <w:tcPr>
            <w:tcW w:type="dxa" w:w="63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Pri.</w:t>
            </w:r>
          </w:p>
        </w:tc>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Obj.</w:t>
            </w:r>
          </w:p>
        </w:tc>
        <w:tc>
          <w:tcPr>
            <w:tcW w:type="dxa" w:w="1085"/>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Release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BR-35</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platform shall serve many institutions, each fully isolated, with its own branding, domain, regulations, fees, users and data.</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BR-36</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Access shall be role-based and scoped (e.g. a Head of Department sees only their department), with multi-factor authentication for privileged users.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O8</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BR-37</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 sensitive actions (admission decisions, mark changes, fee adjustments, status changes) shall be recorded in a tamper-evident audit trail.</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O8</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BR-38</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Personal data shall be processed in line with PDPA 2022: lawful basis and consent notices, purpose limitation, access controls, retention periods and data subject requests.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O8</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BR-39</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Existing student, programme, result and balance data shall be migrated with validation and sign-off.</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O3</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R1–R2</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BR-40</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user interface shall be available in English and Kiswahili.</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O1</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BR-41</w:t>
            </w:r>
          </w:p>
        </w:tc>
        <w:tc>
          <w:tcPr>
            <w:tcW w:type="dxa" w:w="559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system shall expose documented APIs for integration with external and institutional systems.</w:t>
            </w:r>
          </w:p>
        </w:tc>
        <w:tc>
          <w:tcPr>
            <w:tcW w:type="dxa" w:w="63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w:t>
            </w:r>
          </w:p>
        </w:tc>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w:t>
            </w:r>
          </w:p>
        </w:tc>
        <w:tc>
          <w:tcPr>
            <w:tcW w:type="dxa" w:w="1085"/>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R1–R3</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BR-42</w:t>
            </w:r>
          </w:p>
        </w:tc>
        <w:tc>
          <w:tcPr>
            <w:tcW w:type="dxa" w:w="559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The service shall be available during the published service hours with defined support levels (see Document 03, non-functional requirements).</w:t>
            </w:r>
          </w:p>
        </w:tc>
        <w:tc>
          <w:tcPr>
            <w:tcW w:type="dxa" w:w="63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w:t>
            </w:r>
          </w:p>
        </w:tc>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w:t>
            </w:r>
          </w:p>
        </w:tc>
        <w:tc>
          <w:tcPr>
            <w:tcW w:type="dxa" w:w="1085"/>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R1</w:t>
            </w:r>
          </w:p>
        </w:tc>
      </w:tr>
    </w:tbl>
    <w:p>
      <w:pPr>
        <w:spacing w:after="120"/>
      </w:pPr>
    </w:p>
    <w:p>
      <w:pPr>
        <w:pStyle w:val="Heading2"/>
      </w:pPr>
      <w:r>
        <w:rPr>
          <w:rFonts w:ascii="Calibri" w:cs="Calibri" w:eastAsia="Calibri" w:hAnsi="Calibri"/>
        </w:rPr>
        <w:t xml:space="preserve">6.8 Implementation status (October 2026)</w:t>
      </w:r>
    </w:p>
    <w:p>
      <w:pPr>
        <w:spacing w:after="120" w:line="276"/>
        <w:jc w:val="both"/>
      </w:pPr>
      <w:r>
        <w:rPr>
          <w:rFonts w:ascii="Calibri" w:cs="Calibri" w:eastAsia="Calibri" w:hAnsi="Calibri"/>
        </w:rPr>
        <w:t xml:space="preserve">The requirements above remain the baseline. This table records, for version 3.0, how far the system as built meets each one. </w:t>
      </w:r>
      <w:r>
        <w:rPr>
          <w:rFonts w:ascii="Calibri" w:cs="Calibri" w:eastAsia="Calibri" w:hAnsi="Calibri"/>
          <w:b/>
          <w:bCs/>
        </w:rPr>
        <w:t xml:space="preserve">Built</w:t>
      </w:r>
      <w:r>
        <w:rPr>
          <w:rFonts w:ascii="Calibri" w:cs="Calibri" w:eastAsia="Calibri" w:hAnsi="Calibri"/>
        </w:rPr>
        <w:t xml:space="preserve">: in the system and covered by automated tests. </w:t>
      </w:r>
      <w:r>
        <w:rPr>
          <w:rFonts w:ascii="Calibri" w:cs="Calibri" w:eastAsia="Calibri" w:hAnsi="Calibri"/>
          <w:b/>
          <w:bCs/>
        </w:rPr>
        <w:t xml:space="preserve">Partly built</w:t>
      </w:r>
      <w:r>
        <w:rPr>
          <w:rFonts w:ascii="Calibri" w:cs="Calibri" w:eastAsia="Calibri" w:hAnsi="Calibri"/>
        </w:rPr>
        <w:t xml:space="preserve">: usable, with the gap stated. </w:t>
      </w:r>
      <w:r>
        <w:rPr>
          <w:rFonts w:ascii="Calibri" w:cs="Calibri" w:eastAsia="Calibri" w:hAnsi="Calibri"/>
          <w:b/>
          <w:bCs/>
        </w:rPr>
        <w:t xml:space="preserve">Not yet built</w:t>
      </w:r>
      <w:r>
        <w:rPr>
          <w:rFonts w:ascii="Calibri" w:cs="Calibri" w:eastAsia="Calibri" w:hAnsi="Calibri"/>
        </w:rPr>
        <w:t xml:space="preserve">: planned, not in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12"/>
        <w:gridCol w:w="1173"/>
        <w:gridCol w:w="7041"/>
      </w:tblGrid>
      <w:tr>
        <w:trPr>
          <w:tblHeader/>
          <w:cantSplit/>
        </w:trPr>
        <w:tc>
          <w:tcPr>
            <w:tcW w:type="dxa" w:w="81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ID</w:t>
            </w:r>
          </w:p>
        </w:tc>
        <w:tc>
          <w:tcPr>
            <w:tcW w:type="dxa" w:w="1173"/>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Status</w:t>
            </w:r>
          </w:p>
        </w:tc>
        <w:tc>
          <w:tcPr>
            <w:tcW w:type="dxa" w:w="7041"/>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How the system meets it / what remains</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BR-01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Each institution has its own admission portal on its own web addresses (the institution is found from the host name), mobile-first, with its campus photo and a How to apply guide.</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BR-02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Admission windows per academic year and intake with programmes, capacity and application fee; published to open on a date, opened, closed early with a reason, reopened, extended and closed automatically.</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BR-03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NACTVET minimum entry rules per programme as JSON rules; CSEE and ACSEE from NECTA, NTA awards from NACTVET, NVA and other awards checked by the Admissions Office; programmes offered by the applicant's entry level.</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BR-04</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Secondary results fetched from NECTA at sign-up and for other sittings. NTA awards are fetched from NACTVET's particulars service by registration number and graduation year (how NACTVET's service works) rather than by AVN.</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BR-05</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GePG control number for the application fee; the application can be submitted only after payment. GePG is simulated until live access is granted.</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BR-06</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Merit ranking, stable allocation across choices within capacity, committee review and approval, admission letters with joining instructions and QR code, offer acceptance and decline.</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BR-07</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Submission by API or NACTVET template file, outcomes, queries and resubmission, verification numbers, multiple-admission confirmation code. NACTVET's live API endpoints are awaited (a tested adapter is ready).</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BR-08</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yet 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Import of externally selected students (e.g. TAMISEMI).</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BR-09</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student record from the accepted application; registration number from a configurable pattern, never changed or reused (enforced by the database).</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BR-10</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Semester registration in the student portal with core and elective modules, fee clearance checked, Registry approval or return.</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BR-11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Postponement, resumption, suspension, discontinuation, withdrawal and death with reason, effective date, Head of Department recommendation and Deputy Principal decision; completion and graduation come from the graduation process.</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BR-12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Departments, NVA I–III and NTA 4–8 programmes, versioned curricula, modules with credits, academic years, semesters and intakes.</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BR-13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yet 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Multiple campuses and programme transfers.</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BR-14</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Lecturers allocated to module offerings each semester see only their modules (My teaching).</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BR-15</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Attendance per session, percentage per student, SMS warning below the threshold (default 75%), used in examination eligibility.</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BR-16</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NTA: CA and SE with weights and component pass marks from the regulations. NVA: tasks per unit, competent / not yet competent with evidence, re-assessment attempts.</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BR-17</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Head of Department → Department Board (optional) → Academic Committee → Governing Board, then the database refuses changes. The stages are fixed in the software rather than configured per institution.</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BR-18</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Grades, semester GPA, CGPA, classification and proposed decisions (pass, supplementary, special examination, incomplete, repeat, discontinue; carry over after resits) from regulations per award level.</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BR-19</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Publication to the student portal with SMS is built. NACTVET results files are produced in an indicative layout until NACTVET's template is confirmed.</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BR-20</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Remarks and appeals with fee, examiner assignment (conflict of interest refused), outcome and amendment.</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BR-21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Placements, supervisors, numbered letters, weekly logbook, visits and IPT marks sent to results.</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BR-22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Fee items with GFS codes; fee structures per programme, year of study and academic year with local and foreign amounts and instalments. Intake and student category are not separate dimensions yet.</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BR-23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Itemised invoices, control numbers, payment notifications, allocation, receipts and balances without manual matching (GePG simulated until live access).</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BR-24</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Sponsors (including HESLB as a sponsor), waivers as credit notes, refunds with vouchers and two-level approval are built; instalments are part of fee structures. Penalties, discounts and instalment reminders are not.</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BR-25</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Daily GePG reconciliation with exceptions and monthly sign-off is built; bank statement reconciliation is not.</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BR-26</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Clearance gates for registration, examinations, results, hostel and graduation, configured per institution.</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BR-27</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 postings file (CSV) for any date range; a MUSE interface is not built.</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BR-28</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Hostels, rooms and beds with gender rules, applications, allocation by priority and payment, check-in and check-out with damages, repairs.</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BR-29</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Online clearance across configured offices; finance clears itself when nothing is owed.</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BR-30</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Graduand lists, statements of results and provisional transcripts, numbered certificates, each with a QR code checked on the public verification page.</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BR-31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yet 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Alumni contacts and tracer surveys.</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BR-32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Installable student portal for registration, invoices, payments, results, hostel, IPT, clearance, documents and notices, with a list of what to do next.</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BR-33</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SMS for 44 events and bulk messages, and in-app notices, in English and Kiswahili; email is not built.</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BR-34</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Role dashboards and landing pages, 35 standard reports in Excel and PDF, NACTVET files.</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BR-35</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One platform for many institutions, each isolated by PostgreSQL row-level security, with its own addresses, branding, regulations, fees, users and data.</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BR-36</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Roles with department, programme, hostel, sponsor and IPT scopes are built; multi-factor authentication is not.</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BR-37</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Audit trail of sensitive actions that the database keeps append-only (updates and deletes refused); a hash chain to prove tamper evidence is not yet added.</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BR-38</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Consent to the privacy notice is recorded at sign-up with the notice version and time; role-based access, personal data hidden from management views and masked in logs, exports recorded. Retention periods and data subject request handling are not built.</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BR-39</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yet 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Data migration tools with validation reports.</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BR-40</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The admission and student portals are in English and Kiswahili; the staff back-office is in English.</w:t>
            </w:r>
          </w:p>
        </w:tc>
      </w:tr>
      <w:tr>
        <w:trPr>
          <w:cantSplit/>
        </w:trPr>
        <w:tc>
          <w:tcPr>
            <w:tcW w:type="dxa" w:w="81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BR-41</w:t>
            </w:r>
          </w:p>
        </w:tc>
        <w:tc>
          <w:tcPr>
            <w:tcW w:type="dxa" w:w="1173"/>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Partly built</w:t>
            </w:r>
          </w:p>
        </w:tc>
        <w:tc>
          <w:tcPr>
            <w:tcW w:type="dxa" w:w="7041"/>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The REST API is documented (OpenAPI); approved third-party access (OAuth2 clients) is not built.</w:t>
            </w:r>
          </w:p>
        </w:tc>
      </w:tr>
      <w:tr>
        <w:trPr>
          <w:cantSplit/>
        </w:trPr>
        <w:tc>
          <w:tcPr>
            <w:tcW w:type="dxa" w:w="81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BR-42</w:t>
            </w:r>
          </w:p>
        </w:tc>
        <w:tc>
          <w:tcPr>
            <w:tcW w:type="dxa" w:w="1173"/>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yet built</w:t>
            </w:r>
          </w:p>
        </w:tc>
        <w:tc>
          <w:tcPr>
            <w:tcW w:type="dxa" w:w="7041"/>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Production hosting, monitoring and the support desk are set up at go-live (Document 07).</w:t>
            </w:r>
          </w:p>
        </w:tc>
      </w:tr>
    </w:tbl>
    <w:p>
      <w:pPr>
        <w:spacing w:after="120"/>
      </w:pPr>
    </w:p>
    <w:p>
      <w:pPr>
        <w:spacing w:after="120" w:line="276"/>
        <w:jc w:val="both"/>
      </w:pPr>
      <w:r>
        <w:rPr>
          <w:rFonts w:ascii="Calibri" w:cs="Calibri" w:eastAsia="Calibri" w:hAnsi="Calibri"/>
        </w:rPr>
        <w:t xml:space="preserve">In total </w:t>
      </w:r>
      <w:r>
        <w:rPr>
          <w:rFonts w:ascii="Calibri" w:cs="Calibri" w:eastAsia="Calibri" w:hAnsi="Calibri"/>
          <w:b/>
          <w:bCs/>
        </w:rPr>
        <w:t xml:space="preserve">27</w:t>
      </w:r>
      <w:r>
        <w:rPr>
          <w:rFonts w:ascii="Calibri" w:cs="Calibri" w:eastAsia="Calibri" w:hAnsi="Calibri"/>
        </w:rPr>
        <w:t xml:space="preserve"> requirements are built, </w:t>
      </w:r>
      <w:r>
        <w:rPr>
          <w:rFonts w:ascii="Calibri" w:cs="Calibri" w:eastAsia="Calibri" w:hAnsi="Calibri"/>
          <w:b/>
          <w:bCs/>
        </w:rPr>
        <w:t xml:space="preserve">10</w:t>
      </w:r>
      <w:r>
        <w:rPr>
          <w:rFonts w:ascii="Calibri" w:cs="Calibri" w:eastAsia="Calibri" w:hAnsi="Calibri"/>
        </w:rPr>
        <w:t xml:space="preserve"> partly built and </w:t>
      </w:r>
      <w:r>
        <w:rPr>
          <w:rFonts w:ascii="Calibri" w:cs="Calibri" w:eastAsia="Calibri" w:hAnsi="Calibri"/>
          <w:b/>
          <w:bCs/>
        </w:rPr>
        <w:t xml:space="preserve">5</w:t>
      </w:r>
      <w:r>
        <w:rPr>
          <w:rFonts w:ascii="Calibri" w:cs="Calibri" w:eastAsia="Calibri" w:hAnsi="Calibri"/>
        </w:rPr>
        <w:t xml:space="preserve"> not yet built. Most gaps depend on outside access (live GePG, NACTVET and SMS connections) or are planned for the pilot phase (multi-factor authentication, migration tools, email).</w:t>
      </w:r>
    </w:p>
    <w:p>
      <w:pPr>
        <w:pStyle w:val="Heading1"/>
      </w:pPr>
      <w:r>
        <w:rPr>
          <w:rFonts w:ascii="Calibri" w:cs="Calibri" w:eastAsia="Calibri" w:hAnsi="Calibri"/>
        </w:rPr>
        <w:t xml:space="preserve">7. Business Rules</w:t>
      </w:r>
    </w:p>
    <w:p>
      <w:pPr>
        <w:spacing w:after="120" w:line="276"/>
        <w:jc w:val="both"/>
      </w:pPr>
      <w:r>
        <w:rPr>
          <w:rFonts w:ascii="Calibri" w:cs="Calibri" w:eastAsia="Calibri" w:hAnsi="Calibri"/>
        </w:rPr>
        <w:t xml:space="preserve">Business rules are policies the system must enforce. Values shown as examples are configured by each institution in line with its NACTVET-approved regulations.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
        <w:gridCol w:w="8124"/>
      </w:tblGrid>
      <w:tr>
        <w:trPr>
          <w:tblHeader/>
        </w:trPr>
        <w:tc>
          <w:tcPr>
            <w:tcW w:type="dxa" w:w="90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ID</w:t>
            </w:r>
          </w:p>
        </w:tc>
        <w:tc>
          <w:tcPr>
            <w:tcW w:type="dxa" w:w="812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7"/>
                <w:szCs w:val="17"/>
              </w:rPr>
              <w:t xml:space="preserve">Rule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BRU-01</w:t>
            </w:r>
          </w:p>
        </w:tc>
        <w:tc>
          <w:tcPr>
            <w:tcW w:type="dxa" w:w="81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An application is processed only after the application fee is confirmed paid through GePG (unless the window is configured as free).</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BRU-02</w:t>
            </w:r>
          </w:p>
        </w:tc>
        <w:tc>
          <w:tcPr>
            <w:tcW w:type="dxa" w:w="81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An applicant may be selected only for a programme whose NACTVET minimum entry requirements they meet, verified from NECTA results, AVN or approved equivalence.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BRU-03</w:t>
            </w:r>
          </w:p>
        </w:tc>
        <w:tc>
          <w:tcPr>
            <w:tcW w:type="dxa" w:w="81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Selections may not exceed the approved capacity for the programme and intake.</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BRU-04</w:t>
            </w:r>
          </w:p>
        </w:tc>
        <w:tc>
          <w:tcPr>
            <w:tcW w:type="dxa" w:w="81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An applicant becomes a student only after NACTVET verification is confirmed (or recorded as pending with documented approval) and registration is approved by the Registry.</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BRU-05</w:t>
            </w:r>
          </w:p>
        </w:tc>
        <w:tc>
          <w:tcPr>
            <w:tcW w:type="dxa" w:w="81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An applicant admitted by more than one institution is registered only after confirming this institution.</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BRU-06</w:t>
            </w:r>
          </w:p>
        </w:tc>
        <w:tc>
          <w:tcPr>
            <w:tcW w:type="dxa" w:w="81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Each student has exactly one registration number, which is never reused.</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BRU-07</w:t>
            </w:r>
          </w:p>
        </w:tc>
        <w:tc>
          <w:tcPr>
            <w:tcW w:type="dxa" w:w="81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student must be registered for the semester to appear on class lists, attendance registers and examination lists.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BRU-08</w:t>
            </w:r>
          </w:p>
        </w:tc>
        <w:tc>
          <w:tcPr>
            <w:tcW w:type="dxa" w:w="81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student may sit for the semester examination only if attendance meets the configured threshold (e.g. 75%), CA requirements are met and financial clearance is granted.</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BRU-09</w:t>
            </w:r>
          </w:p>
        </w:tc>
        <w:tc>
          <w:tcPr>
            <w:tcW w:type="dxa" w:w="81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NTA module results combine CA and SE according to configured weights (e.g. CA 40%, SE 60%) and pass thresholds for each component.</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BRU-10</w:t>
            </w:r>
          </w:p>
        </w:tc>
        <w:tc>
          <w:tcPr>
            <w:tcW w:type="dxa" w:w="81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Grades and grade points follow the scale configured for the award level; award classifications follow configured GPA bands.</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BRU-11</w:t>
            </w:r>
          </w:p>
        </w:tc>
        <w:tc>
          <w:tcPr>
            <w:tcW w:type="dxa" w:w="81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Supplementary or carry-over results are capped at the configured maximum grade (e.g. C).</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BRU-12</w:t>
            </w:r>
          </w:p>
        </w:tc>
        <w:tc>
          <w:tcPr>
            <w:tcW w:type="dxa" w:w="81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Progression decisions (pass, supplementary, carry-over, repeat, discontinuation) follow the configured regulations and are confirmed by the approving bodies.</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BRU-13</w:t>
            </w:r>
          </w:p>
        </w:tc>
        <w:tc>
          <w:tcPr>
            <w:tcW w:type="dxa" w:w="81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Marks move only forward through approval stages; returning marks requires a reason. Approved results are locked; any later change requires an authorised amendment with reason, approval and audit trail.</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BRU-14</w:t>
            </w:r>
          </w:p>
        </w:tc>
        <w:tc>
          <w:tcPr>
            <w:tcW w:type="dxa" w:w="81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Results are released to a student only after publication and, if configured, financial clearance.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BRU-15</w:t>
            </w:r>
          </w:p>
        </w:tc>
        <w:tc>
          <w:tcPr>
            <w:tcW w:type="dxa" w:w="81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All fee collections use GePG control numbers (or another approved channel configured by the institution); cash receipts are not issued by the system.</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BRU-16</w:t>
            </w:r>
          </w:p>
        </w:tc>
        <w:tc>
          <w:tcPr>
            <w:tcW w:type="dxa" w:w="81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Receipts, invoices and financial records are never deleted; corrections are made by reversal or credit note with approval.</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BRU-17</w:t>
            </w:r>
          </w:p>
        </w:tc>
        <w:tc>
          <w:tcPr>
            <w:tcW w:type="dxa" w:w="81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Waivers, discounts and refunds above configured thresholds require a second approver.</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BRU-18</w:t>
            </w:r>
          </w:p>
        </w:tc>
        <w:tc>
          <w:tcPr>
            <w:tcW w:type="dxa" w:w="81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bed may hold only one active allocation at a time; allocation respects hostel gender designation.</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BRU-19</w:t>
            </w:r>
          </w:p>
        </w:tc>
        <w:tc>
          <w:tcPr>
            <w:tcW w:type="dxa" w:w="81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student cannot be cleared for graduation while any clearance office has an outstanding obligation.</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BRU-20</w:t>
            </w:r>
          </w:p>
        </w:tc>
        <w:tc>
          <w:tcPr>
            <w:tcW w:type="dxa" w:w="81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A transcript or certificate is issued only for an approved award and carries a unique verification code.</w:t>
            </w:r>
          </w:p>
        </w:tc>
      </w:tr>
      <w:tr>
        <w:trPr>
          <w:cantSplit/>
        </w:trPr>
        <w:tc>
          <w:tcPr>
            <w:tcW w:type="dxa" w:w="90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BRU-21</w:t>
            </w:r>
          </w:p>
        </w:tc>
        <w:tc>
          <w:tcPr>
            <w:tcW w:type="dxa" w:w="812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Users can access data only within their assigned role and scope (institution, campus, department, programme or class).</w:t>
            </w:r>
          </w:p>
        </w:tc>
      </w:tr>
      <w:tr>
        <w:trPr>
          <w:cantSplit/>
        </w:trPr>
        <w:tc>
          <w:tcPr>
            <w:tcW w:type="dxa" w:w="90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BRU-22</w:t>
            </w:r>
          </w:p>
        </w:tc>
        <w:tc>
          <w:tcPr>
            <w:tcW w:type="dxa" w:w="812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7"/>
                <w:szCs w:val="17"/>
              </w:rPr>
              <w:t xml:space="preserve">Personal data is retained only for the configured retention period; applicant data of non-admitted applicants is anonymised after the retention period.</w:t>
            </w:r>
          </w:p>
        </w:tc>
      </w:tr>
    </w:tbl>
    <w:p>
      <w:pPr>
        <w:spacing w:after="120"/>
      </w:pPr>
    </w:p>
    <w:p>
      <w:pPr>
        <w:pStyle w:val="Heading2"/>
      </w:pPr>
      <w:r>
        <w:rPr>
          <w:rFonts w:ascii="Calibri" w:cs="Calibri" w:eastAsia="Calibri" w:hAnsi="Calibri"/>
        </w:rPr>
        <w:t xml:space="preserve">7.1 How the rules are enforced (as built)</w:t>
      </w:r>
    </w:p>
    <w:p>
      <w:pPr>
        <w:spacing w:after="120" w:line="276"/>
        <w:jc w:val="both"/>
      </w:pPr>
      <w:r>
        <w:rPr>
          <w:rFonts w:ascii="Calibri" w:cs="Calibri" w:eastAsia="Calibri" w:hAnsi="Calibri"/>
        </w:rPr>
        <w:t xml:space="preserve">Where a rule matters most, the database enforces it as well as the application, so it holds even if a programming error bypasses a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2"/>
        <w:gridCol w:w="8034"/>
      </w:tblGrid>
      <w:tr>
        <w:trPr>
          <w:tblHeader/>
          <w:cantSplit/>
        </w:trPr>
        <w:tc>
          <w:tcPr>
            <w:tcW w:type="dxa" w:w="992"/>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Rule</w:t>
            </w:r>
          </w:p>
        </w:tc>
        <w:tc>
          <w:tcPr>
            <w:tcW w:type="dxa" w:w="8034"/>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6"/>
                <w:szCs w:val="16"/>
              </w:rPr>
              <w:t xml:space="preserve">Enforcement in the system</w:t>
            </w:r>
          </w:p>
        </w:tc>
      </w:tr>
      <w:tr>
        <w:trPr>
          <w:cantSplit/>
        </w:trPr>
        <w:tc>
          <w:tcPr>
            <w:tcW w:type="dxa" w:w="99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BRU-01</w:t>
            </w:r>
          </w:p>
        </w:tc>
        <w:tc>
          <w:tcPr>
            <w:tcW w:type="dxa" w:w="80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An application can be submitted only once the fee is marked paid by the payment event.</w:t>
            </w:r>
          </w:p>
        </w:tc>
      </w:tr>
      <w:tr>
        <w:trPr>
          <w:cantSplit/>
        </w:trPr>
        <w:tc>
          <w:tcPr>
            <w:tcW w:type="dxa" w:w="9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BRU-02</w:t>
            </w:r>
          </w:p>
        </w:tc>
        <w:tc>
          <w:tcPr>
            <w:tcW w:type="dxa" w:w="80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Selection considers only eligible choices; awards checked by the office count only once verified.</w:t>
            </w:r>
          </w:p>
        </w:tc>
      </w:tr>
      <w:tr>
        <w:trPr>
          <w:cantSplit/>
        </w:trPr>
        <w:tc>
          <w:tcPr>
            <w:tcW w:type="dxa" w:w="99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BRU-03</w:t>
            </w:r>
          </w:p>
        </w:tc>
        <w:tc>
          <w:tcPr>
            <w:tcW w:type="dxa" w:w="80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Allocation fills places per window programme up to its capacity.</w:t>
            </w:r>
          </w:p>
        </w:tc>
      </w:tr>
      <w:tr>
        <w:trPr>
          <w:cantSplit/>
        </w:trPr>
        <w:tc>
          <w:tcPr>
            <w:tcW w:type="dxa" w:w="9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BRU-04</w:t>
            </w:r>
          </w:p>
        </w:tc>
        <w:tc>
          <w:tcPr>
            <w:tcW w:type="dxa" w:w="80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Hand-over is allowed only for accepted offers, which require NACTVET verification; Registry approval of first registration makes the student active. Recording admission while verification is pending is not supported.</w:t>
            </w:r>
          </w:p>
        </w:tc>
      </w:tr>
      <w:tr>
        <w:trPr>
          <w:cantSplit/>
        </w:trPr>
        <w:tc>
          <w:tcPr>
            <w:tcW w:type="dxa" w:w="99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BRU-05</w:t>
            </w:r>
          </w:p>
        </w:tc>
        <w:tc>
          <w:tcPr>
            <w:tcW w:type="dxa" w:w="80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Acceptance by a multiple-admission applicant needs NACTVET's confirmation code, with limited attempts.</w:t>
            </w:r>
          </w:p>
        </w:tc>
      </w:tr>
      <w:tr>
        <w:trPr>
          <w:cantSplit/>
        </w:trPr>
        <w:tc>
          <w:tcPr>
            <w:tcW w:type="dxa" w:w="9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BRU-06</w:t>
            </w:r>
          </w:p>
        </w:tc>
        <w:tc>
          <w:tcPr>
            <w:tcW w:type="dxa" w:w="80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Unique index on the registration number and a database trigger that refuses changing it or deleting a student.</w:t>
            </w:r>
          </w:p>
        </w:tc>
      </w:tr>
      <w:tr>
        <w:trPr>
          <w:cantSplit/>
        </w:trPr>
        <w:tc>
          <w:tcPr>
            <w:tcW w:type="dxa" w:w="99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BRU-07</w:t>
            </w:r>
          </w:p>
        </w:tc>
        <w:tc>
          <w:tcPr>
            <w:tcW w:type="dxa" w:w="80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Class lists, registers and examination lists come only from approved semester registrations.</w:t>
            </w:r>
          </w:p>
        </w:tc>
      </w:tr>
      <w:tr>
        <w:trPr>
          <w:cantSplit/>
        </w:trPr>
        <w:tc>
          <w:tcPr>
            <w:tcW w:type="dxa" w:w="9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BRU-08</w:t>
            </w:r>
          </w:p>
        </w:tc>
        <w:tc>
          <w:tcPr>
            <w:tcW w:type="dxa" w:w="80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Eligibility lists apply minimum attendance (default 75%), complete coursework and examination fees clearance; an ineligible student cannot be given an examination mark unless exempted.</w:t>
            </w:r>
          </w:p>
        </w:tc>
      </w:tr>
      <w:tr>
        <w:trPr>
          <w:cantSplit/>
        </w:trPr>
        <w:tc>
          <w:tcPr>
            <w:tcW w:type="dxa" w:w="99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BRU-09</w:t>
            </w:r>
          </w:p>
        </w:tc>
        <w:tc>
          <w:tcPr>
            <w:tcW w:type="dxa" w:w="80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Weights and component pass marks come from the regulation set of the student's award level.</w:t>
            </w:r>
          </w:p>
        </w:tc>
      </w:tr>
      <w:tr>
        <w:trPr>
          <w:cantSplit/>
        </w:trPr>
        <w:tc>
          <w:tcPr>
            <w:tcW w:type="dxa" w:w="9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BRU-10</w:t>
            </w:r>
          </w:p>
        </w:tc>
        <w:tc>
          <w:tcPr>
            <w:tcW w:type="dxa" w:w="80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Grade bands and classification bands per regulation set; the set is locked once used.</w:t>
            </w:r>
          </w:p>
        </w:tc>
      </w:tr>
      <w:tr>
        <w:trPr>
          <w:cantSplit/>
        </w:trPr>
        <w:tc>
          <w:tcPr>
            <w:tcW w:type="dxa" w:w="99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BRU-11</w:t>
            </w:r>
          </w:p>
        </w:tc>
        <w:tc>
          <w:tcPr>
            <w:tcW w:type="dxa" w:w="80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Supplementary results are capped at the regulations' grade; special examinations are not capped.</w:t>
            </w:r>
          </w:p>
        </w:tc>
      </w:tr>
      <w:tr>
        <w:trPr>
          <w:cantSplit/>
        </w:trPr>
        <w:tc>
          <w:tcPr>
            <w:tcW w:type="dxa" w:w="9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BRU-12</w:t>
            </w:r>
          </w:p>
        </w:tc>
        <w:tc>
          <w:tcPr>
            <w:tcW w:type="dxa" w:w="80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Decisions are proposed from the regulations, changed only with a reason by the Academic Committee and confirmed by the Governing Board.</w:t>
            </w:r>
          </w:p>
        </w:tc>
      </w:tr>
      <w:tr>
        <w:trPr>
          <w:cantSplit/>
        </w:trPr>
        <w:tc>
          <w:tcPr>
            <w:tcW w:type="dxa" w:w="99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BRU-13</w:t>
            </w:r>
          </w:p>
        </w:tc>
        <w:tc>
          <w:tcPr>
            <w:tcW w:type="dxa" w:w="80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Returns need comments; confirmed results are locked by a database trigger; amendments need a reason and evidence and are approved by an administrator other than the requester.</w:t>
            </w:r>
          </w:p>
        </w:tc>
      </w:tr>
      <w:tr>
        <w:trPr>
          <w:cantSplit/>
        </w:trPr>
        <w:tc>
          <w:tcPr>
            <w:tcW w:type="dxa" w:w="9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BRU-14</w:t>
            </w:r>
          </w:p>
        </w:tc>
        <w:tc>
          <w:tcPr>
            <w:tcW w:type="dxa" w:w="80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Students see results only after publication, and not without results clearance where configured.</w:t>
            </w:r>
          </w:p>
        </w:tc>
      </w:tr>
      <w:tr>
        <w:trPr>
          <w:cantSplit/>
        </w:trPr>
        <w:tc>
          <w:tcPr>
            <w:tcW w:type="dxa" w:w="99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BRU-15</w:t>
            </w:r>
          </w:p>
        </w:tc>
        <w:tc>
          <w:tcPr>
            <w:tcW w:type="dxa" w:w="80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Student and applicant payments use GePG control numbers; sponsor bank remittances are recorded by the bursary; no cash receipts.</w:t>
            </w:r>
          </w:p>
        </w:tc>
      </w:tr>
      <w:tr>
        <w:trPr>
          <w:cantSplit/>
        </w:trPr>
        <w:tc>
          <w:tcPr>
            <w:tcW w:type="dxa" w:w="9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BRU-16</w:t>
            </w:r>
          </w:p>
        </w:tc>
        <w:tc>
          <w:tcPr>
            <w:tcW w:type="dxa" w:w="80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Database triggers refuse deleting invoices and payments; corrections are credit notes or cancellations of unpaid invoices.</w:t>
            </w:r>
          </w:p>
        </w:tc>
      </w:tr>
      <w:tr>
        <w:trPr>
          <w:cantSplit/>
        </w:trPr>
        <w:tc>
          <w:tcPr>
            <w:tcW w:type="dxa" w:w="99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BRU-17</w:t>
            </w:r>
          </w:p>
        </w:tc>
        <w:tc>
          <w:tcPr>
            <w:tcW w:type="dxa" w:w="80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Waivers and refunds above the threshold (default TZS 500,000) need a second approval by the Principal; nobody approves their own request or both levels.</w:t>
            </w:r>
          </w:p>
        </w:tc>
      </w:tr>
      <w:tr>
        <w:trPr>
          <w:cantSplit/>
        </w:trPr>
        <w:tc>
          <w:tcPr>
            <w:tcW w:type="dxa" w:w="9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BRU-18</w:t>
            </w:r>
          </w:p>
        </w:tc>
        <w:tc>
          <w:tcPr>
            <w:tcW w:type="dxa" w:w="80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 partial unique index allows one active allocation per bed; allocation never goes against the hostel's or room's gender.</w:t>
            </w:r>
          </w:p>
        </w:tc>
      </w:tr>
      <w:tr>
        <w:trPr>
          <w:cantSplit/>
        </w:trPr>
        <w:tc>
          <w:tcPr>
            <w:tcW w:type="dxa" w:w="99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BRU-19</w:t>
            </w:r>
          </w:p>
        </w:tc>
        <w:tc>
          <w:tcPr>
            <w:tcW w:type="dxa" w:w="80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A clearance completes only when every office has cleared.</w:t>
            </w:r>
          </w:p>
        </w:tc>
      </w:tr>
      <w:tr>
        <w:trPr>
          <w:cantSplit/>
        </w:trPr>
        <w:tc>
          <w:tcPr>
            <w:tcW w:type="dxa" w:w="9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BRU-20</w:t>
            </w:r>
          </w:p>
        </w:tc>
        <w:tc>
          <w:tcPr>
            <w:tcW w:type="dxa" w:w="80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Certificates are numbered only for graduands the Board approved; verification codes are unique.</w:t>
            </w:r>
          </w:p>
        </w:tc>
      </w:tr>
      <w:tr>
        <w:trPr>
          <w:cantSplit/>
        </w:trPr>
        <w:tc>
          <w:tcPr>
            <w:tcW w:type="dxa" w:w="992"/>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BRU-21</w:t>
            </w:r>
          </w:p>
        </w:tc>
        <w:tc>
          <w:tcPr>
            <w:tcW w:type="dxa" w:w="8034"/>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Roles and scopes are checked on every request and PostgreSQL row-level security separates institutions. Campus and class scopes wait for campuses.</w:t>
            </w:r>
          </w:p>
        </w:tc>
      </w:tr>
      <w:tr>
        <w:trPr>
          <w:cantSplit/>
        </w:trPr>
        <w:tc>
          <w:tcPr>
            <w:tcW w:type="dxa" w:w="992"/>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b/>
                <w:bCs/>
                <w:sz w:val="16"/>
                <w:szCs w:val="16"/>
              </w:rPr>
              <w:t xml:space="preserve">BRU-22</w:t>
            </w:r>
          </w:p>
        </w:tc>
        <w:tc>
          <w:tcPr>
            <w:tcW w:type="dxa" w:w="8034"/>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6"/>
                <w:szCs w:val="16"/>
              </w:rPr>
              <w:t xml:space="preserve">Not yet built: retention periods and anonymisation of non-admitted applicants.</w:t>
            </w:r>
          </w:p>
        </w:tc>
      </w:tr>
    </w:tbl>
    <w:p>
      <w:pPr>
        <w:spacing w:after="120"/>
      </w:pPr>
    </w:p>
    <w:p>
      <w:pPr>
        <w:pStyle w:val="Heading1"/>
      </w:pPr>
      <w:r>
        <w:rPr>
          <w:rFonts w:ascii="Calibri" w:cs="Calibri" w:eastAsia="Calibri" w:hAnsi="Calibri"/>
        </w:rPr>
        <w:t xml:space="preserve">8. Regulatory and Compliance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tblHeader/>
        </w:trPr>
        <w:tc>
          <w:tcPr>
            <w:tcW w:type="dxa" w:w="2346"/>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Obligation</w:t>
            </w:r>
          </w:p>
        </w:tc>
        <w:tc>
          <w:tcPr>
            <w:tcW w:type="dxa" w:w="6680"/>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Business requirement on CIMS</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NACTVET admission rules</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Enforce minimum entry requirements per programme and level; submit selected applicants for verification; record confirmation codes; handle multiple admissions.</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NACTVET registration and examinations</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Maintain registered student data in the required format; apply approved curricula and examination regulations; submit results and graduand data.</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Public finance rules</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Use GePG for collections where required; keep auditable receipts and reconciliations; export to MUSE where applicable.</w:t>
            </w:r>
          </w:p>
        </w:tc>
      </w:tr>
      <w:tr>
        <w:trPr>
          <w:cantSplit/>
        </w:trPr>
        <w:tc>
          <w:tcPr>
            <w:tcW w:type="dxa" w:w="2346"/>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Personal Data Protection Act, 2022</w:t>
            </w:r>
          </w:p>
        </w:tc>
        <w:tc>
          <w:tcPr>
            <w:tcW w:type="dxa" w:w="6680"/>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Lawful processing, privacy notices, security safeguards, data subject rights, retention, breach handling; institution registers as data controller with the Personal Data Protection Commission where required.</w:t>
            </w:r>
          </w:p>
        </w:tc>
      </w:tr>
      <w:tr>
        <w:trPr>
          <w:cantSplit/>
        </w:trPr>
        <w:tc>
          <w:tcPr>
            <w:tcW w:type="dxa" w:w="2346"/>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e-Government standards (public institutions)</w:t>
            </w:r>
          </w:p>
        </w:tc>
        <w:tc>
          <w:tcPr>
            <w:tcW w:type="dxa" w:w="6680"/>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Follow e-Government Authority standards and guidelines for systems security, hosting and interoperability (e.g. GovESB where mandated).</w:t>
            </w:r>
          </w:p>
        </w:tc>
      </w:tr>
    </w:tbl>
    <w:p>
      <w:pPr>
        <w:spacing w:after="120"/>
      </w:pPr>
    </w:p>
    <w:p>
      <w:pPr>
        <w:pStyle w:val="Heading1"/>
      </w:pPr>
      <w:r>
        <w:rPr>
          <w:rFonts w:ascii="Calibri" w:cs="Calibri" w:eastAsia="Calibri" w:hAnsi="Calibri"/>
        </w:rPr>
        <w:t xml:space="preserve">9. Assumptions, Constraints and Dependencies</w:t>
      </w:r>
    </w:p>
    <w:p>
      <w:pPr>
        <w:pStyle w:val="Heading2"/>
      </w:pPr>
      <w:r>
        <w:rPr>
          <w:rFonts w:ascii="Calibri" w:cs="Calibri" w:eastAsia="Calibri" w:hAnsi="Calibri"/>
        </w:rPr>
        <w:t xml:space="preserve">9.1 Assumptions</w:t>
      </w:r>
    </w:p>
    <w:p>
      <w:pPr>
        <w:pStyle w:val="ListParagraph"/>
        <w:numPr>
          <w:ilvl w:val="0"/>
          <w:numId w:val="2"/>
        </w:numPr>
        <w:spacing w:after="60" w:line="264"/>
      </w:pPr>
      <w:r>
        <w:rPr>
          <w:rFonts w:ascii="Calibri" w:cs="Calibri" w:eastAsia="Calibri" w:hAnsi="Calibri"/>
        </w:rPr>
        <w:t xml:space="preserve">Each institution has approved curricula and examination regulations that can be configured.</w:t>
      </w:r>
    </w:p>
    <w:p>
      <w:pPr>
        <w:pStyle w:val="ListParagraph"/>
        <w:numPr>
          <w:ilvl w:val="0"/>
          <w:numId w:val="2"/>
        </w:numPr>
        <w:spacing w:after="60" w:line="264"/>
      </w:pPr>
      <w:r>
        <w:rPr>
          <w:rFonts w:ascii="Calibri" w:cs="Calibri" w:eastAsia="Calibri" w:hAnsi="Calibri"/>
        </w:rPr>
        <w:t xml:space="preserve">Institutions can obtain GePG service provider codes and NACTVET institutional credentials.</w:t>
      </w:r>
    </w:p>
    <w:p>
      <w:pPr>
        <w:pStyle w:val="ListParagraph"/>
        <w:numPr>
          <w:ilvl w:val="0"/>
          <w:numId w:val="2"/>
        </w:numPr>
        <w:spacing w:after="60" w:line="264"/>
      </w:pPr>
      <w:r>
        <w:rPr>
          <w:rFonts w:ascii="Calibri" w:cs="Calibri" w:eastAsia="Calibri" w:hAnsi="Calibri"/>
        </w:rPr>
        <w:t xml:space="preserve">Applicants and students have access to a mobile phone; most have internet access via smartphone.</w:t>
      </w:r>
    </w:p>
    <w:p>
      <w:pPr>
        <w:pStyle w:val="ListParagraph"/>
        <w:numPr>
          <w:ilvl w:val="0"/>
          <w:numId w:val="2"/>
        </w:numPr>
        <w:spacing w:after="60" w:line="264"/>
      </w:pPr>
      <w:r>
        <w:rPr>
          <w:rFonts w:ascii="Calibri" w:cs="Calibri" w:eastAsia="Calibri" w:hAnsi="Calibri"/>
        </w:rPr>
        <w:t xml:space="preserve">Pilot institutions will nominate focal persons with authority to approve configurations.</w:t>
      </w:r>
    </w:p>
    <w:p>
      <w:pPr>
        <w:pStyle w:val="Heading2"/>
      </w:pPr>
      <w:r>
        <w:rPr>
          <w:rFonts w:ascii="Calibri" w:cs="Calibri" w:eastAsia="Calibri" w:hAnsi="Calibri"/>
        </w:rPr>
        <w:t xml:space="preserve">9.2 Constraints</w:t>
      </w:r>
    </w:p>
    <w:p>
      <w:pPr>
        <w:pStyle w:val="ListParagraph"/>
        <w:numPr>
          <w:ilvl w:val="0"/>
          <w:numId w:val="2"/>
        </w:numPr>
        <w:spacing w:after="60" w:line="264"/>
      </w:pPr>
      <w:r>
        <w:rPr>
          <w:rFonts w:ascii="Calibri" w:cs="Calibri" w:eastAsia="Calibri" w:hAnsi="Calibri"/>
        </w:rPr>
        <w:t xml:space="preserve">Release 1 must be live before the 2027/28 admission window opens.</w:t>
      </w:r>
    </w:p>
    <w:p>
      <w:pPr>
        <w:pStyle w:val="ListParagraph"/>
        <w:numPr>
          <w:ilvl w:val="0"/>
          <w:numId w:val="2"/>
        </w:numPr>
        <w:spacing w:after="60" w:line="264"/>
      </w:pPr>
      <w:r>
        <w:rPr>
          <w:rFonts w:ascii="Calibri" w:cs="Calibri" w:eastAsia="Calibri" w:hAnsi="Calibri"/>
        </w:rPr>
        <w:t xml:space="preserve">Some external interfaces may be file/portal based rather than API based; the system must support both.</w:t>
      </w:r>
    </w:p>
    <w:p>
      <w:pPr>
        <w:pStyle w:val="ListParagraph"/>
        <w:numPr>
          <w:ilvl w:val="0"/>
          <w:numId w:val="2"/>
        </w:numPr>
        <w:spacing w:after="60" w:line="264"/>
      </w:pPr>
      <w:r>
        <w:rPr>
          <w:rFonts w:ascii="Calibri" w:cs="Calibri" w:eastAsia="Calibri" w:hAnsi="Calibri"/>
        </w:rPr>
        <w:t xml:space="preserve">Budget is fixed per release; scope is controlled through change control.</w:t>
      </w:r>
    </w:p>
    <w:p>
      <w:pPr>
        <w:pStyle w:val="Heading2"/>
      </w:pPr>
      <w:r>
        <w:rPr>
          <w:rFonts w:ascii="Calibri" w:cs="Calibri" w:eastAsia="Calibri" w:hAnsi="Calibri"/>
        </w:rPr>
        <w:t xml:space="preserve">9.3 Dependencies</w:t>
      </w:r>
    </w:p>
    <w:p>
      <w:pPr>
        <w:pStyle w:val="ListParagraph"/>
        <w:numPr>
          <w:ilvl w:val="0"/>
          <w:numId w:val="2"/>
        </w:numPr>
        <w:spacing w:after="60" w:line="264"/>
      </w:pPr>
      <w:r>
        <w:rPr>
          <w:rFonts w:ascii="Calibri" w:cs="Calibri" w:eastAsia="Calibri" w:hAnsi="Calibri"/>
        </w:rPr>
        <w:t xml:space="preserve">Access to NACTVET, NECTA, GePG and HESLB interfaces and test environments.</w:t>
      </w:r>
    </w:p>
    <w:p>
      <w:pPr>
        <w:pStyle w:val="ListParagraph"/>
        <w:numPr>
          <w:ilvl w:val="0"/>
          <w:numId w:val="2"/>
        </w:numPr>
        <w:spacing w:after="60" w:line="264"/>
      </w:pPr>
      <w:r>
        <w:rPr>
          <w:rFonts w:ascii="Calibri" w:cs="Calibri" w:eastAsia="Calibri" w:hAnsi="Calibri"/>
        </w:rPr>
        <w:t xml:space="preserve">SMS gateway and email service accounts.</w:t>
      </w:r>
    </w:p>
    <w:p>
      <w:pPr>
        <w:pStyle w:val="ListParagraph"/>
        <w:numPr>
          <w:ilvl w:val="0"/>
          <w:numId w:val="2"/>
        </w:numPr>
        <w:spacing w:after="60" w:line="264"/>
      </w:pPr>
      <w:r>
        <w:rPr>
          <w:rFonts w:ascii="Calibri" w:cs="Calibri" w:eastAsia="Calibri" w:hAnsi="Calibri"/>
        </w:rPr>
        <w:t xml:space="preserve">Availability of legacy data and staff time for validation and user acceptance testing.</w:t>
      </w: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w:t>
      </w:r>
      <w:r>
        <w:rPr>
          <w:rFonts w:ascii="Calibri" w:cs="Calibri" w:eastAsia="Calibri" w:hAnsi="Calibri"/>
        </w:rPr>
        <w:t xml:space="preserve"> the build is complete enough that the dependencies above now decide the go-live date: GePG service provider code and test access, NACTVET's verification API and templates, an SMS aggregator account and sender ID, and pilot institutions' data and staff time for acceptance testing.</w:t>
      </w:r>
    </w:p>
    <w:p>
      <w:pPr>
        <w:pStyle w:val="Heading1"/>
      </w:pPr>
      <w:r>
        <w:rPr>
          <w:rFonts w:ascii="Calibri" w:cs="Calibri" w:eastAsia="Calibri" w:hAnsi="Calibri"/>
        </w:rPr>
        <w:t xml:space="preserve">10. Success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3249"/>
        <w:gridCol w:w="2709"/>
      </w:tblGrid>
      <w:tr>
        <w:trPr>
          <w:tblHeader/>
        </w:trPr>
        <w:tc>
          <w:tcPr>
            <w:tcW w:type="dxa" w:w="3068"/>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Indicator</w:t>
            </w:r>
          </w:p>
        </w:tc>
        <w:tc>
          <w:tcPr>
            <w:tcW w:type="dxa" w:w="324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Target</w:t>
            </w:r>
          </w:p>
        </w:tc>
        <w:tc>
          <w:tcPr>
            <w:tcW w:type="dxa" w:w="2709"/>
            <w:tcBorders>
              <w:top w:val="single" w:color="BFC9D6" w:sz="4"/>
              <w:left w:val="single" w:color="BFC9D6" w:sz="4"/>
              <w:bottom w:val="single" w:color="BFC9D6" w:sz="4"/>
              <w:right w:val="single" w:color="BFC9D6" w:sz="4"/>
            </w:tcBorders>
            <w:shd w:fill="1F3864" w:color="auto" w:val="clear"/>
            <w:tcMar>
              <w:top w:type="dxa" w:w="60"/>
              <w:left w:type="dxa" w:w="100"/>
              <w:bottom w:type="dxa" w:w="60"/>
              <w:right w:type="dxa" w:w="100"/>
            </w:tcMar>
            <w:vAlign w:val="center"/>
          </w:tcPr>
          <w:p>
            <w:pPr>
              <w:spacing w:after="30" w:before="30"/>
              <w:jc w:val="left"/>
            </w:pPr>
            <w:r>
              <w:rPr>
                <w:rFonts w:ascii="Calibri" w:cs="Calibri" w:eastAsia="Calibri" w:hAnsi="Calibri"/>
                <w:b/>
                <w:bCs/>
                <w:color w:val="FFFFFF"/>
                <w:sz w:val="18"/>
                <w:szCs w:val="18"/>
              </w:rPr>
              <w:t xml:space="preserve">Measured from</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Applications received online</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100% of applications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 module statistics</w:t>
            </w:r>
          </w:p>
        </w:tc>
      </w:tr>
      <w:tr>
        <w:trPr>
          <w:cantSplit/>
        </w:trPr>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Admission decision time</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Reduced by at least 50% against baseline</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Application timestamps</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NACTVET verification queries</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Fewer than 5% of submitted applicants</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Verification outcomes</w:t>
            </w:r>
          </w:p>
        </w:tc>
      </w:tr>
      <w:tr>
        <w:trPr>
          <w:cantSplit/>
        </w:trPr>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Duplicate student records</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Zero</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Registry data-quality report</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Payments auto-matched</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At least 98%</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Finance reconciliation report</w:t>
            </w:r>
          </w:p>
        </w:tc>
      </w:tr>
      <w:tr>
        <w:trPr>
          <w:cantSplit/>
        </w:trPr>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Results publication</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Within the period set by regulations (e.g. 3 weeks)</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Workflow timestamps</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Report availability</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Standard reports on demand</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Report catalogue usage</w:t>
            </w:r>
          </w:p>
        </w:tc>
      </w:tr>
      <w:tr>
        <w:trPr>
          <w:cantSplit/>
        </w:trPr>
        <w:tc>
          <w:tcPr>
            <w:tcW w:type="dxa" w:w="3068"/>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User satisfaction</w:t>
            </w:r>
          </w:p>
        </w:tc>
        <w:tc>
          <w:tcPr>
            <w:tcW w:type="dxa" w:w="324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At least 80% satisfied in post-implementation survey</w:t>
            </w:r>
          </w:p>
        </w:tc>
        <w:tc>
          <w:tcPr>
            <w:tcW w:type="dxa" w:w="2709"/>
            <w:tcBorders>
              <w:top w:val="single" w:color="BFC9D6" w:sz="4"/>
              <w:left w:val="single" w:color="BFC9D6" w:sz="4"/>
              <w:bottom w:val="single" w:color="BFC9D6" w:sz="4"/>
              <w:right w:val="single" w:color="BFC9D6" w:sz="4"/>
            </w:tcBorders>
            <w:shd w:fill="EEF3F8" w:color="auto" w:val="clear"/>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Survey after each release</w:t>
            </w:r>
          </w:p>
        </w:tc>
      </w:tr>
      <w:tr>
        <w:trPr>
          <w:cantSplit/>
        </w:trPr>
        <w:tc>
          <w:tcPr>
            <w:tcW w:type="dxa" w:w="3068"/>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System availability</w:t>
            </w:r>
          </w:p>
        </w:tc>
        <w:tc>
          <w:tcPr>
            <w:tcW w:type="dxa" w:w="324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At least 99.5% monthly (cloud option)</w:t>
            </w:r>
          </w:p>
        </w:tc>
        <w:tc>
          <w:tcPr>
            <w:tcW w:type="dxa" w:w="2709"/>
            <w:tcBorders>
              <w:top w:val="single" w:color="BFC9D6" w:sz="4"/>
              <w:left w:val="single" w:color="BFC9D6" w:sz="4"/>
              <w:bottom w:val="single" w:color="BFC9D6" w:sz="4"/>
              <w:right w:val="single" w:color="BFC9D6" w:sz="4"/>
            </w:tcBorders>
            <w:tcMar>
              <w:top w:type="dxa" w:w="60"/>
              <w:left w:type="dxa" w:w="100"/>
              <w:bottom w:type="dxa" w:w="60"/>
              <w:right w:type="dxa" w:w="100"/>
            </w:tcMar>
            <w:vAlign w:val="center"/>
          </w:tcPr>
          <w:p>
            <w:pPr>
              <w:spacing w:after="30" w:before="30"/>
              <w:jc w:val="left"/>
            </w:pPr>
            <w:r>
              <w:rPr>
                <w:rFonts w:ascii="Calibri" w:cs="Calibri" w:eastAsia="Calibri" w:hAnsi="Calibri"/>
                <w:sz w:val="18"/>
                <w:szCs w:val="18"/>
              </w:rPr>
              <w:t xml:space="preserve">Monitoring reports</w:t>
            </w:r>
          </w:p>
        </w:tc>
      </w:tr>
    </w:tbl>
    <w:p>
      <w:pPr>
        <w:spacing w:after="120"/>
      </w:pPr>
    </w:p>
    <w:p>
      <w:pPr>
        <w:pBdr>
          <w:left w:val="single" w:sz="18" w:space="8" w:color="1F3864"/>
        </w:pBdr>
        <w:shd w:val="clear" w:color="auto" w:fill="EEF3F8"/>
        <w:spacing w:before="60" w:after="120" w:line="276"/>
        <w:ind w:left="170" w:right="113"/>
      </w:pPr>
      <w:r>
        <w:rPr>
          <w:rFonts w:ascii="Calibri" w:cs="Calibri" w:eastAsia="Calibri" w:hAnsi="Calibri"/>
          <w:b/>
          <w:bCs/>
        </w:rPr>
        <w:t xml:space="preserve">As built:</w:t>
      </w:r>
      <w:r>
        <w:rPr>
          <w:rFonts w:ascii="Calibri" w:cs="Calibri" w:eastAsia="Calibri" w:hAnsi="Calibri"/>
        </w:rPr>
        <w:t xml:space="preserve"> the system already records what most indicators need: applications and their timestamps, NACTVET outcomes and queries, registration numbers (duplicates are refused), payment matching and reconciliation exceptions, and the results workflow dates. A baseline for decision time and the user survey are taken during the pilots; availability is measured once production monitoring is in place.</w:t>
      </w:r>
    </w:p>
    <w:p>
      <w:pPr>
        <w:pStyle w:val="Heading1"/>
      </w:pPr>
      <w:r>
        <w:rPr>
          <w:rFonts w:ascii="Calibri" w:cs="Calibri" w:eastAsia="Calibri" w:hAnsi="Calibri"/>
        </w:rPr>
        <w:t xml:space="preserve">11. Approval</w:t>
      </w:r>
    </w:p>
    <w:p>
      <w:pPr>
        <w:spacing w:after="120" w:line="276"/>
        <w:jc w:val="both"/>
      </w:pPr>
      <w:r>
        <w:rPr>
          <w:rFonts w:ascii="Calibri" w:cs="Calibri" w:eastAsia="Calibri" w:hAnsi="Calibri"/>
        </w:rPr>
        <w:t xml:space="preserve">By signing the Review and Approval table at the front of this document, the signatories confirm that the business requirements and rules above correctly represent the needs of the institution(s) and may be used as the baseline for design and acceptance. Changes after approval follow the change control procedure in Document 07.</w:t>
      </w:r>
    </w:p>
    <w:sectPr>
      <w:headerReference w:type="default" r:id="rId7"/>
      <w:footerReference w:type="default" r:id="rId8"/>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6"/>
        <w:szCs w:val="16"/>
      </w:rPr>
      <w:t xml:space="preserve">© 2026 Msingi Technologies Ltd  |  Confidential — For Stakeholder Review</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Msingi Technologies Ltd  |  CIMS — Document 02: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0E7C7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d76639c2fb95fc90b93f55f0ca503fd63567ce.png"/><Relationship Id="rId10" Type="http://schemas.openxmlformats.org/officeDocument/2006/relationships/image" Target="media/9827bea42c37b9ff4e07104f8d7590a2ca34a6f2.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CIMS — Document 02: Business Requirements Document</dc:title>
  <dc:creator>Msingi Technologies Ltd</dc:creator>
  <cp:lastModifiedBy>Un-named</cp:lastModifiedBy>
  <cp:revision>1</cp:revision>
  <dcterms:created xsi:type="dcterms:W3CDTF">2026-10-06T09:59:02.494Z</dcterms:created>
  <dcterms:modified xsi:type="dcterms:W3CDTF">2026-10-06T09:59:02.494Z</dcterms:modified>
</cp:coreProperties>
</file>

<file path=docProps/custom.xml><?xml version="1.0" encoding="utf-8"?>
<Properties xmlns="http://schemas.openxmlformats.org/officeDocument/2006/custom-properties" xmlns:vt="http://schemas.openxmlformats.org/officeDocument/2006/docPropsVTypes"/>
</file>