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 and scope</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r>
        <w:rPr>
          <w:rFonts w:ascii="Calibri" w:cs="Calibri" w:eastAsia="Calibri" w:hAnsi="Calibri"/>
        </w:rPr>
        <w:t xml:space="preserve">1.2 Conventions</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1"/>
      </w:pPr>
      <w:r>
        <w:rPr>
          <w:rFonts w:ascii="Calibri" w:cs="Calibri" w:eastAsia="Calibri" w:hAnsi="Calibri"/>
        </w:rPr>
        <w:t xml:space="preserve">2. System Overview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r>
        <w:rPr>
          <w:rFonts w:ascii="Calibri" w:cs="Calibri" w:eastAsia="Calibri" w:hAnsi="Calibri"/>
        </w:rPr>
        <w:t xml:space="preserve">3. User Roles and Access</w:t>
      </w:r>
    </w:p>
    <w:p>
      <w:pPr>
        <w:pStyle w:val="Heading2"/>
      </w:pPr>
      <w:r>
        <w:rPr>
          <w:rFonts w:ascii="Calibri" w:cs="Calibri" w:eastAsia="Calibri" w:hAnsi="Calibri"/>
        </w:rPr>
        <w:t xml:space="preserve">3.1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r>
        <w:rPr>
          <w:rFonts w:ascii="Calibri" w:cs="Calibri" w:eastAsia="Calibri" w:hAnsi="Calibri"/>
        </w:rPr>
        <w:t xml:space="preserve">3.2 Permission matrix (summary)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r>
        <w:rPr>
          <w:rFonts w:ascii="Calibri" w:cs="Calibri" w:eastAsia="Calibri" w:hAnsi="Calibri"/>
        </w:rPr>
        <w:t xml:space="preserve">3.3 Roles as built (October 2026)</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r>
        <w:rPr>
          <w:rFonts w:ascii="Calibri" w:cs="Calibri" w:eastAsia="Calibri" w:hAnsi="Calibri"/>
        </w:rPr>
        <w:t xml:space="preserve">4. Functional Requirements</w:t>
      </w:r>
    </w:p>
    <w:p>
      <w:pPr>
        <w:pStyle w:val="Heading2"/>
      </w:pPr>
      <w:r>
        <w:rPr>
          <w:rFonts w:ascii="Calibri" w:cs="Calibri" w:eastAsia="Calibri" w:hAnsi="Calibri"/>
        </w:rPr>
        <w:t xml:space="preserve">4.1 M01 — Online Admission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4.2 M02 — Student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4.3 M03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4.4 M04 — Teaching &amp;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4.5 M05 — Assessment &amp; Examination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4.6 M06 — Finance &amp;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4.7 M07 — Hostel &amp; Accommodation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4.8 M08 — 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4.9 M09 — Clearance, Graduation &amp; Alumni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4.10 M10 — Student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4.11 M11 — Reports &amp;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4.12 M12 — 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4.13 M13 — Administration &amp;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4.14 M14 — Integration 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r>
        <w:rPr>
          <w:rFonts w:ascii="Calibri" w:cs="Calibri" w:eastAsia="Calibri" w:hAnsi="Calibri"/>
        </w:rPr>
        <w:t xml:space="preserve">5. Grading and Regulations Configuration</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r>
        <w:rPr>
          <w:rFonts w:ascii="Calibri" w:cs="Calibri" w:eastAsia="Calibri" w:hAnsi="Calibri"/>
        </w:rPr>
        <w:t xml:space="preserve">6. Key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r>
        <w:rPr>
          <w:rFonts w:ascii="Calibri" w:cs="Calibri" w:eastAsia="Calibri" w:hAnsi="Calibri"/>
        </w:rPr>
        <w:t xml:space="preserve">7. Standard Report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r>
        <w:rPr>
          <w:rFonts w:ascii="Calibri" w:cs="Calibri" w:eastAsia="Calibri" w:hAnsi="Calibri"/>
        </w:rPr>
        <w:t xml:space="preserve">8.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r>
        <w:rPr>
          <w:rFonts w:ascii="Calibri" w:cs="Calibri" w:eastAsia="Calibri" w:hAnsi="Calibri"/>
        </w:rPr>
        <w:t xml:space="preserve">9. Requirements Traceability Matrix</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r>
        <w:rPr>
          <w:rFonts w:ascii="Calibri" w:cs="Calibri" w:eastAsia="Calibri" w:hAnsi="Calibri"/>
        </w:rPr>
        <w:t xml:space="preserve">10. Acceptance Criteria</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r>
        <w:rPr>
          <w:rFonts w:ascii="Calibri" w:cs="Calibri" w:eastAsia="Calibri" w:hAnsi="Calibri"/>
        </w:rPr>
        <w:t xml:space="preserve">11. As-Built Status (October 2026)</w:t>
      </w:r>
    </w:p>
    <w:p>
      <w:pPr>
        <w:spacing w:after="120" w:line="276"/>
        <w:jc w:val="both"/>
      </w:pPr>
      <w:r>
        <w:rPr>
          <w:rFonts w:ascii="Calibri" w:cs="Calibri" w:eastAsia="Calibri" w:hAnsi="Calibri"/>
        </w:rPr>
        <w:t xml:space="preserve">This section records, for version 3.0, how far the system as built meets each requirement in this specification. The requirements above remain the acceptance baseline.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p>
      <w:pPr>
        <w:pStyle w:val="Heading2"/>
      </w:pPr>
      <w:r>
        <w:rPr>
          <w:rFonts w:ascii="Calibri" w:cs="Calibri" w:eastAsia="Calibri" w:hAnsi="Calibri"/>
        </w:rPr>
        <w:t xml:space="preserve">11.1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email is optional and not verified.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are captured; document uploads are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(GePG simulated).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SMS notice; email is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externally selected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student registration submission.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and programmes with award family, level, duration, NACTVET code and entry level; campuses and faculties are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marks window per semester; entry on screen or validated Excel. Windows per component are not separate.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 with comments and lock on confirmation are built; the stages are fixed rather than configurable.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and submission record; NACTVET's official template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comparisons across years are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and academic year, local and foreign; intake and student category not yet dimensions.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(GePG simulated).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file import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with due dates in fee structures; reminders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discounts and scholarships as such are not built (sponsors cover scholarships).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(HESLB's own formats not yet).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from credit with vouchers and two-level approval; waivers posted as credit notes.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CSV by date range; MUSE interface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supervisor's mark is entered by staff.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and tracer surveys.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Scheduled reports by email.</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in-app notices; email is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programmes from the catalogue and first administrator; campuses and GePG settings are not configured there yet.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multi-factor authentication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steps are fixed in the software (with the Department Board optional and thresholds such as the waiver limit configurable).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letter templates are built in (joining instructions per window).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subject requests and retention jobs.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import tools.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(live endpoints awaited); results, graduand and NVA files; NTA award look-up live; student registration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signed notification and reconciliation against a simulator; live GePG adapter to be built with GePG test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delivery reports against a simulated gateway; email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handled as a sponsor with list import; HESLB exchange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CSV; MUSE interface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not built.</w:t>
            </w:r>
          </w:p>
        </w:tc>
      </w:tr>
    </w:tbl>
    <w:p>
      <w:pPr>
        <w:spacing w:after="120"/>
      </w:pPr>
    </w:p>
    <w:p>
      <w:pPr>
        <w:spacing w:after="120" w:line="276"/>
        <w:jc w:val="both"/>
      </w:pPr>
      <w:r>
        <w:rPr>
          <w:rFonts w:ascii="Calibri" w:cs="Calibri" w:eastAsia="Calibri" w:hAnsi="Calibri"/>
        </w:rPr>
        <w:t xml:space="preserve">Of the 99 functional requirements, </w:t>
      </w:r>
      <w:r>
        <w:rPr>
          <w:rFonts w:ascii="Calibri" w:cs="Calibri" w:eastAsia="Calibri" w:hAnsi="Calibri"/>
          <w:b/>
          <w:bCs/>
        </w:rPr>
        <w:t xml:space="preserve">66</w:t>
      </w:r>
      <w:r>
        <w:rPr>
          <w:rFonts w:ascii="Calibri" w:cs="Calibri" w:eastAsia="Calibri" w:hAnsi="Calibri"/>
        </w:rPr>
        <w:t xml:space="preserve"> are built, </w:t>
      </w:r>
      <w:r>
        <w:rPr>
          <w:rFonts w:ascii="Calibri" w:cs="Calibri" w:eastAsia="Calibri" w:hAnsi="Calibri"/>
          <w:b/>
          <w:bCs/>
        </w:rPr>
        <w:t xml:space="preserve">24</w:t>
      </w:r>
      <w:r>
        <w:rPr>
          <w:rFonts w:ascii="Calibri" w:cs="Calibri" w:eastAsia="Calibri" w:hAnsi="Calibri"/>
        </w:rPr>
        <w:t xml:space="preserve"> partly built and </w:t>
      </w:r>
      <w:r>
        <w:rPr>
          <w:rFonts w:ascii="Calibri" w:cs="Calibri" w:eastAsia="Calibri" w:hAnsi="Calibri"/>
          <w:b/>
          <w:bCs/>
        </w:rPr>
        <w:t xml:space="preserve">9</w:t>
      </w:r>
      <w:r>
        <w:rPr>
          <w:rFonts w:ascii="Calibri" w:cs="Calibri" w:eastAsia="Calibri" w:hAnsi="Calibri"/>
        </w:rPr>
        <w:t xml:space="preserve"> not yet built.</w:t>
      </w:r>
    </w:p>
    <w:p>
      <w:pPr>
        <w:pStyle w:val="Heading2"/>
      </w:pPr>
      <w:r>
        <w:rPr>
          <w:rFonts w:ascii="Calibri" w:cs="Calibri" w:eastAsia="Calibri" w:hAnsi="Calibri"/>
        </w:rPr>
        <w:t xml:space="preserve">11.2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 load or batch tests yet; planned before go-live (k6).</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hosting, backups and recovery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8+ characters with upper and lower case, digit and special character; lock-out after 5 failed sign-ins; MFA and breach-list check not built.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time-outs per user type are not separate.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are set; TLS and encryption at rest come with hosting; no NIN is stored, so no field-level encryption is needed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ASVS review and penetration test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retention and subject requests not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in English and Kiswahili; staff back-office in English.</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WCAG review planned.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Tested in Chromium; other browsers to be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outbox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allow horizontal scaling; not yet load-tested.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 automated tests (integration tests against real PostgreSQL); 38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endpoint and integration health in the platform console; central logs, metrics and alerting come with hosting.</w:t>
            </w:r>
          </w:p>
        </w:tc>
      </w:tr>
    </w:tbl>
    <w:p>
      <w:pPr>
        <w:spacing w:after="120"/>
      </w:pPr>
    </w:p>
    <w:p>
      <w:pPr>
        <w:pStyle w:val="Heading2"/>
      </w:pPr>
      <w:r>
        <w:rPr>
          <w:rFonts w:ascii="Calibri" w:cs="Calibri" w:eastAsia="Calibri" w:hAnsi="Calibri"/>
        </w:rPr>
        <w:t xml:space="preserve">11.3 Standard reports as built</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r>
        <w:rPr>
          <w:rFonts w:ascii="Calibri" w:cs="Calibri" w:eastAsia="Calibri" w:hAnsi="Calibri"/>
        </w:rPr>
        <w:t xml:space="preserve">11.4 Regulations as configured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r>
        <w:rPr>
          <w:rFonts w:ascii="Calibri" w:cs="Calibri" w:eastAsia="Calibri" w:hAnsi="Calibri"/>
        </w:rPr>
        <w:t xml:space="preserve">11.5 Integration test server</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