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03: System Requirements Specification</w:t>
      </w:r>
    </w:p>
    <w:p>
      <w:pPr>
        <w:spacing w:after="300"/>
      </w:pPr>
      <w:r>
        <w:rPr>
          <w:rFonts w:ascii="Calibri" w:cs="Calibri" w:eastAsia="Calibri" w:hAnsi="Calibri"/>
          <w:color w:val="595959"/>
          <w:sz w:val="22"/>
          <w:szCs w:val="22"/>
        </w:rPr>
        <w:t xml:space="preserve">Functional and non-functional requirements, user roles and permissions, use cases and requirements traceability.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03: System Requirements Specification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3.0 — updated to the system as built,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Requirements Specification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Database Design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pStyle w:val="Heading2"/>
      </w:pPr>
      <w:r>
        <w:rPr>
          <w:rFonts w:ascii="Calibri" w:cs="Calibri" w:eastAsia="Calibri" w:hAnsi="Calibri"/>
        </w:rPr>
        <w:t xml:space="preserve">1.1 Purpose and scope</w:t>
      </w:r>
    </w:p>
    <w:p>
      <w:pPr>
        <w:spacing w:after="120" w:line="276"/>
        <w:jc w:val="both"/>
      </w:pPr>
      <w:r>
        <w:rPr>
          <w:rFonts w:ascii="Calibri" w:cs="Calibri" w:eastAsia="Calibri" w:hAnsi="Calibri"/>
        </w:rPr>
        <w:t xml:space="preserve">This System Requirements Specification (SRS) translates the business requirements in Document 02 into testable system requirements for CIMS. It is the baseline for design (Documents 05 and 06), development, testing and acceptance. Every functional requirement has a unique ID, a MoSCoW priority, a trace to its business requirement (BR) and a target release.</w:t>
      </w:r>
    </w:p>
    <w:p>
      <w:pPr>
        <w:pStyle w:val="Heading2"/>
      </w:pPr>
      <w:r>
        <w:rPr>
          <w:rFonts w:ascii="Calibri" w:cs="Calibri" w:eastAsia="Calibri" w:hAnsi="Calibri"/>
        </w:rPr>
        <w:t xml:space="preserve">1.2 Conventions</w:t>
      </w:r>
    </w:p>
    <w:p>
      <w:pPr>
        <w:pStyle w:val="ListParagraph"/>
        <w:numPr>
          <w:ilvl w:val="0"/>
          <w:numId w:val="2"/>
        </w:numPr>
        <w:spacing w:after="60" w:line="264"/>
      </w:pPr>
      <w:r>
        <w:rPr>
          <w:rFonts w:ascii="Calibri" w:cs="Calibri" w:eastAsia="Calibri" w:hAnsi="Calibri"/>
        </w:rPr>
        <w:t xml:space="preserve">Requirement IDs: FR-&lt;module&gt;-&lt;nn&gt; for functional, NFR-&lt;area&gt;-&lt;nn&gt; for non-functional, UC-&lt;nn&gt; for use cases.</w:t>
      </w:r>
    </w:p>
    <w:p>
      <w:pPr>
        <w:pStyle w:val="ListParagraph"/>
        <w:numPr>
          <w:ilvl w:val="0"/>
          <w:numId w:val="2"/>
        </w:numPr>
        <w:spacing w:after="60" w:line="264"/>
      </w:pPr>
      <w:r>
        <w:rPr>
          <w:rFonts w:ascii="Calibri" w:cs="Calibri" w:eastAsia="Calibri" w:hAnsi="Calibri"/>
        </w:rPr>
        <w:t xml:space="preserve">Priority: M = Must, S = Should, C = Could.</w:t>
      </w:r>
    </w:p>
    <w:p>
      <w:pPr>
        <w:pStyle w:val="ListParagraph"/>
        <w:numPr>
          <w:ilvl w:val="0"/>
          <w:numId w:val="2"/>
        </w:numPr>
        <w:spacing w:after="60" w:line="264"/>
      </w:pPr>
      <w:r>
        <w:rPr>
          <w:rFonts w:ascii="Calibri" w:cs="Calibri" w:eastAsia="Calibri" w:hAnsi="Calibri"/>
        </w:rPr>
        <w:t xml:space="preserve">"Configurable" means an authorised institution administrator can change the value without software changes.</w:t>
      </w:r>
    </w:p>
    <w:p>
      <w:pPr>
        <w:pStyle w:val="ListParagraph"/>
        <w:numPr>
          <w:ilvl w:val="0"/>
          <w:numId w:val="2"/>
        </w:numPr>
        <w:spacing w:after="60" w:line="264"/>
      </w:pPr>
      <w:r>
        <w:rPr>
          <w:rFonts w:ascii="Calibri" w:cs="Calibri" w:eastAsia="Calibri" w:hAnsi="Calibri"/>
        </w:rPr>
        <w:t xml:space="preserve">Values shown as "e.g." are defaults that each institution sets in line with its NACTVET-approved regulations.</w:t>
      </w:r>
    </w:p>
    <w:p>
      <w:pPr>
        <w:pStyle w:val="Heading1"/>
      </w:pPr>
      <w:r>
        <w:rPr>
          <w:rFonts w:ascii="Calibri" w:cs="Calibri" w:eastAsia="Calibri" w:hAnsi="Calibri"/>
        </w:rPr>
        <w:t xml:space="preserve">2. System Overview</w:t>
      </w:r>
    </w:p>
    <w:p>
      <w:pPr>
        <w:spacing w:after="120" w:line="276"/>
        <w:jc w:val="both"/>
      </w:pPr>
      <w:r>
        <w:rPr>
          <w:rFonts w:ascii="Calibri" w:cs="Calibri" w:eastAsia="Calibri" w:hAnsi="Calibri"/>
        </w:rPr>
        <w:t xml:space="preserve">CIMS is a secure, web-based, multi-tenant platform. Each NACTVET-registered institution is a tenant with its own branded admission portal, student portal and staff back-office, on its own web address (for example apply.&lt;institution&gt;.ac.tz). All tenants share one code base and infrastructure, but data, configuration and users are strictly isolated. A dedicated single-tenant installation uses the same software.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6680"/>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User channel</w:t>
            </w:r>
          </w:p>
        </w:tc>
        <w:tc>
          <w:tcPr>
            <w:tcW w:type="dxa" w:w="66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 Portal (public)</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Applicant registration, application, payment, status tracking, admission letter download, offer acceptance.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Portal</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Mobile-first, installable web app for registered students.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Staff Back-Office</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Role-based workspace for admissions, registry, academics, examinations, finance, hostel, IPT, management and administration.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Public Verification Page</w:t>
            </w:r>
          </w:p>
        </w:tc>
        <w:tc>
          <w:tcPr>
            <w:tcW w:type="dxa" w:w="66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Verification of admission letters, transcripts and certificates by QR code or verification number.</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Integration APIs</w:t>
            </w:r>
          </w:p>
        </w:tc>
        <w:tc>
          <w:tcPr>
            <w:tcW w:type="dxa" w:w="66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Secured REST APIs and file exchanges with external systems.</w:t>
            </w:r>
          </w:p>
        </w:tc>
      </w:tr>
    </w:tbl>
    <w:p>
      <w:pPr>
        <w:spacing w:after="120"/>
      </w:pPr>
    </w:p>
    <w:p>
      <w:pPr>
        <w:pStyle w:val="Heading1"/>
      </w:pPr>
      <w:r>
        <w:rPr>
          <w:rFonts w:ascii="Calibri" w:cs="Calibri" w:eastAsia="Calibri" w:hAnsi="Calibri"/>
        </w:rPr>
        <w:t xml:space="preserve">3. User Roles and Access</w:t>
      </w:r>
    </w:p>
    <w:p>
      <w:pPr>
        <w:pStyle w:val="Heading2"/>
      </w:pPr>
      <w:r>
        <w:rPr>
          <w:rFonts w:ascii="Calibri" w:cs="Calibri" w:eastAsia="Calibri" w:hAnsi="Calibri"/>
        </w:rPr>
        <w:t xml:space="preserve">3.1 Roles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4513"/>
        <w:gridCol w:w="2167"/>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Role</w:t>
            </w:r>
          </w:p>
        </w:tc>
        <w:tc>
          <w:tcPr>
            <w:tcW w:type="dxa" w:w="451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responsibilities</w:t>
            </w:r>
          </w:p>
        </w:tc>
        <w:tc>
          <w:tcPr>
            <w:tcW w:type="dxa" w:w="21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Default data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Creates tenants, manages platform settings, monitors service (Msingi Technologies Ltd staff).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Administrator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Configures institution, users, roles, workflows, templates, integrations.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Principal / Management Viewer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Dashboards and reports; no data changes.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Deputy Principal (Academic)</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 calendar; Academic Committee approvals.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Windows, applications, eligibility, selection, letters, NACTVET verification.</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Registrar / Registry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records, registration, status changes, ID cards, graduation lists.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offerings, allocations, marks moderation, department approvals.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 curriculum, class management.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Programme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 / Tutor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CA and SE marks for allocated modules.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modules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 (NVA)</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Competence assessment records for allocated units.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Allocated units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Assessment plans, marks windows, results processing, publication, NACTVET results files.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Approving Body Secretary</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Records decisions of Department Board, Academic Committee and Governing Board.</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Body scope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Bursar / Finance Manager</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Fee structures, approvals of waivers/refunds, reconciliation sign-off.</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Accountant / Finance Officer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Invoices, payments, sponsors, exceptions, clearance.</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campus</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Dean of Students / Hostel Warden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Hostels, allocation, check-in/out, discipline holds.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Assigned hostels</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IPT Coordinator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Placements, supervisors, IPT assessment.</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 / department</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Officer (e.g. Librarian)</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Clears or holds students for a clearance office.</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office</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Auditor</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Read-only access to records and audit logs.</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Institution</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application only.</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51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records only.</w:t>
            </w:r>
          </w:p>
        </w:tc>
        <w:tc>
          <w:tcPr>
            <w:tcW w:type="dxa" w:w="21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Self</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 Officer (optional)</w:t>
            </w:r>
          </w:p>
        </w:tc>
        <w:tc>
          <w:tcPr>
            <w:tcW w:type="dxa" w:w="451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Own sponsored students' statements.</w:t>
            </w:r>
          </w:p>
        </w:tc>
        <w:tc>
          <w:tcPr>
            <w:tcW w:type="dxa" w:w="21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Sponsored students</w:t>
            </w:r>
          </w:p>
        </w:tc>
      </w:tr>
    </w:tbl>
    <w:p>
      <w:pPr>
        <w:spacing w:after="120"/>
      </w:pPr>
    </w:p>
    <w:p>
      <w:pPr>
        <w:pStyle w:val="Heading2"/>
      </w:pPr>
      <w:r>
        <w:rPr>
          <w:rFonts w:ascii="Calibri" w:cs="Calibri" w:eastAsia="Calibri" w:hAnsi="Calibri"/>
        </w:rPr>
        <w:t xml:space="preserve">3.2 Permission matrix (summary)</w:t>
      </w:r>
    </w:p>
    <w:p>
      <w:pPr>
        <w:spacing w:after="120" w:line="276"/>
        <w:jc w:val="both"/>
      </w:pPr>
      <w:r>
        <w:rPr>
          <w:rFonts w:ascii="Calibri" w:cs="Calibri" w:eastAsia="Calibri" w:hAnsi="Calibri"/>
        </w:rPr>
        <w:t xml:space="preserve">C = create/update, A = approve, R = read, — = no access. Detailed action-level permissions are configured in the system.</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812"/>
        <w:gridCol w:w="812"/>
        <w:gridCol w:w="812"/>
        <w:gridCol w:w="812"/>
        <w:gridCol w:w="812"/>
        <w:gridCol w:w="812"/>
        <w:gridCol w:w="812"/>
        <w:gridCol w:w="1357"/>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Adm. Off.</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Registry</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HoD</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Lecturer</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Exams</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Finance</w:t>
            </w:r>
          </w:p>
        </w:tc>
        <w:tc>
          <w:tcPr>
            <w:tcW w:type="dxa" w:w="8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Hostel</w:t>
            </w:r>
          </w:p>
        </w:tc>
        <w:tc>
          <w:tcPr>
            <w:tcW w:type="dxa" w:w="135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Mgmt / Auditor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windows &amp; selection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verification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records &amp; status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&amp; marks entry</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moderation &amp; approval</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publication</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&amp; invoices</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&amp; refunds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allocation</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c>
          <w:tcPr>
            <w:tcW w:type="dxa" w:w="8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w:t>
            </w:r>
          </w:p>
        </w:tc>
        <w:tc>
          <w:tcPr>
            <w:tcW w:type="dxa" w:w="135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logs</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8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35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 (Auditor)</w:t>
            </w:r>
          </w:p>
        </w:tc>
      </w:tr>
    </w:tbl>
    <w:p>
      <w:pPr>
        <w:spacing w:after="120"/>
      </w:pPr>
    </w:p>
    <w:p>
      <w:pPr>
        <w:pStyle w:val="Heading2"/>
      </w:pPr>
      <w:r>
        <w:rPr>
          <w:rFonts w:ascii="Calibri" w:cs="Calibri" w:eastAsia="Calibri" w:hAnsi="Calibri"/>
        </w:rPr>
        <w:t xml:space="preserve">3.3 Roles as built (October 2026)</w:t>
      </w:r>
    </w:p>
    <w:p>
      <w:pPr>
        <w:spacing w:after="120" w:line="276"/>
        <w:jc w:val="both"/>
      </w:pPr>
      <w:r>
        <w:rPr>
          <w:rFonts w:ascii="Calibri" w:cs="Calibri" w:eastAsia="Calibri" w:hAnsi="Calibri"/>
        </w:rPr>
        <w:t xml:space="preserve">The system has 20 roles. A person can hold several. Each role lands on its own page after signing in and sees only the menus it can use; the server checks every request. The Approving Body Secretary role in section 3.1 is not separate: Academic Committee decisions are recorded by the Deputy Principal (Academic) and Governing Board decisions by an Institution Administrator other than the person who did the previous step. The full catalogue is kept in docs/ROLES.md in the code repository.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5054"/>
        <w:gridCol w:w="1806"/>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Role</w:t>
            </w:r>
          </w:p>
        </w:tc>
        <w:tc>
          <w:tcPr>
            <w:tcW w:type="dxa" w:w="505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What it does in the system</w:t>
            </w:r>
          </w:p>
        </w:tc>
        <w:tc>
          <w:tcPr>
            <w:tcW w:type="dxa" w:w="180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 scope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 Administrator (Msingi)</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Separate sign-in to the platform console: NACTVET catalogue, onboarding an institution with its addresses and first administrator, suspension, SMS credit, integration health, platform users and audit.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 Administrator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and roles, institution profile and campus photo, approvals that need a second person (Governing Board confirmation of results, graduand approval, result amendments), every page.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Principal / Management Viewer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overview by year, dashboards and reports (named lists hidden), second-level approval of large waivers and refunds.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Deputy Principal (Academic)</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approval, academic calendar, regulations, Academic Committee changes and recommendation of results, exemptions, status change decisions.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applicants, qualification checks, selection, NACTVET verification, offers and letters.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Registrar / Registry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first and semester registration, status changes, ID cards, detail-change requests, clearance set-up and graduations.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Head of Department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lecturer allocation, moderation, competence verification, status change recommendations, clearance for the department.</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 Coordinator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class information for the programme.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Lecturer / Tutor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My teaching, attendance and self check-in, marks, class lists, remarks assigned, IPT supervision.</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modules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Assessor (NVA)</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outcomes for the units allocated to them.</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units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Examinations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office board, marks windows, eligibility, result sheets, publication, resits, appeals, competence set-up, NACTVET results files.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Bursar / Finance Manager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overview and targets, fee structure approval, waiver and refund approval, reconciliation sign-off, SMS bundles.</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Accountant / Finance Officer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invoices, payments, reconciliation exceptions, sponsors, waiver and refund requests.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Dean of Students / Hostel Warden</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inventory, allocation, check-in and check-out, repairs, hostel clearance.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Assigned hostels (none = all)</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 Coordinator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IPT periods, placements, letters, logbooks and IPT marks.</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or department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Clears or holds finalists for their office.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Auditor</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Read-only records, users, messages and the audit trail.</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 Officer</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Their sponsor's students, invoices, control numbers and statement (read-only otherwise).</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sponsor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w:t>
            </w:r>
          </w:p>
        </w:tc>
        <w:tc>
          <w:tcPr>
            <w:tcW w:type="dxa" w:w="505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application, payments, offer and letter.</w:t>
            </w:r>
          </w:p>
        </w:tc>
        <w:tc>
          <w:tcPr>
            <w:tcW w:type="dxa" w:w="180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505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records in the student portal.</w:t>
            </w:r>
          </w:p>
        </w:tc>
        <w:tc>
          <w:tcPr>
            <w:tcW w:type="dxa" w:w="180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Self</w:t>
            </w:r>
          </w:p>
        </w:tc>
      </w:tr>
    </w:tbl>
    <w:p>
      <w:pPr>
        <w:spacing w:after="120"/>
      </w:pPr>
    </w:p>
    <w:p>
      <w:pPr>
        <w:pStyle w:val="Heading1"/>
      </w:pPr>
      <w:r>
        <w:rPr>
          <w:rFonts w:ascii="Calibri" w:cs="Calibri" w:eastAsia="Calibri" w:hAnsi="Calibri"/>
        </w:rPr>
        <w:t xml:space="preserve">4. Functional Requirements</w:t>
      </w:r>
    </w:p>
    <w:p>
      <w:pPr>
        <w:pStyle w:val="Heading2"/>
      </w:pPr>
      <w:r>
        <w:rPr>
          <w:rFonts w:ascii="Calibri" w:cs="Calibri" w:eastAsia="Calibri" w:hAnsi="Calibri"/>
        </w:rPr>
        <w:t xml:space="preserve">4.1 M01 — Online Admission Portal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 branded admission portal per institution with logo, colours, contacts, programme catalogue and admission guidelines.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applicants to create an account verified by phone (SMS OTP) and email, with password reset.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the Admissions Officer to create admission windows per academic year and intake with opening/closing dates, programmes, capacity, application fee and number of choices allowed.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Store NACTVET minimum entry requirements per programme as configurable rules (subjects, minimum grades, number of passes, prior award level, alternative pathways).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 and ACSEE results from NECTA using index number and year; flag mismatches between applicant-entered and NECTA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prior NTA awards by AVN and NVA awards by certificate number; record verification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personal details, contacts, next of kin, disability support needs (optional), sponsor, and upload of required documents (PDF/JPG, size-limited).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 GePG control number for the application fee and release the application only on payment confirmation.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eligibility automatically per choice and show applicants which choices they qualify for before submission.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 eligible applicants per programme using configurable criteria (e.g. points from grades, choice order, application date) and propose selections within capacity.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approve, adjust or reject selections with reasons; record Admissions Committee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NACTVET verification submission files/API calls for selected applicants and record per-applicant outcome, query reason and confirmation code.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admission letters and joining instructions from templates with QR verification code; notify applicants by SMS and email.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offer acceptance, decline and confirmation for multiple-admission applicants within a deadline; release unaccepted places to the next ranked applicants.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externally selected students (e.g. TAMISEMI) from file or API and process them through verification and registration.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FR-ADM-16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live admission statistics by programme, gender, region, qualification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4.2 M02 — Student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a student record from an accepted, verified applicant without re-entering data.</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registration numbers using a configurable pattern (e.g. institution code/level/year/sequence) guaranteed unique.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semester/annual registration: student confirms details and modules, system checks clearance, Registry approves.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status changes (postponement, resumption, suspension, discontinuation, withdrawal, completion, graduation, death) with reason, approval, effective date and documents.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programme and campus transfers with history.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student ID cards with photo and QR code (print-ready).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student registration submissions and record outcomes.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BR-07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FR-REG-08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students to request updates to personal details, subject to Registry approval and audit.</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4.3 M03 —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campuses, faculties/schools (optional), departments and programmes with award family (NVA/NTA), level, duration and NACTVET programme code.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curricula with versions; modules/units with code, title, credits, NTA level, semester, core/elective, assessment type.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one module to be shared by several programmes through curriculum mapping.</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academic years, semesters, intakes and an academic calendar with key dates (registration, marks windows,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FR-ACA-05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grading schemes and examination regulations per award level, versioned by effective academic year (see section 5).</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4.4 M04 — Teaching &amp;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Create module offerings per semester and allocate lecturers/assessors.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class lists from approved registrations.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 per session (web or tablet), including bulk entry and QR self check-in (optional).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FR-TCH-04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Calculate attendance percentage and flag students below threshold for examination eligibility.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BR-15</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4.5 M05 — Assessment &amp; Examination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Define assessment plans per module offering (components such as tests, assignments, practicals, with weights) consistent with the curriculum.</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and close marks entry windows per component; allow entry on screen or by validated Excel upload.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CA and SE totals, apply component pass thresholds, determine grade and grade points from the configured scale.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examination eligibility lists combining attendance, CA and financial clearance; allow authorised exemptions with reason.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Route results through configurable approval stages; allow return with comments; lock on final approval.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Compute semester, annual and cumulative GPA and award classification.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Determine progression status per student (pass, supplementary, special, carry-over, repeat, discontinue) and present it for committee confirmation.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supplementary and special examinations, including registration, fees, marks and capping rules.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 assessment per unit/task: competent / not yet competent, practical and theory scores, assessor, date, evidence reference.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BR-16</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approved results to the student portal and by SMS; withhold for students without results clearance if configured.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NACTVET results submission files in the required template and record submission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remarking/appeal requests: application, fee, assignment, outcome, result amendment through authorised workflow.</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Produce statements of results and provisional transcripts.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FR-EXM-14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examination analytics: pass rates, grade distributions, module performance, comparisons across years.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bl>
    <w:p>
      <w:pPr>
        <w:spacing w:after="120"/>
      </w:pPr>
    </w:p>
    <w:p>
      <w:pPr>
        <w:pStyle w:val="Heading2"/>
      </w:pPr>
      <w:r>
        <w:rPr>
          <w:rFonts w:ascii="Calibri" w:cs="Calibri" w:eastAsia="Calibri" w:hAnsi="Calibri"/>
        </w:rPr>
        <w:t xml:space="preserve">4.6 M06 — Finance &amp;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fee items and fee structures by programme, level, year of study, intake, nationality and student category, with effective dates.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itemised invoices individually or in bulk on events (admission, registration, hostel allocation, supplementary registration).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Request GePG control numbers automatically and display them to students with payment instructions.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Receive GePG payment notifications, allocate payments to invoice lines in a configured order, issue electronic receipts and update balances in real time.</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Reconcile daily against GePG reconciliation files/statements and list unmatched or duplicate transactions for resolution.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Evaluate clearance gates (registration, examinations, results, hostel, graduation) against configured thresholds (e.g. at least 50% of annual fees paid before examinations).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instalment plans with due dates and reminders.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FR-FIN-08</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waivers, discounts and scholarships with approval thresholds.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FR-FIN-09</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sponsors (including HESLB): sponsored students, sponsor invoices, bulk payment allocation and sponsor statements; import HESLB beneficiary and disbursement lists.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FR-FIN-10</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Process refunds and credit notes with two-level approval.</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postings by fee item and period to MUSE or the accounting system (file or API).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FR-FIN-12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statements of account, debtor ageing, collection reports and dashboards.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4.7 M07 — Hostel &amp; Accommodation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hostels, blocks, floors, rooms and beds with gender designation, capacity, room type, fee category and status.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hostel application windows; let students apply with preferences.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beds automatically or manually by priority rules (e.g. first years, special needs, payment) without double allocation.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 hostel fees on allocation and release unpaid allocations after a configured period.</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check-in and check-out with inventory condition, damages and charges.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FR-HST-06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and track maintenance requests.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4.8 M08 — Industrial Practical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placement organisations and contacts.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student placements, dates, workplace supervisor and institution supervisor.</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Capture electronic logbook entries and supervisor assessments; transfer IPT results to the examination record.</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4.9 M09 — Clearance, Graduation &amp; Alumni</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clearance offices and run online clearance with clear/hold decisions and reasons.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BR-29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graduand lists from approved final results and clearance status for Governing Board approval and NACTVET submission.</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transcripts and certificates with unique verification number and QR code; record issue and reprints.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public verification page that confirms authenticity without exposing unnecessary personal data.</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BR-30</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FR-GRD-05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alumni contacts and run tracer surveys.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BR-31</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4.10 M10 — Student Self-Service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a mobile-first, installable web portal with dashboard, notices and profile.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semester registration, invoice view, control numbers, payment history and receipts.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Show published results, GPA and progression status; allow supplementary and remark applications.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R2</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FR-STU-04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hostel application, IPT details, clearance tracking and document downloads.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BR-32</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4.11 M11 — Reports &amp; Dashboards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role-based dashboards (management, admissions, academic, finance, hostel).</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the standard report catalogue in section 7 in PDF and Excel, filterable by year, intake, campus, programme, level, gender and status.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FR-RPT-03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Allow authorised users to schedule reports for email delivery.</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BR-34</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2"/>
      </w:pPr>
      <w:r>
        <w:rPr>
          <w:rFonts w:ascii="Calibri" w:cs="Calibri" w:eastAsia="Calibri" w:hAnsi="Calibri"/>
        </w:rPr>
        <w:t xml:space="preserve">4.12 M12 — Communication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event notifications (application received, payment confirmed, selected, verified, results published, invoice due, hostel allocated) via SMS, email and in-app.</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Send bulk messages to filtered groups with delivery reports and cost tracking.</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FR-COM-03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 message templates in English and Kiswahili.</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BR-33</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4.13 M13 — Administration &amp; Security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5415"/>
        <w:gridCol w:w="631"/>
        <w:gridCol w:w="902"/>
        <w:gridCol w:w="995"/>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The system shall…</w:t>
            </w:r>
          </w:p>
        </w:tc>
        <w:tc>
          <w:tcPr>
            <w:tcW w:type="dxa" w:w="63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BR</w:t>
            </w:r>
          </w:p>
        </w:tc>
        <w:tc>
          <w:tcPr>
            <w:tcW w:type="dxa" w:w="99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FR-ADM-S01</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a new institution (tenant): profile, NACTVET registration number, domains, branding, campuses, GePG settings.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FR-ADM-S02</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users, roles, permissions and data scopes; enforce MFA for privileged roles.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BR-36</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FR-ADM-S03</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approval workflows (stages, approvers, thresholds) for admissions, results, status changes and finance.</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BR-17</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FR-ADM-S04</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audit logs for logins and all create/update/approve/delete actions on sensitive data, with before/after values; logs are read-only.</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BR-37</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FR-ADM-S05</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Manage document and letter templates, numbering sequences and system parameters.</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BR-35</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FR-ADM-S06</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data subject requests (access, correction) and retention/anonymisation jobs.</w:t>
            </w:r>
          </w:p>
        </w:tc>
        <w:tc>
          <w:tcPr>
            <w:tcW w:type="dxa" w:w="63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BR-38</w:t>
            </w:r>
          </w:p>
        </w:tc>
        <w:tc>
          <w:tcPr>
            <w:tcW w:type="dxa" w:w="99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FR-ADM-S07</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Provide data import tools with validation reports for migration.</w:t>
            </w:r>
          </w:p>
        </w:tc>
        <w:tc>
          <w:tcPr>
            <w:tcW w:type="dxa" w:w="63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BR-39</w:t>
            </w:r>
          </w:p>
        </w:tc>
        <w:tc>
          <w:tcPr>
            <w:tcW w:type="dxa" w:w="99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bl>
    <w:p>
      <w:pPr>
        <w:spacing w:after="120"/>
      </w:pPr>
    </w:p>
    <w:p>
      <w:pPr>
        <w:pStyle w:val="Heading2"/>
      </w:pPr>
      <w:r>
        <w:rPr>
          <w:rFonts w:ascii="Calibri" w:cs="Calibri" w:eastAsia="Calibri" w:hAnsi="Calibri"/>
        </w:rPr>
        <w:t xml:space="preserve">4.14 M14 — Integration Hub</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63"/>
        <w:gridCol w:w="1985"/>
        <w:gridCol w:w="3971"/>
        <w:gridCol w:w="902"/>
        <w:gridCol w:w="905"/>
      </w:tblGrid>
      <w:tr>
        <w:trPr>
          <w:tblHeader/>
        </w:trPr>
        <w:tc>
          <w:tcPr>
            <w:tcW w:type="dxa" w:w="126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External system</w:t>
            </w:r>
          </w:p>
        </w:tc>
        <w:tc>
          <w:tcPr>
            <w:tcW w:type="dxa" w:w="397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Interaction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w:t>
            </w:r>
          </w:p>
        </w:tc>
        <w:tc>
          <w:tcPr>
            <w:tcW w:type="dxa" w:w="9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Release</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FR-INT-01</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NECTA</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Retrieve CSEE/ACSEE results by index number and year.</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FR-INT-02</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NACTVET</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 verification submission and outcomes; student registration; results and graduand submission; AVN verification. API where available, otherwise generated files in NACTVET templates with outcome import.</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FR-INT-03</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Bill submission, control number response, payment notification, reconciliation (signed messages per GePG specification).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FR-INT-04</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SMS gateway / Email</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Outbound messages with delivery reports.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FR-INT-05</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HESLB</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beneficiaries and disbursements; export registration/continuation data.</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NIDA</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national identification number (optional per institution).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FR-INT-07</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MUSE / ERP</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Export summarised fee postings.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r>
        <w:trPr>
          <w:cantSplit/>
        </w:trPr>
        <w:tc>
          <w:tcPr>
            <w:tcW w:type="dxa" w:w="126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FR-INT-08</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TAMISEMI selections</w:t>
            </w:r>
          </w:p>
        </w:tc>
        <w:tc>
          <w:tcPr>
            <w:tcW w:type="dxa" w:w="397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Import selected students where applicable.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R1</w:t>
            </w:r>
          </w:p>
        </w:tc>
      </w:tr>
      <w:tr>
        <w:trPr>
          <w:cantSplit/>
        </w:trPr>
        <w:tc>
          <w:tcPr>
            <w:tcW w:type="dxa" w:w="126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FR-INT-09</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 API</w:t>
            </w:r>
          </w:p>
        </w:tc>
        <w:tc>
          <w:tcPr>
            <w:tcW w:type="dxa" w:w="397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Documented REST API (OpenAPI) with OAuth2 client credentials for approved third parties (e.g. library, LMS).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w:t>
            </w:r>
          </w:p>
        </w:tc>
        <w:tc>
          <w:tcPr>
            <w:tcW w:type="dxa" w:w="9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R3</w:t>
            </w:r>
          </w:p>
        </w:tc>
      </w:tr>
    </w:tbl>
    <w:p>
      <w:pPr>
        <w:spacing w:after="120"/>
      </w:pPr>
    </w:p>
    <w:p>
      <w:pPr>
        <w:pStyle w:val="Heading1"/>
      </w:pPr>
      <w:r>
        <w:rPr>
          <w:rFonts w:ascii="Calibri" w:cs="Calibri" w:eastAsia="Calibri" w:hAnsi="Calibri"/>
        </w:rPr>
        <w:t xml:space="preserve">5. Grading and Regulations Configuration</w:t>
      </w:r>
    </w:p>
    <w:p>
      <w:pPr>
        <w:spacing w:after="120" w:line="276"/>
        <w:jc w:val="both"/>
      </w:pPr>
      <w:r>
        <w:rPr>
          <w:rFonts w:ascii="Calibri" w:cs="Calibri" w:eastAsia="Calibri" w:hAnsi="Calibri"/>
        </w:rPr>
        <w:t xml:space="preserve">Grading and progression rules differ by award level and may be revised by NACTVET or the institution. CIMS therefore stores them as versioned configuration rather than code. The tables below show an indicative configuration as used in published NACTVET-aligned institutional regulations; each institution confirms its own values during inception.</w:t>
      </w:r>
    </w:p>
    <w:p>
      <w:pPr>
        <w:pStyle w:val="Heading3"/>
      </w:pPr>
      <w:r>
        <w:rPr>
          <w:rFonts w:ascii="Calibri" w:cs="Calibri" w:eastAsia="Calibri" w:hAnsi="Calibri"/>
        </w:rPr>
        <w:t xml:space="preserve">Example: NTA Levels 4–5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80–100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65–79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NTA Level 6 grading scale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1805"/>
        <w:gridCol w:w="2256"/>
        <w:gridCol w:w="2258"/>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Marks</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w:t>
            </w:r>
          </w:p>
        </w:tc>
        <w:tc>
          <w:tcPr>
            <w:tcW w:type="dxa" w:w="225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Grade points</w:t>
            </w:r>
          </w:p>
        </w:tc>
        <w:tc>
          <w:tcPr>
            <w:tcW w:type="dxa" w:w="225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Remark</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75–100</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Excellent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70–74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Very good</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65–69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Good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50–64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Average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40–49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w:t>
            </w:r>
          </w:p>
        </w:tc>
        <w:tc>
          <w:tcPr>
            <w:tcW w:type="dxa" w:w="225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25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Poor</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0–39</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w:t>
            </w:r>
          </w:p>
        </w:tc>
        <w:tc>
          <w:tcPr>
            <w:tcW w:type="dxa" w:w="225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w:t>
            </w:r>
          </w:p>
        </w:tc>
        <w:tc>
          <w:tcPr>
            <w:tcW w:type="dxa" w:w="225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Failure</w:t>
            </w:r>
          </w:p>
        </w:tc>
      </w:tr>
    </w:tbl>
    <w:p>
      <w:pPr>
        <w:spacing w:after="120"/>
      </w:pPr>
    </w:p>
    <w:p>
      <w:pPr>
        <w:pStyle w:val="Heading3"/>
      </w:pPr>
      <w:r>
        <w:rPr>
          <w:rFonts w:ascii="Calibri" w:cs="Calibri" w:eastAsia="Calibri" w:hAnsi="Calibri"/>
        </w:rPr>
        <w:t xml:space="preserve">Example: award classification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2978"/>
        <w:gridCol w:w="2980"/>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Class</w:t>
            </w:r>
          </w:p>
        </w:tc>
        <w:tc>
          <w:tcPr>
            <w:tcW w:type="dxa" w:w="297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4–5 GPA</w:t>
            </w:r>
          </w:p>
        </w:tc>
        <w:tc>
          <w:tcPr>
            <w:tcW w:type="dxa" w:w="298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NTA 6 GPA</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First Class</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3.5–4.0</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4.4–5.0</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Upper Second Class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3.5–4.3</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Second Class / Lower Second</w:t>
            </w:r>
          </w:p>
        </w:tc>
        <w:tc>
          <w:tcPr>
            <w:tcW w:type="dxa" w:w="297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3.0–3.4</w:t>
            </w:r>
          </w:p>
        </w:tc>
        <w:tc>
          <w:tcPr>
            <w:tcW w:type="dxa" w:w="298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2.7–3.4</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Pass</w:t>
            </w:r>
          </w:p>
        </w:tc>
        <w:tc>
          <w:tcPr>
            <w:tcW w:type="dxa" w:w="297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2.0–2.9</w:t>
            </w:r>
          </w:p>
        </w:tc>
        <w:tc>
          <w:tcPr>
            <w:tcW w:type="dxa" w:w="298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2.0–2.6</w:t>
            </w:r>
          </w:p>
        </w:tc>
      </w:tr>
    </w:tbl>
    <w:p>
      <w:pPr>
        <w:spacing w:after="120"/>
      </w:pPr>
    </w:p>
    <w:p>
      <w:pPr>
        <w:pStyle w:val="Heading3"/>
      </w:pPr>
      <w:r>
        <w:rPr>
          <w:rFonts w:ascii="Calibri" w:cs="Calibri" w:eastAsia="Calibri" w:hAnsi="Calibri"/>
        </w:rPr>
        <w:t xml:space="preserve">Other configurable regulation parameters</w:t>
      </w:r>
    </w:p>
    <w:p>
      <w:pPr>
        <w:pStyle w:val="ListParagraph"/>
        <w:numPr>
          <w:ilvl w:val="0"/>
          <w:numId w:val="2"/>
        </w:numPr>
        <w:spacing w:after="60" w:line="264"/>
      </w:pPr>
      <w:r>
        <w:rPr>
          <w:rFonts w:ascii="Calibri" w:cs="Calibri" w:eastAsia="Calibri" w:hAnsi="Calibri"/>
        </w:rPr>
        <w:t xml:space="preserve">CA/SE weights (e.g. 40/60) and component pass marks (e.g. CA ≥ 20/40 and SE ≥ 30/60).</w:t>
      </w:r>
    </w:p>
    <w:p>
      <w:pPr>
        <w:pStyle w:val="ListParagraph"/>
        <w:numPr>
          <w:ilvl w:val="0"/>
          <w:numId w:val="2"/>
        </w:numPr>
        <w:spacing w:after="60" w:line="264"/>
      </w:pPr>
      <w:r>
        <w:rPr>
          <w:rFonts w:ascii="Calibri" w:cs="Calibri" w:eastAsia="Calibri" w:hAnsi="Calibri"/>
        </w:rPr>
        <w:t xml:space="preserve">Minimum attendance for examination eligibility (e.g. 75%).</w:t>
      </w:r>
    </w:p>
    <w:p>
      <w:pPr>
        <w:pStyle w:val="ListParagraph"/>
        <w:numPr>
          <w:ilvl w:val="0"/>
          <w:numId w:val="2"/>
        </w:numPr>
        <w:spacing w:after="60" w:line="264"/>
      </w:pPr>
      <w:r>
        <w:rPr>
          <w:rFonts w:ascii="Calibri" w:cs="Calibri" w:eastAsia="Calibri" w:hAnsi="Calibri"/>
        </w:rPr>
        <w:t xml:space="preserve">Supplementary eligibility (e.g. failed fewer than 50% of modules) and maximum grade after supplementary or carry-over (e.g. C).</w:t>
      </w:r>
    </w:p>
    <w:p>
      <w:pPr>
        <w:pStyle w:val="ListParagraph"/>
        <w:numPr>
          <w:ilvl w:val="0"/>
          <w:numId w:val="2"/>
        </w:numPr>
        <w:spacing w:after="60" w:line="264"/>
      </w:pPr>
      <w:r>
        <w:rPr>
          <w:rFonts w:ascii="Calibri" w:cs="Calibri" w:eastAsia="Calibri" w:hAnsi="Calibri"/>
        </w:rPr>
        <w:t xml:space="preserve">Discontinuation thresholds (e.g. annual GPA below 2.0) and repeat-year conditions.</w:t>
      </w:r>
    </w:p>
    <w:p>
      <w:pPr>
        <w:pStyle w:val="ListParagraph"/>
        <w:numPr>
          <w:ilvl w:val="0"/>
          <w:numId w:val="2"/>
        </w:numPr>
        <w:spacing w:after="60" w:line="264"/>
      </w:pPr>
      <w:r>
        <w:rPr>
          <w:rFonts w:ascii="Calibri" w:cs="Calibri" w:eastAsia="Calibri" w:hAnsi="Calibri"/>
        </w:rPr>
        <w:t xml:space="preserve">NVA competence rules: units required, evidence types, competent/not-yet-competent outcomes, re-assessment limits.</w:t>
      </w:r>
    </w:p>
    <w:p>
      <w:pPr>
        <w:pStyle w:val="ListParagraph"/>
        <w:numPr>
          <w:ilvl w:val="0"/>
          <w:numId w:val="2"/>
        </w:numPr>
        <w:spacing w:after="60" w:line="264"/>
      </w:pPr>
      <w:r>
        <w:rPr>
          <w:rFonts w:ascii="Calibri" w:cs="Calibri" w:eastAsia="Calibri" w:hAnsi="Calibri"/>
        </w:rPr>
        <w:t xml:space="preserve">Rounding rules and the number of decimal places for GPA.</w:t>
      </w:r>
    </w:p>
    <w:p>
      <w:pPr>
        <w:pStyle w:val="Heading1"/>
      </w:pPr>
      <w:r>
        <w:rPr>
          <w:rFonts w:ascii="Calibri" w:cs="Calibri" w:eastAsia="Calibri" w:hAnsi="Calibri"/>
        </w:rPr>
        <w:t xml:space="preserve">6. Key Use Cases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1805"/>
        <w:gridCol w:w="1624"/>
        <w:gridCol w:w="4875"/>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Use case</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actor</w:t>
            </w:r>
          </w:p>
        </w:tc>
        <w:tc>
          <w:tcPr>
            <w:tcW w:type="dxa" w:w="487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Main success outcome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applicant account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Account created and verified by SMS OTP.</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application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verified from NECTA/AVN, fee paid via GePG, eligible choices submitted; reference number issued.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Configure admission window</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Window, programmes, capacity, fees and entry rules published.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Run selection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Ranked list within capacity approved by Admissions Committee.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Submit for NACTVET verification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Selected applicants submitted; outcomes and confirmation codes recorded.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Accept offer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 accepted (and confirmed where multiple admission); admission letter downloaded.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Register for semester</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Registration approved after clearance; student on class lists.</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Pay fees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Control number issued, payment notified by GePG, receipt issued, balance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UC-09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modules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Head of Department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Lecturers assigned; class lists available.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attendance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Attendance saved; eligibility updated.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UC-11</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Enter marks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Lecturer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CA/SE marks submitted for moderation.</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UC-12</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 results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HoD → Boards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approved at each stage and locked.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UC-13</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Publish results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Examinations Officer</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Results visible to students; SMS sent; NACTVET file generated.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UC-14</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Record NVA competence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Assessor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Unit outcomes recorded with evidence.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UC-15</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Apply for supplementary/remark</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and fee recorded; outcome returned.</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UC-16</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Allocate hostel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Warden</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Bed allocated, fee invoiced, student notified.</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UC-17</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Change student 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Status changed with approval and history.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UC-18</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Complete clearance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 / Clearance officers</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offices clear; student eligible for graduation.</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UC-19</w:t>
            </w:r>
          </w:p>
        </w:tc>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Verify document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Third party</w:t>
            </w:r>
          </w:p>
        </w:tc>
        <w:tc>
          <w:tcPr>
            <w:tcW w:type="dxa" w:w="487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Authenticity confirmed by QR or verification number.</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UC-20</w:t>
            </w:r>
          </w:p>
        </w:tc>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Onboard institution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Platform Administrator</w:t>
            </w:r>
          </w:p>
        </w:tc>
        <w:tc>
          <w:tcPr>
            <w:tcW w:type="dxa" w:w="487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Tenant created, branded and ready for configuration.</w:t>
            </w:r>
          </w:p>
        </w:tc>
      </w:tr>
    </w:tbl>
    <w:p>
      <w:pPr>
        <w:spacing w:after="120"/>
      </w:pPr>
    </w:p>
    <w:p>
      <w:pPr>
        <w:pStyle w:val="Heading3"/>
      </w:pPr>
      <w:r>
        <w:rPr>
          <w:rFonts w:ascii="Calibri" w:cs="Calibri" w:eastAsia="Calibri" w:hAnsi="Calibri"/>
        </w:rPr>
        <w:t xml:space="preserve">Use case detail example — UC-02 Submit application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Preconditions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Admission window is open; applicant account is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Main flow</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1. Applicant enters NECTA index number(s) and/or AVN. 2. System retrieves and displays results. 3. Applicant confirms personal details and uploads documents. 4. System generates control number for application fee. 5. Applicant pays via bank or mobile money. 6. GePG notifies payment; system unlocks programme selection. 7. Applicant selects choices; system shows eligibility per choice. 8. Applicant submits; system issues reference number and sends SMS.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Alternative flows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NECTA service unavailable → applicant may continue; results fetched later in background. Results mismatch → flagged for officer review. Payment not received in 72 hours → reminder; control number expires and can be regenerated.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Postconditions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Application status = Submitted; audit record created.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Requirements</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FR-ADM-02, 05, 06, 07, 08, 09; BRU-01, BRU-02.</w:t>
            </w:r>
          </w:p>
        </w:tc>
      </w:tr>
    </w:tbl>
    <w:p>
      <w:pPr>
        <w:spacing w:after="120"/>
      </w:pPr>
    </w:p>
    <w:p>
      <w:pPr>
        <w:pStyle w:val="Heading1"/>
      </w:pPr>
      <w:r>
        <w:rPr>
          <w:rFonts w:ascii="Calibri" w:cs="Calibri" w:eastAsia="Calibri" w:hAnsi="Calibri"/>
        </w:rPr>
        <w:t xml:space="preserve">7. Standard Report Catalogue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24"/>
        <w:gridCol w:w="4693"/>
        <w:gridCol w:w="2709"/>
      </w:tblGrid>
      <w:tr>
        <w:trPr>
          <w:tblHeader/>
        </w:trPr>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469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Reports</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Primary users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Applications by programme/gender/region; eligibility summary; selection list; NACTVET verification status; admission letters issued; acceptance rate.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Admissions, Management</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Enrolment by programme/level/year/gender; nominal roll; status changes; NACTVET registration status; age and region profile.</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Academic</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Class lists; attendance summary; eligibility lists; module results; programme results summary; GPA distribution; supplementary and carry-over lists; discontinued list; NACTVET results file.</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Departments, Exams</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Collections by date/fee item/channel; debtor list and ageing; sponsor statements; reconciliation exceptions; waivers and refunds register; revenue forecast vs actual.</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Finance, Management, Auditors</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Occupancy by hostel/gender; allocation list; unpaid allocations; damages register.</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Finance</w:t>
            </w:r>
          </w:p>
        </w:tc>
      </w:tr>
      <w:tr>
        <w:trPr>
          <w:cantSplit/>
        </w:trPr>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Graduation</w:t>
            </w:r>
          </w:p>
        </w:tc>
        <w:tc>
          <w:tcPr>
            <w:tcW w:type="dxa" w:w="469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Graduand list; award classification summary; transcripts issued; clearance status.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Registry, Management</w:t>
            </w:r>
          </w:p>
        </w:tc>
      </w:tr>
      <w:tr>
        <w:trPr>
          <w:cantSplit/>
        </w:trPr>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Governance</w:t>
            </w:r>
          </w:p>
        </w:tc>
        <w:tc>
          <w:tcPr>
            <w:tcW w:type="dxa" w:w="469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User access review; audit log extracts; data subject requests log.</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ICT, Auditors</w:t>
            </w:r>
          </w:p>
        </w:tc>
      </w:tr>
    </w:tbl>
    <w:p>
      <w:pPr>
        <w:spacing w:after="120"/>
      </w:pPr>
    </w:p>
    <w:p>
      <w:pPr>
        <w:pStyle w:val="Heading1"/>
      </w:pPr>
      <w:r>
        <w:rPr>
          <w:rFonts w:ascii="Calibri" w:cs="Calibri" w:eastAsia="Calibri" w:hAnsi="Calibri"/>
        </w:rPr>
        <w:t xml:space="preserve">8.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73"/>
        <w:gridCol w:w="1444"/>
        <w:gridCol w:w="6409"/>
      </w:tblGrid>
      <w:tr>
        <w:trPr>
          <w:tblHeader/>
        </w:trPr>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ID</w:t>
            </w:r>
          </w:p>
        </w:tc>
        <w:tc>
          <w:tcPr>
            <w:tcW w:type="dxa" w:w="144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Area</w:t>
            </w:r>
          </w:p>
        </w:tc>
        <w:tc>
          <w:tcPr>
            <w:tcW w:type="dxa" w:w="64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Requirement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Performance</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95% of staff and portal pages respond within 2 seconds and 99% within 4 seconds at normal load.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Peak load</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Support at least 2,000 concurrent users per large institution and 10,000 across the shared platform during application deadlines and results publication, without degradation beyond NFR-PER-01 limits by more than 50%.</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NFR-PER-03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Batch</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Generate invoices for 5,000 students in under 10 minutes; compute GPA for 5,000 students in under 5 minutes.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Availability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Cloud service: 99.5% monthly availability, excluding announced maintenance outside 07:00–22:00 EAT.</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NFR-AVL-02</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Recovery point objective (maximum data loss) 15 minutes; recovery time objective 4 hours.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NFR-AVL-03</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Backups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Encrypted daily full backups kept 35 days, monthly kept 12 months, at a separate location; restoration tested quarterly.</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Authentication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OpenID Connect single sign-on; password policy (minimum 10 characters, breach-list check); MFA mandatory for privileged roles; account lock-out after repeated failures.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Sessions</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Idle timeout 15 minutes for staff, 30 minutes for students/applicants.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Encryption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TLS 1.2+ for all traffic; encryption at rest for databases, backups and documents; sensitive fields (e.g. NIN) encrypted at application level.</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NFR-SEC-04</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Assurance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Meet OWASP ASVS Level 2; independent penetration test before each major release; critical findings fixed before go-live.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NFR-SEC-05</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Isolation</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No user or API can read or change another tenant's data; enforced in application and database (row-level security), verified by automated tests.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NFR-PRV-01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Privacy notice and consent at application; data minimisation; configurable retention; data subject request handling; breach notification procedure.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Usability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Responsive design from 360px phone width; applicant journey completable on a basic smartphone; common tasks in no more than 3 clicks from the dashboard.</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NFR-USA-02</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Language</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 user-facing text available in English and Kiswahili.</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NFR-USA-03</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Accessibility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WCAG 2.1 Level AA for public portals.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NFR-CMP-01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Compatibility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Latest two versions of Chrome, Edge, Firefox and Safari; Android 9+ browsers.</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NFR-INT-01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Interoperability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REST/JSON APIs documented with OpenAPI 3; integrations resilient to outages through queues and retries.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NFR-SCL-01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Scale horizontally to at least 100 tenants and 200,000 active students without architectural change.</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NFR-MNT-01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Maintainability</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Modular code with automated tests (at least 70% coverage of business logic); database changes by versioned migrations.</w:t>
            </w:r>
          </w:p>
        </w:tc>
      </w:tr>
      <w:tr>
        <w:trPr>
          <w:cantSplit/>
        </w:trPr>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NFR-AUD-01</w:t>
            </w:r>
          </w:p>
        </w:tc>
        <w:tc>
          <w:tcPr>
            <w:tcW w:type="dxa" w:w="144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Auditability</w:t>
            </w:r>
          </w:p>
        </w:tc>
        <w:tc>
          <w:tcPr>
            <w:tcW w:type="dxa" w:w="64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records retained at least 7 years and protected from modification.</w:t>
            </w:r>
          </w:p>
        </w:tc>
      </w:tr>
      <w:tr>
        <w:trPr>
          <w:cantSplit/>
        </w:trPr>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NFR-OPS-01</w:t>
            </w:r>
          </w:p>
        </w:tc>
        <w:tc>
          <w:tcPr>
            <w:tcW w:type="dxa" w:w="144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Operations</w:t>
            </w:r>
          </w:p>
        </w:tc>
        <w:tc>
          <w:tcPr>
            <w:tcW w:type="dxa" w:w="64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Health checks, centralised logs, metrics and alerting; support desk with severity-based response times (see Document 07).</w:t>
            </w:r>
          </w:p>
        </w:tc>
      </w:tr>
    </w:tbl>
    <w:p>
      <w:pPr>
        <w:spacing w:after="120"/>
      </w:pPr>
    </w:p>
    <w:p>
      <w:pPr>
        <w:pStyle w:val="Heading1"/>
      </w:pPr>
      <w:r>
        <w:rPr>
          <w:rFonts w:ascii="Calibri" w:cs="Calibri" w:eastAsia="Calibri" w:hAnsi="Calibri"/>
        </w:rPr>
        <w:t xml:space="preserve">9. Requirements Traceability Matrix</w:t>
      </w:r>
    </w:p>
    <w:p>
      <w:pPr>
        <w:spacing w:after="120" w:line="276"/>
        <w:jc w:val="both"/>
      </w:pPr>
      <w:r>
        <w:rPr>
          <w:rFonts w:ascii="Calibri" w:cs="Calibri" w:eastAsia="Calibri" w:hAnsi="Calibri"/>
        </w:rPr>
        <w:t xml:space="preserve">The matrix links each business requirement to the functional requirements, use cases and business processes (Document 04) that satisfy it, and to the release that delivers 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249"/>
        <w:gridCol w:w="1624"/>
        <w:gridCol w:w="1624"/>
        <w:gridCol w:w="1627"/>
      </w:tblGrid>
      <w:tr>
        <w:trPr>
          <w:tblHeader/>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BR</w:t>
            </w:r>
          </w:p>
        </w:tc>
        <w:tc>
          <w:tcPr>
            <w:tcW w:type="dxa" w:w="324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Functional requirements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Use cases</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Processes</w:t>
            </w:r>
          </w:p>
        </w:tc>
        <w:tc>
          <w:tcPr>
            <w:tcW w:type="dxa" w:w="16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Release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FR-ADM-01, 02, 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UC-01, 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BR-02</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BR-03</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FR-ADM-04, 09</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 BP-03</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BR-04</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FR-ADM-05, 06; FR-INT-01, 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FR-ADM-08; FR-INT-03</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BR-06</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FR-ADM-10, 11, 13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BR-07</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FR-ADM-12, 14; FR-REG-07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UC-05,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BR-08</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FR-ADM-15; FR-INT-08</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BP-04</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BR-09–11</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FR-REG-01 to 04,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17</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BP-05, BP-14</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BR-12–13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FR-ACA-01 to 05; FR-REG-05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BP-01, BP-07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BR-14–15</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FR-TCH-01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UC-09, 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BP-07</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BR-16–19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FR-EXM-01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UC-11 to 14</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BP-08, 09, 10</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BR-20</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FR-EXM-12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BP-11</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FR-IPT-01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BP-13</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BR-22–23, 25–26</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FR-FIN-01 to 06, 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UC-08</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BP-06</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BR-24, 27</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FR-FIN-07 to 11</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BP-17</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BR-28</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FR-HST-01 to 06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UC-16</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BP-12</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BR-29–31</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FR-GRD-01 to 05</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UC-18, 19</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BP-15, BP-16</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R2/R3</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FR-STU-01 to 04</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UC-07, 08, 15</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Various</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BR-33</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FR-COM-01 to 03</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BR-34</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FR-RPT-01 to 03; FR-ADM-16; FR-EXM-14; FR-FIN-12</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BR-35–39</w:t>
            </w:r>
          </w:p>
        </w:tc>
        <w:tc>
          <w:tcPr>
            <w:tcW w:type="dxa" w:w="324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FR-ADM-S01 to S07</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UC-20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BR-40–42</w:t>
            </w:r>
          </w:p>
        </w:tc>
        <w:tc>
          <w:tcPr>
            <w:tcW w:type="dxa" w:w="324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NFR-USA-02; FR-INT-09; NFR-AVL-01</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c>
          <w:tcPr>
            <w:tcW w:type="dxa" w:w="16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R1–R3</w:t>
            </w:r>
          </w:p>
        </w:tc>
      </w:tr>
    </w:tbl>
    <w:p>
      <w:pPr>
        <w:spacing w:after="120"/>
      </w:pPr>
    </w:p>
    <w:p>
      <w:pPr>
        <w:pStyle w:val="Heading1"/>
      </w:pPr>
      <w:r>
        <w:rPr>
          <w:rFonts w:ascii="Calibri" w:cs="Calibri" w:eastAsia="Calibri" w:hAnsi="Calibri"/>
        </w:rPr>
        <w:t xml:space="preserve">10. Acceptance Criteria</w:t>
      </w:r>
    </w:p>
    <w:p>
      <w:pPr>
        <w:pStyle w:val="ListParagraph"/>
        <w:numPr>
          <w:ilvl w:val="0"/>
          <w:numId w:val="2"/>
        </w:numPr>
        <w:spacing w:after="60" w:line="264"/>
      </w:pPr>
      <w:r>
        <w:rPr>
          <w:rFonts w:ascii="Calibri" w:cs="Calibri" w:eastAsia="Calibri" w:hAnsi="Calibri"/>
        </w:rPr>
        <w:t xml:space="preserve">Every Must requirement in the release passes its test cases in system and user acceptance testing.</w:t>
      </w:r>
    </w:p>
    <w:p>
      <w:pPr>
        <w:pStyle w:val="ListParagraph"/>
        <w:numPr>
          <w:ilvl w:val="0"/>
          <w:numId w:val="2"/>
        </w:numPr>
        <w:spacing w:after="60" w:line="264"/>
      </w:pPr>
      <w:r>
        <w:rPr>
          <w:rFonts w:ascii="Calibri" w:cs="Calibri" w:eastAsia="Calibri" w:hAnsi="Calibri"/>
        </w:rPr>
        <w:t xml:space="preserve">No open critical or high defects; medium defects have an agreed fix plan.</w:t>
      </w:r>
    </w:p>
    <w:p>
      <w:pPr>
        <w:pStyle w:val="ListParagraph"/>
        <w:numPr>
          <w:ilvl w:val="0"/>
          <w:numId w:val="2"/>
        </w:numPr>
        <w:spacing w:after="60" w:line="264"/>
      </w:pPr>
      <w:r>
        <w:rPr>
          <w:rFonts w:ascii="Calibri" w:cs="Calibri" w:eastAsia="Calibri" w:hAnsi="Calibri"/>
        </w:rPr>
        <w:t xml:space="preserve">Performance and security tests meet NFR-PER and NFR-SEC requirements; penetration test critical/high findings resolved.</w:t>
      </w:r>
    </w:p>
    <w:p>
      <w:pPr>
        <w:pStyle w:val="ListParagraph"/>
        <w:numPr>
          <w:ilvl w:val="0"/>
          <w:numId w:val="2"/>
        </w:numPr>
        <w:spacing w:after="60" w:line="264"/>
      </w:pPr>
      <w:r>
        <w:rPr>
          <w:rFonts w:ascii="Calibri" w:cs="Calibri" w:eastAsia="Calibri" w:hAnsi="Calibri"/>
        </w:rPr>
        <w:t xml:space="preserve">Migrated data reconciled and signed off by the data owners.</w:t>
      </w:r>
    </w:p>
    <w:p>
      <w:pPr>
        <w:pStyle w:val="ListParagraph"/>
        <w:numPr>
          <w:ilvl w:val="0"/>
          <w:numId w:val="2"/>
        </w:numPr>
        <w:spacing w:after="60" w:line="264"/>
      </w:pPr>
      <w:r>
        <w:rPr>
          <w:rFonts w:ascii="Calibri" w:cs="Calibri" w:eastAsia="Calibri" w:hAnsi="Calibri"/>
        </w:rPr>
        <w:t xml:space="preserve">Users trained and user manuals delivered in English and Kiswahili.</w:t>
      </w:r>
    </w:p>
    <w:p>
      <w:pPr>
        <w:pStyle w:val="ListParagraph"/>
        <w:numPr>
          <w:ilvl w:val="0"/>
          <w:numId w:val="2"/>
        </w:numPr>
        <w:spacing w:after="60" w:line="264"/>
      </w:pPr>
      <w:r>
        <w:rPr>
          <w:rFonts w:ascii="Calibri" w:cs="Calibri" w:eastAsia="Calibri" w:hAnsi="Calibri"/>
        </w:rPr>
        <w:t xml:space="preserve">Acceptance signed by the Project Sponsor and the pilot institution heads.</w:t>
      </w:r>
    </w:p>
    <w:p>
      <w:pPr>
        <w:pStyle w:val="Heading1"/>
      </w:pPr>
      <w:r>
        <w:rPr>
          <w:rFonts w:ascii="Calibri" w:cs="Calibri" w:eastAsia="Calibri" w:hAnsi="Calibri"/>
        </w:rPr>
        <w:t xml:space="preserve">11. As-Built Status (October 2026)</w:t>
      </w:r>
    </w:p>
    <w:p>
      <w:pPr>
        <w:spacing w:after="120" w:line="276"/>
        <w:jc w:val="both"/>
      </w:pPr>
      <w:r>
        <w:rPr>
          <w:rFonts w:ascii="Calibri" w:cs="Calibri" w:eastAsia="Calibri" w:hAnsi="Calibri"/>
        </w:rPr>
        <w:t xml:space="preserve">This section records, for version 3.0, how far the system as built meets each requirement in this specification. The requirements above remain the acceptance baseline. </w:t>
      </w:r>
      <w:r>
        <w:rPr>
          <w:rFonts w:ascii="Calibri" w:cs="Calibri" w:eastAsia="Calibri" w:hAnsi="Calibri"/>
          <w:b/>
          <w:bCs/>
        </w:rPr>
        <w:t xml:space="preserve">Built</w:t>
      </w:r>
      <w:r>
        <w:rPr>
          <w:rFonts w:ascii="Calibri" w:cs="Calibri" w:eastAsia="Calibri" w:hAnsi="Calibri"/>
        </w:rPr>
        <w:t xml:space="preserve">: in the system and covered by automated tests. </w:t>
      </w:r>
      <w:r>
        <w:rPr>
          <w:rFonts w:ascii="Calibri" w:cs="Calibri" w:eastAsia="Calibri" w:hAnsi="Calibri"/>
          <w:b/>
          <w:bCs/>
        </w:rPr>
        <w:t xml:space="preserve">Partly built</w:t>
      </w:r>
      <w:r>
        <w:rPr>
          <w:rFonts w:ascii="Calibri" w:cs="Calibri" w:eastAsia="Calibri" w:hAnsi="Calibri"/>
        </w:rPr>
        <w:t xml:space="preserve">: usable, with the gap stated. </w:t>
      </w:r>
      <w:r>
        <w:rPr>
          <w:rFonts w:ascii="Calibri" w:cs="Calibri" w:eastAsia="Calibri" w:hAnsi="Calibri"/>
          <w:b/>
          <w:bCs/>
        </w:rPr>
        <w:t xml:space="preserve">Not yet built</w:t>
      </w:r>
      <w:r>
        <w:rPr>
          <w:rFonts w:ascii="Calibri" w:cs="Calibri" w:eastAsia="Calibri" w:hAnsi="Calibri"/>
        </w:rPr>
        <w:t xml:space="preserve">: planned, not in the system.</w:t>
      </w:r>
    </w:p>
    <w:p>
      <w:pPr>
        <w:pStyle w:val="Heading2"/>
      </w:pPr>
      <w:r>
        <w:rPr>
          <w:rFonts w:ascii="Calibri" w:cs="Calibri" w:eastAsia="Calibri" w:hAnsi="Calibri"/>
        </w:rPr>
        <w:t xml:space="preserve">11.1 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173"/>
        <w:gridCol w:w="6770"/>
      </w:tblGrid>
      <w:tr>
        <w:trPr>
          <w:tblHeader/>
          <w:cantSplit/>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17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77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Branded portal per institution with logo, colours, campus photo, programmes and a How to apply guide.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Account by Form Four index number with SMS verification code and password reset; email is optional and not verified.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 and intake with dates, programmes, capacity and fee; publish, open, close early, reopen, extend.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 rules per programme as JSON (subjects, grades, passes, prior award level, alternatives).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and ACSEE from NECTA by index number and year; names are taken from NECTA, so mismatches cannot arise at sign-up.</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NTA awards fetched from NACTVET by registration number and graduation year (instead of AVN); NVA and other awards declared and verified by the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Personal details, contacts, next of kin, impairment and education history are captured; document uploads are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 for the application fee; submission only after payment (GePG simulated).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choice with reasons shown before submitting; only eligible choices can be submitted.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FR-ADM-10</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Merit ranking and stable allocation within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Exclusions with reasons and approval by someone other than the proposer.</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API submission or NACTVET template file; outcome per applicant with reason and verification number (live endpoints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Letters with joining instructions and QR code, SMS notice; email is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Acceptance, decline, confirmation code, deadline, lapse and released places refilled by the next round.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 of externally selected students.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FR-ADM-16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Admissions dashboard and reports ADM-01 to ADM-08.</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Hand-over creates the student from the accepted application.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pattern; unique and never reused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confirms details and modules, clearance checked, Registry approves or returns.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recommendation, decision and effective date.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transfers.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cards with photo and QR code, print-ready PDF.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student registration submission.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FR-REG-08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Detail-change requests decided by Registry with reasons.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 and programmes with award family, level, duration, NACTVET code and entry level; campuses and faculties are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modules with code, credits, NTA level, semester, core/elective, assessment type.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can be placed in several programmes' curricula.</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 semesters with registration dates, intakes, calendar events.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FR-ACA-05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 sets per award level, versioned by academic year and locked once used.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Offerings from approved registrations; lecturers allocated by the Head of Department or examinations office.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lists as PDF register and Excel.</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One-tap register on any device, kept offline until sent; QR self check-in.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FR-TCH-04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Percentages per student; below-threshold flag and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plans with weights checked against the regulations.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marks window per semester; entry on screen or validated Excel. Windows per component are not separate.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 SE, total, grade and points computed with component pass marks.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lists from attendance, coursework and examination fees, with exemptions.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Return with comments and lock on confirmation are built; the stages are fixed rather than configurable.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GPA, CGPA and classification.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Proposed decisions for committee confirmation.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sessions, registration with GePG fee, marks after payment, capping.</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 per task with practical and theory scores, assessor, date and evidence.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to the portal with SMS, withheld without results clearance.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file per confirmed sheet and submission record; NACTVET's official template awaited.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Remarks and appeals from request to amendment.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 provisional transcripts with QR code.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FR-EXM-14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performance, class result sheet and results by programme; comparisons across years are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items and structures by programme, year of study and academic year, local and foreign; intake and student category not yet dimensions.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on acceptance, hand-over, hostel allocation, resit and appeal fees, and billing runs.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 numbers requested and shown with payment instructions (GePG simulated).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Signed notification, allocation by item priority, PDF receipts, live balances.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reconciliation file import with exception types and day close.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Gates for registration, examinations, results, hostel and graduation.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Instalments with due dates in fee structures; reminders not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FR-FIN-08</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Waivers with approval threshold; discounts and scholarships as such are not built (sponsors cover scholarships).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FR-FIN-09</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sponsored shares, sponsor invoices, remittances moved to students, statements, CSV list import (HESLB's own formats not yet).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FR-FIN-10</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Refunds from credit with vouchers and two-level approval; waivers posted as credit notes.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CSV by date range; MUSE interface not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FR-FIN-12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debtor ageing, collection reports, finance overview.</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rooms (block, floor, type, accessibility), beds, gender, fee categories, status.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applications with up to three hostel choices, room type and special needs.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Automatic or manual allocation by priority rules; no double allocation (database).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on allocation; unpaid allocations released daily.</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Check-in and check-out with condition, damages and charges.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FR-HST-06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logged by wardens or students, with status updates by SMS.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Organisations with contacts and capacity.</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and supervisors.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Logbook, institution supervisor approval, visits and marks sent to results; the workplace supervisor's mark is entered by staff.</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clear/hold with reasons.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 lists, Board approval and NACTVET 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Statements of results and certificates with verification code and QR code; prints and reprints logged.</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 verification page with minimal personal data, rate-limited.</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FR-GRD-05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and tracer surveys.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Installable portal with dashboard, next steps, notices and profile.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 registration, invoices, control numbers, history and receipts.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 GPA, decisions; resit and remark applications.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FR-STU-04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application, IPT and logbook, clearance, statements and letters.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Dashboards and landing pages per role.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35 reports on screen, Excel and PDF with filters (section 11.3).</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FR-RPT-03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Scheduled reports by email.</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Event notifications by SMS and in-app notices; email is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SMS to filtered groups with delivery and cost.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FR-COM-03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Templates in English and Kiswahili, editable per institution.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FR-ADM-S01</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Onboarding from the platform console with NACTVET registration number, domains, programmes from the catalogue and first administrator; campuses and GePG settings are not configured there yet.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FR-ADM-S02</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 roles and scopes; multi-factor authentication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FR-ADM-S03</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 steps are fixed in the software (with the Department Board optional and thresholds such as the waiver limit configurable).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FR-ADM-S04</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of sign-ins and sensitive actions, append-only, with a page and export.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FR-ADM-S05</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Numbering sequences and parameters configurable; letter templates are built in (joining instructions per window).</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FR-ADM-S06</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subject requests and retention jobs.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FR-ADM-S07</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Migration import tools.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FR-INT-01</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NECTA results client (simulated and live).</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FR-INT-02</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by API or file (live endpoints awaited); results, graduand and NVA files; NTA award look-up live; student registration not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FR-INT-03</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Bills, control numbers, signed notification and reconciliation against a simulator; live GePG adapter to be built with GePG test access.</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FR-INT-04</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delivery reports against a simulated gateway; email not built.</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FR-INT-05</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HESLB handled as a sponsor with list import; HESLB exchange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FR-INT-06</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NIDA.</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FR-INT-07</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Postings CSV; MUSE interface not built.</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FR-INT-08</w:t>
            </w:r>
          </w:p>
        </w:tc>
        <w:tc>
          <w:tcPr>
            <w:tcW w:type="dxa" w:w="117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77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TAMISEMI selections.</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FR-INT-09</w:t>
            </w:r>
          </w:p>
        </w:tc>
        <w:tc>
          <w:tcPr>
            <w:tcW w:type="dxa" w:w="117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77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OpenAPI documentation; OAuth2 client credentials not built.</w:t>
            </w:r>
          </w:p>
        </w:tc>
      </w:tr>
    </w:tbl>
    <w:p>
      <w:pPr>
        <w:spacing w:after="120"/>
      </w:pPr>
    </w:p>
    <w:p>
      <w:pPr>
        <w:spacing w:after="120" w:line="276"/>
        <w:jc w:val="both"/>
      </w:pPr>
      <w:r>
        <w:rPr>
          <w:rFonts w:ascii="Calibri" w:cs="Calibri" w:eastAsia="Calibri" w:hAnsi="Calibri"/>
        </w:rPr>
        <w:t xml:space="preserve">Of the 99 functional requirements, </w:t>
      </w:r>
      <w:r>
        <w:rPr>
          <w:rFonts w:ascii="Calibri" w:cs="Calibri" w:eastAsia="Calibri" w:hAnsi="Calibri"/>
          <w:b/>
          <w:bCs/>
        </w:rPr>
        <w:t xml:space="preserve">66</w:t>
      </w:r>
      <w:r>
        <w:rPr>
          <w:rFonts w:ascii="Calibri" w:cs="Calibri" w:eastAsia="Calibri" w:hAnsi="Calibri"/>
        </w:rPr>
        <w:t xml:space="preserve"> are built, </w:t>
      </w:r>
      <w:r>
        <w:rPr>
          <w:rFonts w:ascii="Calibri" w:cs="Calibri" w:eastAsia="Calibri" w:hAnsi="Calibri"/>
          <w:b/>
          <w:bCs/>
        </w:rPr>
        <w:t xml:space="preserve">24</w:t>
      </w:r>
      <w:r>
        <w:rPr>
          <w:rFonts w:ascii="Calibri" w:cs="Calibri" w:eastAsia="Calibri" w:hAnsi="Calibri"/>
        </w:rPr>
        <w:t xml:space="preserve"> partly built and </w:t>
      </w:r>
      <w:r>
        <w:rPr>
          <w:rFonts w:ascii="Calibri" w:cs="Calibri" w:eastAsia="Calibri" w:hAnsi="Calibri"/>
          <w:b/>
          <w:bCs/>
        </w:rPr>
        <w:t xml:space="preserve">9</w:t>
      </w:r>
      <w:r>
        <w:rPr>
          <w:rFonts w:ascii="Calibri" w:cs="Calibri" w:eastAsia="Calibri" w:hAnsi="Calibri"/>
        </w:rPr>
        <w:t xml:space="preserve"> not yet built.</w:t>
      </w:r>
    </w:p>
    <w:p>
      <w:pPr>
        <w:pStyle w:val="Heading2"/>
      </w:pPr>
      <w:r>
        <w:rPr>
          <w:rFonts w:ascii="Calibri" w:cs="Calibri" w:eastAsia="Calibri" w:hAnsi="Calibri"/>
        </w:rPr>
        <w:t xml:space="preserve">11.2 Non-functional requirements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53"/>
        <w:gridCol w:w="1353"/>
        <w:gridCol w:w="6320"/>
      </w:tblGrid>
      <w:tr>
        <w:trPr>
          <w:tblHeader/>
          <w:cantSplit/>
        </w:trPr>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ID</w:t>
            </w:r>
          </w:p>
        </w:tc>
        <w:tc>
          <w:tcPr>
            <w:tcW w:type="dxa" w:w="13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Status</w:t>
            </w:r>
          </w:p>
        </w:tc>
        <w:tc>
          <w:tcPr>
            <w:tcW w:type="dxa" w:w="632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As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NFR-PER-01..03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 load or batch tests yet; planned before go-live (k6).</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NFR-AVL-01..03</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Production hosting, backups and recovery are set up at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Own token issuer (Keycloak-ready); passwords of 8+ characters with upper and lower case, digit and special character; lock-out after 5 failed sign-ins; MFA and breach-list check not built.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Access tokens expire after 60 minutes (configurable); idle time-outs per user type are not separate.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HSTS and a strict content security policy are set; TLS and encryption at rest come with hosting; no NIN is stored, so no field-level encryption is needed yet.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NFR-SEC-04</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ASVS review and penetration test before go-live.</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NFR-SEC-05</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Row-level security on every institution table, forced for the application role, and tenant isolation tests; start-up refuses a database role that bypasses it.</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NFR-PRV-01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 minimisation in reports and logs; consent, retention and subject requests not built.</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Mobile-first portals checked at 390 px phone width.</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NFR-USA-02</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and student portals in English and Kiswahili; staff back-office in English.</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NFR-USA-03</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 yet measured</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WCAG review planned.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NFR-CMP-01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Tested in Chromium; other browsers to be covered in acceptance testing.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NFR-INT-01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REST/JSON with OpenAPI 3; SMS outbox with retries; integration calls logged.</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NFR-SCL-01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Stateless application and shared schema allow horizontal scaling; not yet load-tested.</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NFR-MNT-01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 automated tests (integration tests against real PostgreSQL); 38 versioned Flyway migrations.</w:t>
            </w:r>
          </w:p>
        </w:tc>
      </w:tr>
      <w:tr>
        <w:trPr>
          <w:cantSplit/>
        </w:trPr>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NFR-AUD-01</w:t>
            </w:r>
          </w:p>
        </w:tc>
        <w:tc>
          <w:tcPr>
            <w:tcW w:type="dxa" w:w="13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records protected from change by a database trigger; the 7-year retention policy is set up with hosting.</w:t>
            </w:r>
          </w:p>
        </w:tc>
      </w:tr>
      <w:tr>
        <w:trPr>
          <w:cantSplit/>
        </w:trPr>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NFR-OPS-01</w:t>
            </w:r>
          </w:p>
        </w:tc>
        <w:tc>
          <w:tcPr>
            <w:tcW w:type="dxa" w:w="13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Partly built</w:t>
            </w:r>
          </w:p>
        </w:tc>
        <w:tc>
          <w:tcPr>
            <w:tcW w:type="dxa" w:w="632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Health endpoint and integration health in the platform console; central logs, metrics and alerting come with hosting.</w:t>
            </w:r>
          </w:p>
        </w:tc>
      </w:tr>
    </w:tbl>
    <w:p>
      <w:pPr>
        <w:spacing w:after="120"/>
      </w:pPr>
    </w:p>
    <w:p>
      <w:pPr>
        <w:pStyle w:val="Heading2"/>
      </w:pPr>
      <w:r>
        <w:rPr>
          <w:rFonts w:ascii="Calibri" w:cs="Calibri" w:eastAsia="Calibri" w:hAnsi="Calibri"/>
        </w:rPr>
        <w:t xml:space="preserve">11.3 Standard reports as built</w:t>
      </w:r>
    </w:p>
    <w:p>
      <w:pPr>
        <w:spacing w:after="120" w:line="276"/>
        <w:jc w:val="both"/>
      </w:pPr>
      <w:r>
        <w:rPr>
          <w:rFonts w:ascii="Calibri" w:cs="Calibri" w:eastAsia="Calibri" w:hAnsi="Calibri"/>
        </w:rPr>
        <w:t xml:space="preserve">Every report runs under row-level security, can be filtered (academic year, intake, window, programme, award, level, sex, status, year of study, semester, module, period as relevant), is shown on screen or exported to Excel or PDF, and every export is recorded in the audit trail. Lists of named people are hidden from management viewers.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5"/>
        <w:gridCol w:w="7221"/>
      </w:tblGrid>
      <w:tr>
        <w:trPr>
          <w:tblHeader/>
          <w:cantSplit/>
        </w:trPr>
        <w:tc>
          <w:tcPr>
            <w:tcW w:type="dxa" w:w="180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Area</w:t>
            </w:r>
          </w:p>
        </w:tc>
        <w:tc>
          <w:tcPr>
            <w:tcW w:type="dxa" w:w="722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Reports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ADM-01 Applications by programme; ADM-02 Applications by region and gender; ADM-03 Applications by entry qualification; ADM-04 Applications by status; ADM-05 NACTVET verification status; ADM-06 Offers and acceptance rate; ADM-07 Admission letters issued; ADM-08 Applicant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Registry</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REG-01 Enrolment by programme and year; REG-02 Nominal roll; REG-03 Age profile; REG-04 Region profile; REG-05 First registration; REG-06 Semester registration status; REG-07 Module class list</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Teaching and examinations</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TCH-01 Attendance by module; EXM-01 Module performance; EXM-02 Class result sheet; EXM-03 Results by programme; EXM-04 Examination eligibility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FIN-01 Collections by fee item; FIN-02 Collections by day; FIN-03 Collections by payment channel; FIN-04 Receipts register; FIN-05 Debtors with ageing; FIN-06 Debtor ageing summary; FIN-07 Reconciliation exceptions</w:t>
            </w:r>
          </w:p>
        </w:tc>
      </w:tr>
      <w:tr>
        <w:trPr>
          <w:cantSplit/>
        </w:trPr>
        <w:tc>
          <w:tcPr>
            <w:tcW w:type="dxa" w:w="180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IPT and graduation</w:t>
            </w:r>
          </w:p>
        </w:tc>
        <w:tc>
          <w:tcPr>
            <w:tcW w:type="dxa" w:w="722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HST-01 Hostel occupancy; HST-02 Hostel allocations; IPT-01 Placements by organisation; IPT-02 IPT placement list; GRD-01 Clearance status; GRD-02 Graduand list</w:t>
            </w:r>
          </w:p>
        </w:tc>
      </w:tr>
      <w:tr>
        <w:trPr>
          <w:cantSplit/>
        </w:trPr>
        <w:tc>
          <w:tcPr>
            <w:tcW w:type="dxa" w:w="180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Governance</w:t>
            </w:r>
          </w:p>
        </w:tc>
        <w:tc>
          <w:tcPr>
            <w:tcW w:type="dxa" w:w="722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GOV-01 User access review; GOV-02 Audit log extract</w:t>
            </w:r>
          </w:p>
        </w:tc>
      </w:tr>
    </w:tbl>
    <w:p>
      <w:pPr>
        <w:spacing w:after="120"/>
      </w:pPr>
    </w:p>
    <w:p>
      <w:pPr>
        <w:pStyle w:val="Heading2"/>
      </w:pPr>
      <w:r>
        <w:rPr>
          <w:rFonts w:ascii="Calibri" w:cs="Calibri" w:eastAsia="Calibri" w:hAnsi="Calibri"/>
        </w:rPr>
        <w:t xml:space="preserve">11.4 Regulations as configured</w:t>
      </w:r>
    </w:p>
    <w:p>
      <w:pPr>
        <w:pStyle w:val="ListParagraph"/>
        <w:numPr>
          <w:ilvl w:val="0"/>
          <w:numId w:val="2"/>
        </w:numPr>
        <w:spacing w:after="60" w:line="264"/>
      </w:pPr>
      <w:r>
        <w:rPr>
          <w:rFonts w:ascii="Calibri" w:cs="Calibri" w:eastAsia="Calibri" w:hAnsi="Calibri"/>
        </w:rPr>
        <w:t xml:space="preserve">Regulation sets for NTA Levels 4–5 and NTA Level 6 are seeded with the indicative values in section 5; each institution confirms its own values, and a set is locked once results use it.</w:t>
      </w:r>
    </w:p>
    <w:p>
      <w:pPr>
        <w:pStyle w:val="ListParagraph"/>
        <w:numPr>
          <w:ilvl w:val="0"/>
          <w:numId w:val="2"/>
        </w:numPr>
        <w:spacing w:after="60" w:line="264"/>
      </w:pPr>
      <w:r>
        <w:rPr>
          <w:rFonts w:ascii="Calibri" w:cs="Calibri" w:eastAsia="Calibri" w:hAnsi="Calibri"/>
        </w:rPr>
        <w:t xml:space="preserve">Grading scale, CA/SE weights and component pass marks, GPA decimals and rounding, supplementary cap, discontinuation threshold and classification bands are all part of the regulation set.</w:t>
      </w:r>
    </w:p>
    <w:p>
      <w:pPr>
        <w:pStyle w:val="ListParagraph"/>
        <w:numPr>
          <w:ilvl w:val="0"/>
          <w:numId w:val="2"/>
        </w:numPr>
        <w:spacing w:after="60" w:line="264"/>
      </w:pPr>
      <w:r>
        <w:rPr>
          <w:rFonts w:ascii="Calibri" w:cs="Calibri" w:eastAsia="Calibri" w:hAnsi="Calibri"/>
        </w:rPr>
        <w:t xml:space="preserve">Examination eligibility: minimum attendance (default 75%), complete coursework and the examinations fees gate; the coursework and fees conditions can each be switched off, and the Department Board stage can be used or skipped.</w:t>
      </w:r>
    </w:p>
    <w:p>
      <w:pPr>
        <w:pStyle w:val="ListParagraph"/>
        <w:numPr>
          <w:ilvl w:val="0"/>
          <w:numId w:val="2"/>
        </w:numPr>
        <w:spacing w:after="60" w:line="264"/>
      </w:pPr>
      <w:r>
        <w:rPr>
          <w:rFonts w:ascii="Calibri" w:cs="Calibri" w:eastAsia="Calibri" w:hAnsi="Calibri"/>
        </w:rPr>
        <w:t xml:space="preserve">NVA competence: tasks per unit with evidence, and a maximum number of attempts per task (default 3, between 1 and 6).</w:t>
      </w:r>
    </w:p>
    <w:p>
      <w:pPr>
        <w:pStyle w:val="ListParagraph"/>
        <w:numPr>
          <w:ilvl w:val="0"/>
          <w:numId w:val="2"/>
        </w:numPr>
        <w:spacing w:after="60" w:line="264"/>
      </w:pPr>
      <w:r>
        <w:rPr>
          <w:rFonts w:ascii="Calibri" w:cs="Calibri" w:eastAsia="Calibri" w:hAnsi="Calibri"/>
        </w:rPr>
        <w:t xml:space="preserve">Appeals: appeal period after publication (default 14 days; 0 stops new requests) and fee per module.</w:t>
      </w:r>
    </w:p>
    <w:p>
      <w:pPr>
        <w:pStyle w:val="Heading2"/>
      </w:pPr>
      <w:r>
        <w:rPr>
          <w:rFonts w:ascii="Calibri" w:cs="Calibri" w:eastAsia="Calibri" w:hAnsi="Calibri"/>
        </w:rPr>
        <w:t xml:space="preserve">11.5 Integration test server</w:t>
      </w:r>
    </w:p>
    <w:p>
      <w:pPr>
        <w:spacing w:after="120" w:line="276"/>
        <w:jc w:val="both"/>
      </w:pPr>
      <w:r>
        <w:rPr>
          <w:rFonts w:ascii="Calibri" w:cs="Calibri" w:eastAsia="Calibri" w:hAnsi="Calibri"/>
        </w:rPr>
        <w:t xml:space="preserve">A stand-in NACTVET admission verification server (nactvet-mock, in the code repository) answers the placeholder endpoints the live adapter uses, with processing delays, queries, rejections, multiple admissions, wrong credentials and outages, and a browser dashboard. The full admission verification flow passes against it as well as against the built-in simulator.</w:t>
      </w: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03: System Requirements Specification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03: System Requirements Specification</dc:title>
  <dc:creator>Msingi Technologies Ltd</dc:creator>
  <cp:lastModifiedBy>Un-named</cp:lastModifiedBy>
  <cp:revision>1</cp:revision>
  <dcterms:created xsi:type="dcterms:W3CDTF">2026-10-06T09:59:02.746Z</dcterms:created>
  <dcterms:modified xsi:type="dcterms:W3CDTF">2026-10-06T09:59:02.746Z</dcterms:modified>
</cp:coreProperties>
</file>

<file path=docProps/custom.xml><?xml version="1.0" encoding="utf-8"?>
<Properties xmlns="http://schemas.openxmlformats.org/officeDocument/2006/custom-properties" xmlns:vt="http://schemas.openxmlformats.org/officeDocument/2006/docPropsVTypes"/>
</file>