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r>
        <w:rPr>
          <w:rFonts w:ascii="Calibri" w:cs="Calibri" w:eastAsia="Calibri" w:hAnsi="Calibri"/>
        </w:rPr>
        <w:t xml:space="preserve">1.1 Process architecture</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r>
        <w:rPr>
          <w:rFonts w:ascii="Calibri" w:cs="Calibri" w:eastAsia="Calibri" w:hAnsi="Calibri"/>
        </w:rPr>
        <w:t xml:space="preserve">1.2 Academic calendar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r>
        <w:rPr>
          <w:rFonts w:ascii="Calibri" w:cs="Calibri" w:eastAsia="Calibri" w:hAnsi="Calibri"/>
        </w:rPr>
        <w:t xml:space="preserve">1.3 Implementation status (October 2026)</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no rule test tool.</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no document uploads; no payment reminders.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no import of external selections.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 NACTVET registration submission or late penalty fee.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GePG simulated until live access; postings file instead of a MUSE interface.</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and repairs.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supervisor's mark entered by staff.</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 transfers or automatic invoice adjustments.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1"/>
      </w:pPr>
      <w:r>
        <w:rPr>
          <w:rFonts w:ascii="Calibri" w:cs="Calibri" w:eastAsia="Calibri" w:hAnsi="Calibri"/>
        </w:rPr>
        <w:t xml:space="preserve">2. Admission Processes</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r>
        <w:rPr>
          <w:rFonts w:ascii="Calibri" w:cs="Calibri" w:eastAsia="Calibri" w:hAnsi="Calibri"/>
        </w:rPr>
        <w:t xml:space="preserve">BP-01 Admission Window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the sample-results test tool is not built. The first-year fee structure is prepared by the Accountant and approved by the Bursar in Fees (BP-06).</w:t>
      </w:r>
    </w:p>
    <w:p>
      <w:pPr>
        <w:pStyle w:val="Heading2"/>
      </w:pPr>
      <w:r>
        <w:rPr>
          <w:rFonts w:ascii="Calibri" w:cs="Calibri" w:eastAsia="Calibri" w:hAnsi="Calibri"/>
        </w:rPr>
        <w:t xml:space="preserve">BP-02 Online Application and Fee Payment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Differences: no document uploads; when NECTA cannot be reached the applicant is asked to try again later; payment reminders at 24 and 72 hours are not built.</w:t>
      </w:r>
    </w:p>
    <w:p>
      <w:pPr>
        <w:pStyle w:val="Heading2"/>
      </w:pPr>
      <w:r>
        <w:rPr>
          <w:rFonts w:ascii="Calibri" w:cs="Calibri" w:eastAsia="Calibri" w:hAnsi="Calibri"/>
        </w:rPr>
        <w:t xml:space="preserve">BP-03 Eligibility, Ranking and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r>
        <w:rPr>
          <w:rFonts w:ascii="Calibri" w:cs="Calibri" w:eastAsia="Calibri" w:hAnsi="Calibri"/>
        </w:rPr>
        <w:t xml:space="preserve">BP-04 NACTVET Verification and Offer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externally selected students are not imported yet.</w:t>
      </w:r>
    </w:p>
    <w:p>
      <w:pPr>
        <w:pStyle w:val="Heading1"/>
        <w:pageBreakBefore/>
      </w:pPr>
      <w:r>
        <w:rPr>
          <w:rFonts w:ascii="Calibri" w:cs="Calibri" w:eastAsia="Calibri" w:hAnsi="Calibri"/>
        </w:rPr>
        <w:t xml:space="preserve">3. Registration and Records Processes</w:t>
      </w:r>
    </w:p>
    <w:p>
      <w:pPr>
        <w:pStyle w:val="Heading2"/>
      </w:pPr>
      <w:r>
        <w:rPr>
          <w:rFonts w:ascii="Calibri" w:cs="Calibri" w:eastAsia="Calibri" w:hAnsi="Calibri"/>
        </w:rPr>
        <w:t xml:space="preserve">BP-05 Student Registration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w:t>
      </w:r>
      <w:r>
        <w:rPr>
          <w:rFonts w:ascii="Calibri" w:cs="Calibri" w:eastAsia="Calibri" w:hAnsi="Calibri"/>
        </w:rPr>
        <w:t xml:space="preserve">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Not built: NACTVET student registration submission and a late registration penalty fee.</w:t>
      </w:r>
    </w:p>
    <w:p>
      <w:pPr>
        <w:pStyle w:val="Heading2"/>
      </w:pPr>
      <w:r>
        <w:rPr>
          <w:rFonts w:ascii="Calibri" w:cs="Calibri" w:eastAsia="Calibri" w:hAnsi="Calibri"/>
        </w:rPr>
        <w:t xml:space="preserve">BP-14 Student Status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w:t>
      </w:r>
      <w:r>
        <w:rPr>
          <w:rFonts w:ascii="Calibri" w:cs="Calibri" w:eastAsia="Calibri" w:hAnsi="Calibri"/>
        </w:rPr>
        <w:t xml:space="preserve">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Not built: programme and campus transfers, and automatic invoice adjustments.</w:t>
      </w:r>
    </w:p>
    <w:p>
      <w:pPr>
        <w:pStyle w:val="Heading1"/>
      </w:pPr>
      <w:r>
        <w:rPr>
          <w:rFonts w:ascii="Calibri" w:cs="Calibri" w:eastAsia="Calibri" w:hAnsi="Calibri"/>
        </w:rPr>
        <w:t xml:space="preserve">4. Finance Processes</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r>
        <w:rPr>
          <w:rFonts w:ascii="Calibri" w:cs="Calibri" w:eastAsia="Calibri" w:hAnsi="Calibri"/>
        </w:rPr>
        <w:t xml:space="preserve">BP-06 Fee Billing, Payment and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A postings file for the accounting system can be downloaded. GePG is simulated until live access is granted.</w:t>
      </w:r>
    </w:p>
    <w:p>
      <w:pPr>
        <w:pStyle w:val="Heading2"/>
      </w:pPr>
      <w:r>
        <w:rPr>
          <w:rFonts w:ascii="Calibri" w:cs="Calibri" w:eastAsia="Calibri" w:hAnsi="Calibri"/>
        </w:rPr>
        <w:t xml:space="preserve">BP-17 Sponsorship, Waivers and Refunds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w:t>
      </w:r>
    </w:p>
    <w:p>
      <w:pPr>
        <w:pStyle w:val="Heading1"/>
        <w:pageBreakBefore/>
      </w:pPr>
      <w:r>
        <w:rPr>
          <w:rFonts w:ascii="Calibri" w:cs="Calibri" w:eastAsia="Calibri" w:hAnsi="Calibri"/>
        </w:rPr>
        <w:t xml:space="preserve">5. Teaching and Assessment Processes</w:t>
      </w:r>
    </w:p>
    <w:p>
      <w:pPr>
        <w:pStyle w:val="Heading2"/>
      </w:pPr>
      <w:r>
        <w:rPr>
          <w:rFonts w:ascii="Calibri" w:cs="Calibri" w:eastAsia="Calibri" w:hAnsi="Calibri"/>
        </w:rPr>
        <w:t xml:space="preserve">BP-07 Module Allocation and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w:t>
      </w:r>
    </w:p>
    <w:p>
      <w:pPr>
        <w:pStyle w:val="Heading2"/>
      </w:pPr>
      <w:r>
        <w:rPr>
          <w:rFonts w:ascii="Calibri" w:cs="Calibri" w:eastAsia="Calibri" w:hAnsi="Calibri"/>
        </w:rPr>
        <w:t xml:space="preserve">BP-08 NTA Assessment and Results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Lecturers set the assessment plan (weights checked against the regulations) and enter marks on screen or by Excel during the marks window set by the Examinations Officer, who also generates eligibility lists. Submission locks the lecturer's editing. The Head of Department moderates with grade distribution and anomaly flags, or returns with comments; the Department Board stage is optional per institution.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w:t>
      </w:r>
    </w:p>
    <w:p>
      <w:pPr>
        <w:pStyle w:val="Heading2"/>
      </w:pPr>
      <w:r>
        <w:rPr>
          <w:rFonts w:ascii="Calibri" w:cs="Calibri" w:eastAsia="Calibri" w:hAnsi="Calibri"/>
        </w:rPr>
        <w:t xml:space="preserve">BP-09 NVA Competence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r>
        <w:rPr>
          <w:rFonts w:ascii="Calibri" w:cs="Calibri" w:eastAsia="Calibri" w:hAnsi="Calibri"/>
        </w:rPr>
        <w:t xml:space="preserve">BP-10 Supplementary, Special and Carry-over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r>
        <w:rPr>
          <w:rFonts w:ascii="Calibri" w:cs="Calibri" w:eastAsia="Calibri" w:hAnsi="Calibri"/>
        </w:rPr>
        <w:t xml:space="preserve">BP-11 Remarking and Appeals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r>
        <w:rPr>
          <w:rFonts w:ascii="Calibri" w:cs="Calibri" w:eastAsia="Calibri" w:hAnsi="Calibri"/>
        </w:rPr>
        <w:t xml:space="preserve">6. Campus Service Processes</w:t>
      </w:r>
    </w:p>
    <w:p>
      <w:pPr>
        <w:pStyle w:val="Heading2"/>
      </w:pPr>
      <w:r>
        <w:rPr>
          <w:rFonts w:ascii="Calibri" w:cs="Calibri" w:eastAsia="Calibri" w:hAnsi="Calibri"/>
        </w:rPr>
        <w:t xml:space="preserve">BP-12 Hostel Application and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w:t>
      </w:r>
    </w:p>
    <w:p>
      <w:pPr>
        <w:pStyle w:val="Heading2"/>
      </w:pPr>
      <w:r>
        <w:rPr>
          <w:rFonts w:ascii="Calibri" w:cs="Calibri" w:eastAsia="Calibri" w:hAnsi="Calibri"/>
        </w:rPr>
        <w:t xml:space="preserve">BP-13 Industrial Practical Training (IPT)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Difference: workplace supervisors do not sign in; staff enter their mark.</w:t>
      </w:r>
    </w:p>
    <w:p>
      <w:pPr>
        <w:pStyle w:val="Heading1"/>
      </w:pPr>
      <w:r>
        <w:rPr>
          <w:rFonts w:ascii="Calibri" w:cs="Calibri" w:eastAsia="Calibri" w:hAnsi="Calibri"/>
        </w:rPr>
        <w:t xml:space="preserve">7. Completion Processes</w:t>
      </w:r>
    </w:p>
    <w:p>
      <w:pPr>
        <w:pStyle w:val="Heading2"/>
      </w:pPr>
      <w:r>
        <w:rPr>
          <w:rFonts w:ascii="Calibri" w:cs="Calibri" w:eastAsia="Calibri" w:hAnsi="Calibri"/>
        </w:rPr>
        <w:t xml:space="preserve">BP-15 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w:t>
      </w:r>
    </w:p>
    <w:p>
      <w:pPr>
        <w:pStyle w:val="Heading2"/>
      </w:pPr>
      <w:r>
        <w:rPr>
          <w:rFonts w:ascii="Calibri" w:cs="Calibri" w:eastAsia="Calibri" w:hAnsi="Calibri"/>
        </w:rPr>
        <w:t xml:space="preserve">BP-16 Document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r>
        <w:rPr>
          <w:rFonts w:ascii="Calibri" w:cs="Calibri" w:eastAsia="Calibri" w:hAnsi="Calibri"/>
        </w:rPr>
        <w:t xml:space="preserve">8. Process Controls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