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7326"/>
      </w:tblGrid>
      <w:tr>
        <w:tc>
          <w:tcPr>
            <w:tcW w:type="dxa" w:w="1700"/>
            <w:tcBorders>
              <w:top w:val="none" w:color="FFFFFF" w:sz="0"/>
              <w:left w:val="none" w:color="FFFFFF" w:sz="0"/>
              <w:bottom w:val="none" w:color="FFFFFF" w:sz="0"/>
              <w:right w:val="none" w:color="FFFFFF" w:sz="0"/>
            </w:tcBorders>
            <w:vAlign w:val="center"/>
          </w:tcPr>
          <w:p>
            <w:r>
              <w:drawing>
                <wp:inline distT="0" distB="0" distL="0" distR="0">
                  <wp:extent cx="9144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tc>
        <w:tc>
          <w:tcPr>
            <w:tcW w:type="dxa" w:w="7326"/>
            <w:tcBorders>
              <w:top w:val="none" w:color="FFFFFF" w:sz="0"/>
              <w:left w:val="none" w:color="FFFFFF" w:sz="0"/>
              <w:bottom w:val="none" w:color="FFFFFF" w:sz="0"/>
              <w:right w:val="none" w:color="FFFFFF" w:sz="0"/>
            </w:tcBorders>
            <w:vAlign w:val="center"/>
          </w:tcPr>
          <w:p>
            <w:pPr>
              <w:spacing w:after="20"/>
            </w:pPr>
            <w:r>
              <w:rPr>
                <w:rFonts w:ascii="Calibri" w:cs="Calibri" w:eastAsia="Calibri" w:hAnsi="Calibri"/>
                <w:b/>
                <w:bCs/>
                <w:color w:val="0F1B2D"/>
                <w:spacing w:val="30"/>
                <w:sz w:val="34"/>
                <w:szCs w:val="34"/>
              </w:rPr>
              <w:t xml:space="preserve">MSINGI TECHNOLOGIES LTD</w:t>
            </w:r>
          </w:p>
          <w:p>
            <w:r>
              <w:rPr>
                <w:rFonts w:ascii="Calibri" w:cs="Calibri" w:eastAsia="Calibri" w:hAnsi="Calibri"/>
                <w:b/>
                <w:bCs/>
                <w:color w:val="12715B"/>
                <w:spacing w:val="20"/>
                <w:sz w:val="20"/>
                <w:szCs w:val="20"/>
              </w:rPr>
              <w:t xml:space="preserve">Software  •  IT Systems</w:t>
            </w:r>
          </w:p>
        </w:tc>
      </w:tr>
    </w:tbl>
    <w:p>
      <w:pPr>
        <w:pBdr>
          <w:bottom w:val="single" w:color="E3A72F" w:sz="12" w:space="1"/>
        </w:pBdr>
        <w:spacing w:after="160" w:before="120"/>
      </w:pPr>
    </w:p>
    <w:p>
      <w:pPr>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57500"/>
                    </a:xfrm>
                    <a:prstGeom prst="rect">
                      <a:avLst/>
                    </a:prstGeom>
                  </pic:spPr>
                </pic:pic>
              </a:graphicData>
            </a:graphic>
          </wp:inline>
        </w:drawing>
      </w:r>
    </w:p>
    <w:p>
      <w:pPr>
        <w:spacing w:after="60" w:before="240"/>
      </w:pPr>
      <w:r>
        <w:rPr>
          <w:rFonts w:ascii="Calibri" w:cs="Calibri" w:eastAsia="Calibri" w:hAnsi="Calibri"/>
          <w:b/>
          <w:bCs/>
          <w:color w:val="1F3864"/>
          <w:sz w:val="44"/>
          <w:szCs w:val="44"/>
        </w:rPr>
        <w:t xml:space="preserve">College/Institution Management System (CIMS)</w:t>
      </w:r>
    </w:p>
    <w:p>
      <w:pPr>
        <w:spacing w:after="60"/>
      </w:pPr>
      <w:r>
        <w:rPr>
          <w:rFonts w:ascii="Calibri" w:cs="Calibri" w:eastAsia="Calibri" w:hAnsi="Calibri"/>
          <w:i/>
          <w:iCs/>
          <w:color w:val="0E7C7B"/>
          <w:sz w:val="24"/>
          <w:szCs w:val="24"/>
        </w:rPr>
        <w:t xml:space="preserve">One platform from application to graduation for NACTVET-registered institutions</w:t>
      </w:r>
    </w:p>
    <w:p>
      <w:pPr>
        <w:pBdr>
          <w:bottom w:val="single" w:color="0E7C7B" w:sz="8" w:space="4"/>
        </w:pBdr>
        <w:spacing w:after="60" w:before="240"/>
      </w:pPr>
      <w:r>
        <w:rPr>
          <w:rFonts w:ascii="Calibri" w:cs="Calibri" w:eastAsia="Calibri" w:hAnsi="Calibri"/>
          <w:b/>
          <w:bCs/>
          <w:color w:val="1F3864"/>
          <w:sz w:val="34"/>
          <w:szCs w:val="34"/>
        </w:rPr>
        <w:t xml:space="preserve">Document 06: System Architecture</w:t>
      </w:r>
    </w:p>
    <w:p>
      <w:pPr>
        <w:spacing w:after="300"/>
      </w:pPr>
      <w:r>
        <w:rPr>
          <w:rFonts w:ascii="Calibri" w:cs="Calibri" w:eastAsia="Calibri" w:hAnsi="Calibri"/>
          <w:color w:val="595959"/>
          <w:sz w:val="22"/>
          <w:szCs w:val="22"/>
        </w:rPr>
        <w:t xml:space="preserve">Architecture principles, technology stack, components, multi-tenancy, security, integrations, deployment, operations and key decisions.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Document 06: System Architecture</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 Status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Version 3.0 — updated to the system as built, for stakeholder review</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For</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Institutions registered by NACTVET to deliver NVA and NTA programmes, their governing boards and management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Scope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Online Admission, Student Registry, Academic Structure, Teaching &amp; Attendance, Assessment &amp; Examination (NTA and NVA), Finance &amp; Fees (GePG), Hostel, Industrial Practical Training, Clearance &amp; Graduation, Student Portal, Reports and Integrations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By</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Msingi Technologies Ltd</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Date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October 2026</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Classification</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Confidential — For Stakeholder Review</w:t>
            </w:r>
          </w:p>
        </w:tc>
      </w:tr>
    </w:tbl>
    <w:p>
      <w:r>
        <w:br w:type="page"/>
      </w:r>
    </w:p>
    <w:p>
      <w:pPr>
        <w:pStyle w:val="Heading1"/>
      </w:pPr>
      <w:r>
        <w:rPr>
          <w:rFonts w:ascii="Calibri" w:cs="Calibri" w:eastAsia="Calibri" w:hAnsi="Calibri"/>
        </w:rPr>
        <w:t xml:space="preserve">Document Control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1624"/>
        <w:gridCol w:w="1985"/>
        <w:gridCol w:w="4334"/>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Version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Prepared By</w:t>
            </w:r>
          </w:p>
        </w:tc>
        <w:tc>
          <w:tcPr>
            <w:tcW w:type="dxa" w:w="433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Team</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Initial planning version (generic institution).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Re-baselined for NACTVET-registered NVA/NTA institutions, each with its own online admission system; content expanded and aligned across the document suite.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Updated to the system as built (development build, October 2026): what is built, what is partly built and what remains, with corrected technology, data model and plan. The version 2.0 requirements stay the baseline.</w:t>
            </w:r>
          </w:p>
        </w:tc>
      </w:tr>
    </w:tbl>
    <w:p>
      <w:pPr>
        <w:pStyle w:val="Heading2"/>
        <w:spacing w:before="200"/>
      </w:pPr>
      <w:r>
        <w:rPr>
          <w:rFonts w:ascii="Calibri" w:cs="Calibri" w:eastAsia="Calibri" w:hAnsi="Calibri"/>
        </w:rPr>
        <w:t xml:space="preserve">Review and Approval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2707"/>
        <w:gridCol w:w="1985"/>
        <w:gridCol w:w="1988"/>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Role</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Name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Signature</w:t>
            </w:r>
          </w:p>
        </w:tc>
        <w:tc>
          <w:tcPr>
            <w:tcW w:type="dxa" w:w="19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Managing Director, Msingi Technologies Ltd</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Manager, Msingi Technologies Ltd</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Sponsor (Institution)</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Principal / Head of Institution</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bl>
    <w:p>
      <w:pPr>
        <w:pStyle w:val="Heading2"/>
        <w:spacing w:before="200"/>
      </w:pPr>
      <w:r>
        <w:rPr>
          <w:rFonts w:ascii="Calibri" w:cs="Calibri" w:eastAsia="Calibri" w:hAnsi="Calibri"/>
        </w:rPr>
        <w:t xml:space="preserve">Related Documents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3068"/>
        <w:gridCol w:w="5236"/>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No.</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Document</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Purpose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01</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Concept Note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Why the system is needed, the vision, value to stakeholders and the delivery model.</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02</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Requirements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Stakeholders, business requirements, business rules and success measures.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Requirements Specification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Functional and non-functional requirements, roles, use cases and traceability.</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04</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Process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End-to-end institutional workflows with actors, controls and service levels.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05</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Database Design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model, table catalogue, constraints, multi-tenancy and data governance.</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06</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Architecture (this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Technology stack, components, security, integrations, deployment and operations.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07</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Development Plan and Cost Estimate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plan, team, effort-based budget, pricing model and risks.</w:t>
            </w:r>
          </w:p>
        </w:tc>
      </w:tr>
    </w:tbl>
    <w:p>
      <w:r>
        <w:br w:type="page"/>
      </w:r>
    </w:p>
    <w:p>
      <w:pPr>
        <w:pStyle w:val="Heading1"/>
      </w:pPr>
      <w:r>
        <w:rPr>
          <w:rFonts w:ascii="Calibri" w:cs="Calibri" w:eastAsia="Calibri" w:hAnsi="Calibri"/>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spacing w:before="120"/>
      </w:pPr>
      <w:r>
        <w:rPr>
          <w:rFonts w:ascii="Calibri" w:cs="Calibri" w:eastAsia="Calibri" w:hAnsi="Calibri"/>
          <w:i/>
          <w:iCs/>
          <w:color w:val="595959"/>
          <w:sz w:val="16"/>
          <w:szCs w:val="16"/>
        </w:rPr>
        <w:t xml:space="preserve">If page numbers are not shown, right-click the table and choose Update Field.</w:t>
      </w:r>
    </w:p>
    <w:p>
      <w:r>
        <w:br w:type="page"/>
      </w:r>
    </w:p>
    <w:p>
      <w:pPr>
        <w:pStyle w:val="Heading1"/>
      </w:pPr>
      <w:r>
        <w:rPr>
          <w:rFonts w:ascii="Calibri" w:cs="Calibri" w:eastAsia="Calibri" w:hAnsi="Calibri"/>
        </w:rPr>
        <w:t xml:space="preserve">1. Introduction</w:t>
      </w:r>
    </w:p>
    <w:p>
      <w:pPr>
        <w:spacing w:after="120" w:line="276"/>
        <w:jc w:val="both"/>
      </w:pPr>
      <w:r>
        <w:rPr>
          <w:rFonts w:ascii="Calibri" w:cs="Calibri" w:eastAsia="Calibri" w:hAnsi="Calibri"/>
        </w:rPr>
        <w:t xml:space="preserve">This document describes how CIMS is built and run. It turns the non-functional requirements in Document 03 into concrete architecture choices and records the key decisions so that institutions, auditors and future developers understand why the system is built the way it is.</w:t>
      </w:r>
    </w:p>
    <w:p>
      <w:pPr>
        <w:pStyle w:val="Heading2"/>
      </w:pPr>
      <w:r>
        <w:rPr>
          <w:rFonts w:ascii="Calibri" w:cs="Calibri" w:eastAsia="Calibri" w:hAnsi="Calibri"/>
        </w:rPr>
        <w:t xml:space="preserve">1.1 Architecture principles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tblHeader/>
        </w:trPr>
        <w:tc>
          <w:tcPr>
            <w:tcW w:type="dxa" w:w="252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Principle</w:t>
            </w:r>
          </w:p>
        </w:tc>
        <w:tc>
          <w:tcPr>
            <w:tcW w:type="dxa" w:w="649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What it means for CIMS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Modular monolith first</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 deployable application with strictly separated modules. Simple to run and debug for a small team, and each module can later be extracted into a service if load or team size requires it.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Multi-tenant by design</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Every request, query, file and message is tenant-aware; isolation is enforced at application and database level.</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Configuration over customisation</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Institution differences (regulations, fees, workflows, templates, branding) are configuration, so all institutions run the same code and receive the same upgrades.</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Secure by default</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Least privilege, encryption everywhere, MFA for privileged users, audited actions, OWASP ASVS Level 2.</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Integration resilience</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External systems will be slow or unavailable at times; CIMS queues, retries and keeps working.</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Open standards and open source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 per-user licences; standard protocols (OIDC, REST, OpenAPI) avoid vendor lock-in.</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Automate everything</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Infrastructure as code, automated tests and deployments, monitoring and alerting.</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CIMS is a modular monolith (one Spring Boot application, modules as Java packages); every request, query and message is tenant-aware with row-level security in the database; institution differences are configuration (regulations, fees, templates wording, entry rules, clearance gates, thresholds); outside systems sit behind ports with simulated and live adapters. Section 13 records where the build differs from this design.</w:t>
      </w:r>
    </w:p>
    <w:p>
      <w:pPr>
        <w:pStyle w:val="Heading1"/>
      </w:pPr>
      <w:r>
        <w:rPr>
          <w:rFonts w:ascii="Calibri" w:cs="Calibri" w:eastAsia="Calibri" w:hAnsi="Calibri"/>
        </w:rPr>
        <w:t xml:space="preserve">2. System Context</w:t>
      </w:r>
    </w:p>
    <w:p>
      <w:pPr>
        <w:spacing w:after="60" w:before="120"/>
        <w:jc w:val="center"/>
      </w:pPr>
      <w:r>
        <w:drawing>
          <wp:inline distT="0" distB="0" distL="0" distR="0">
            <wp:extent cx="5715000"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38137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1: System context</w:t>
      </w:r>
    </w:p>
    <w:p>
      <w:pPr>
        <w:spacing w:after="120" w:line="276"/>
        <w:jc w:val="both"/>
      </w:pPr>
      <w:r>
        <w:rPr>
          <w:rFonts w:ascii="Calibri" w:cs="Calibri" w:eastAsia="Calibri" w:hAnsi="Calibri"/>
        </w:rPr>
        <w:t xml:space="preserve">Applicants, students, staff and management use CIMS through web browsers on phones and computers. CIMS exchanges data with NACTVET, NECTA, GePG, HESLB, NIDA, SMS and email gateways, the institution's accounting system (e.g. MUSE) and, where applicable, TAMISEMI selection data.</w:t>
      </w:r>
    </w:p>
    <w:p>
      <w:pPr>
        <w:pStyle w:val="Heading1"/>
      </w:pPr>
      <w:r>
        <w:rPr>
          <w:rFonts w:ascii="Calibri" w:cs="Calibri" w:eastAsia="Calibri" w:hAnsi="Calibri"/>
        </w:rPr>
        <w:t xml:space="preserve">3. Logical Architecture</w:t>
      </w:r>
    </w:p>
    <w:p>
      <w:pPr>
        <w:spacing w:after="60" w:before="120"/>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8575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2: Logical architecture (containers and modules)</w:t>
      </w:r>
    </w:p>
    <w:p>
      <w:pPr>
        <w:pStyle w:val="Heading2"/>
      </w:pPr>
      <w:r>
        <w:rPr>
          <w:rFonts w:ascii="Calibri" w:cs="Calibri" w:eastAsia="Calibri" w:hAnsi="Calibri"/>
        </w:rPr>
        <w:t xml:space="preserve">3.1 Presentation tier</w:t>
      </w:r>
    </w:p>
    <w:p>
      <w:pPr>
        <w:pStyle w:val="ListParagraph"/>
        <w:numPr>
          <w:ilvl w:val="0"/>
          <w:numId w:val="2"/>
        </w:numPr>
        <w:spacing w:after="60" w:line="264"/>
      </w:pPr>
      <w:r>
        <w:rPr>
          <w:rFonts w:ascii="Calibri" w:cs="Calibri" w:eastAsia="Calibri" w:hAnsi="Calibri"/>
          <w:b/>
          <w:bCs/>
        </w:rPr>
        <w:t xml:space="preserve">Admission Portal:</w:t>
      </w:r>
      <w:r>
        <w:rPr>
          <w:rFonts w:ascii="Calibri" w:cs="Calibri" w:eastAsia="Calibri" w:hAnsi="Calibri"/>
        </w:rPr>
        <w:t xml:space="preserve"> public, institution-branded single-page application; optimised for low bandwidth (small bundles, image compression, progressive loading).</w:t>
      </w:r>
    </w:p>
    <w:p>
      <w:pPr>
        <w:pStyle w:val="ListParagraph"/>
        <w:numPr>
          <w:ilvl w:val="0"/>
          <w:numId w:val="2"/>
        </w:numPr>
        <w:spacing w:after="60" w:line="264"/>
      </w:pPr>
      <w:r>
        <w:rPr>
          <w:rFonts w:ascii="Calibri" w:cs="Calibri" w:eastAsia="Calibri" w:hAnsi="Calibri"/>
          <w:b/>
          <w:bCs/>
        </w:rPr>
        <w:t xml:space="preserve">Student Portal:</w:t>
      </w:r>
      <w:r>
        <w:rPr>
          <w:rFonts w:ascii="Calibri" w:cs="Calibri" w:eastAsia="Calibri" w:hAnsi="Calibri"/>
        </w:rPr>
        <w:t xml:space="preserve"> installable progressive web app (PWA) for phones, with offline caching of timetable, results and receipts.</w:t>
      </w:r>
    </w:p>
    <w:p>
      <w:pPr>
        <w:pStyle w:val="ListParagraph"/>
        <w:numPr>
          <w:ilvl w:val="0"/>
          <w:numId w:val="2"/>
        </w:numPr>
        <w:spacing w:after="60" w:line="264"/>
      </w:pPr>
      <w:r>
        <w:rPr>
          <w:rFonts w:ascii="Calibri" w:cs="Calibri" w:eastAsia="Calibri" w:hAnsi="Calibri"/>
          <w:b/>
          <w:bCs/>
        </w:rPr>
        <w:t xml:space="preserve">Staff Back-Office:</w:t>
      </w:r>
      <w:r>
        <w:rPr>
          <w:rFonts w:ascii="Calibri" w:cs="Calibri" w:eastAsia="Calibri" w:hAnsi="Calibri"/>
        </w:rPr>
        <w:t xml:space="preserve"> role-based workspace with data grids, bulk actions, approvals inbox and dashboards.</w:t>
      </w:r>
    </w:p>
    <w:p>
      <w:pPr>
        <w:pStyle w:val="ListParagraph"/>
        <w:numPr>
          <w:ilvl w:val="0"/>
          <w:numId w:val="2"/>
        </w:numPr>
        <w:spacing w:after="60" w:line="264"/>
      </w:pPr>
      <w:r>
        <w:rPr>
          <w:rFonts w:ascii="Calibri" w:cs="Calibri" w:eastAsia="Calibri" w:hAnsi="Calibri"/>
          <w:b/>
          <w:bCs/>
        </w:rPr>
        <w:t xml:space="preserve">Public Verification:</w:t>
      </w:r>
      <w:r>
        <w:rPr>
          <w:rFonts w:ascii="Calibri" w:cs="Calibri" w:eastAsia="Calibri" w:hAnsi="Calibri"/>
        </w:rPr>
        <w:t xml:space="preserve"> lightweight page for QR verification of letters, transcripts and certificates.</w:t>
      </w:r>
    </w:p>
    <w:p>
      <w:pPr>
        <w:pStyle w:val="Heading2"/>
      </w:pPr>
      <w:r>
        <w:rPr>
          <w:rFonts w:ascii="Calibri" w:cs="Calibri" w:eastAsia="Calibri" w:hAnsi="Calibri"/>
        </w:rPr>
        <w:t xml:space="preserve">3.2 Application tier</w:t>
      </w:r>
    </w:p>
    <w:p>
      <w:pPr>
        <w:spacing w:after="120" w:line="276"/>
        <w:jc w:val="both"/>
      </w:pPr>
      <w:r>
        <w:rPr>
          <w:rFonts w:ascii="Calibri" w:cs="Calibri" w:eastAsia="Calibri" w:hAnsi="Calibri"/>
        </w:rPr>
        <w:t xml:space="preserve">A Spring Boot 3 application on Java 21 organised with Spring Modulith. Each module owns its schema, exposes a public API (Java interfaces and REST endpoints) and communicates with other modules through published domain events — for example, </w:t>
      </w:r>
      <w:r>
        <w:rPr>
          <w:rFonts w:ascii="Calibri" w:cs="Calibri" w:eastAsia="Calibri" w:hAnsi="Calibri"/>
          <w:i/>
          <w:iCs/>
        </w:rPr>
        <w:t xml:space="preserve">OfferAccepted</w:t>
      </w:r>
      <w:r>
        <w:rPr>
          <w:rFonts w:ascii="Calibri" w:cs="Calibri" w:eastAsia="Calibri" w:hAnsi="Calibri"/>
        </w:rPr>
        <w:t xml:space="preserve"> (Admissions) triggers student creation (Registry) and first-year invoicing (Finance). Module boundaries are verified by automated architecture tests.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4151"/>
        <w:gridCol w:w="2709"/>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Module</w:t>
            </w:r>
          </w:p>
        </w:tc>
        <w:tc>
          <w:tcPr>
            <w:tcW w:type="dxa" w:w="41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Responsibility</w:t>
            </w:r>
          </w:p>
        </w:tc>
        <w:tc>
          <w:tcPr>
            <w:tcW w:type="dxa" w:w="270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Key events published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Windows, applications, eligibility, selection, NACTVET verification, offers.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ApplicationSubmitted, ApplicantSelected, OfferAccepted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Students, registration, status, transfers.</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StudentCreated, SemesterRegistered, StatusChanged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Academic Structure</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Programmes, curricula, modules, calendar, regulations.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CurriculumPublished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Teaching &amp; Attendance</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Offerings, allocations, attendance.</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AttendanceThresholdBreached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Assessment &amp; Examination</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Marks, approvals, GPA, progression, publication.</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ResultsConfirmed, ResultsPublished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Finance &amp; Fees</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Fees, invoices, GePG, payments, reconciliation, clearance.</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InvoiceIssued, PaymentReceived, ClearanceChanged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Inventory, applications, allocation.</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BedAllocated, AllocationReleased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IPT</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Placements, logbooks, assessment.</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IptResultSubmitted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 &amp; Graduation</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 graduands, documents, verification.</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StudentCleared, DocumentIssued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Reports &amp; Dashboards</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Report catalogue, dashboards, scheduled reports.</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Notifications</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SMS, email, in-app; templates; delivery tracking.</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MessageDelivered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Integration Hub</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Adapters for external systems; outbox; message log.</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ExternalCallFailed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Platform</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Tenancy, users, RBAC, workflow engine, documents, audit.</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WorkflowCompleted</w:t>
            </w:r>
          </w:p>
        </w:tc>
      </w:tr>
    </w:tbl>
    <w:p>
      <w:pPr>
        <w:spacing w:after="120"/>
      </w:pPr>
    </w:p>
    <w:p>
      <w:pPr>
        <w:pStyle w:val="Heading2"/>
      </w:pPr>
      <w:r>
        <w:rPr>
          <w:rFonts w:ascii="Calibri" w:cs="Calibri" w:eastAsia="Calibri" w:hAnsi="Calibri"/>
        </w:rPr>
        <w:t xml:space="preserve">3.3 Background processing</w:t>
      </w:r>
    </w:p>
    <w:p>
      <w:pPr>
        <w:spacing w:after="120" w:line="276"/>
        <w:jc w:val="both"/>
      </w:pPr>
      <w:r>
        <w:rPr>
          <w:rFonts w:ascii="Calibri" w:cs="Calibri" w:eastAsia="Calibri" w:hAnsi="Calibri"/>
        </w:rPr>
        <w:t xml:space="preserve">Long or bulk work runs in worker processes fed by RabbitMQ: bulk invoicing, GPA computation, report generation, bulk SMS, NACTVET file generation and integration retries. Users see job progress and receive a notification when the job completes. Scheduled jobs (reconciliation, retention, reminders) use a cluster-safe scheduler (ShedLock).</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there is no separate worker or message broker yet. Bulk work (billing runs, result computation, bulk SMS, file generation) runs in the request or in seven scheduled jobs inside the application, and SMS leave through a database outbox. This is sufficient for pilot volumes; workers and a broker are added when load requires (section 13.4).</w:t>
      </w:r>
    </w:p>
    <w:p>
      <w:pPr>
        <w:pStyle w:val="Heading1"/>
      </w:pPr>
      <w:r>
        <w:rPr>
          <w:rFonts w:ascii="Calibri" w:cs="Calibri" w:eastAsia="Calibri" w:hAnsi="Calibri"/>
        </w:rPr>
        <w:t xml:space="preserve">4. Technology Stack</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5"/>
        <w:gridCol w:w="3068"/>
        <w:gridCol w:w="4153"/>
      </w:tblGrid>
      <w:tr>
        <w:trPr>
          <w:tblHeader/>
        </w:trPr>
        <w:tc>
          <w:tcPr>
            <w:tcW w:type="dxa" w:w="18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Layer</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Technology</w:t>
            </w:r>
          </w:p>
        </w:tc>
        <w:tc>
          <w:tcPr>
            <w:tcW w:type="dxa" w:w="41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Rationale</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Frontend</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React 18, TypeScript, Vite, MUI, React Query, i18next (English/Kiswahili)</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Mature ecosystem, strong typing, PWA support, wide local skills base.</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Backend</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Java 21 LTS, Spring Boot 3.x, Spring Modulith, Spring Security, Spring Data JPA</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Long-term support, enterprise-grade, excellent for transactional systems; team experience on national systems.</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Database</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PostgreSQL 16 with Row-Level Security, pg_trgm; Flyway migrations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Robust, open source, strong integrity and JSONB features.</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Identity</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Keycloak (OpenID Connect, MFA via TOTP/SMS OTP)</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Standards-based SSO, per-institution branded login, MFA and password policies out of the box.</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Caching</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Redis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Sessions, rate limiting, reference-data cache, OTP storage.</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Messaging</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RabbitMQ</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Reliable queues for jobs, notifications and integrations.</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File storage</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MinIO (S3-compatible), server-side encryption</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Documents, uploads, generated PDFs; portable to any S3 store.</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Documents and reports</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JasperReports (PDF), Apache POI (Excel), ZXing (QR codes)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Pixel-accurate letters, transcripts and certificates.</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Rules</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JSON rule documents evaluated by an internal rules engine (JSON Schema validated)</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Entry requirements and regulations configurable per institution.</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Resilience</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Resilience4j (retries, circuit breakers, timeouts); transactional outbox</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Stable behaviour when external systems fail.</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API</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REST/JSON, OpenAPI 3 (springdoc), OAuth2 client credentials for integrations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Self-documenting, standard integrations.</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Containers and orchestration</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Docker; Kubernetes (k3s/RKE2) for cloud; Docker Compose for small dedicated installs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Portable, scalable, repeatable deployments.</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Ingress and TLS</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Nginx Ingress, cert-manager (automatic certificates per institution domain)</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Custom domains per tenant without manual certificate work.</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Observability</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Prometheus, Grafana, Loki, OpenTelemetry tracing, Alertmanager</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Metrics, logs, traces and alerts in one place.</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CI/CD and quality</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GitLab CI or GitHub Actions; SonarQube; OWASP Dependency-Check; Trivy image scanning; OWASP ZAP</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Automated build, test, scan and deploy.</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Testing</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JUnit 5, Testcontainers, Playwright (end-to-end), k6 (load)</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Realistic tests against real PostgreSQL, RabbitMQ and browsers.</w:t>
            </w:r>
          </w:p>
        </w:tc>
      </w:tr>
    </w:tbl>
    <w:p>
      <w:pPr>
        <w:spacing w:after="120"/>
      </w:pPr>
    </w:p>
    <w:p>
      <w:pPr>
        <w:pStyle w:val="Heading1"/>
      </w:pPr>
      <w:r>
        <w:rPr>
          <w:rFonts w:ascii="Calibri" w:cs="Calibri" w:eastAsia="Calibri" w:hAnsi="Calibri"/>
        </w:rPr>
        <w:t xml:space="preserve">5. Multi-Tenancy Architecture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6680"/>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Concern</w:t>
            </w:r>
          </w:p>
        </w:tc>
        <w:tc>
          <w:tcPr>
            <w:tcW w:type="dxa" w:w="668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Design</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Tenant resolution</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From host name (e.g. apply.college.ac.tz, sis.college.ac.tz) mapped in tenant_domains; cross-checked with the tenant claim in the user token.</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Identity</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 Keycloak realm per institution, giving each its own branded login page, password policy and user base; platform staff use a separate administrative realm.</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Shared schema with tenant_id and PostgreSQL Row-Level Security (Document 05, section 3).</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Files</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Object keys prefixed by tenant; bucket policies deny cross-tenant access.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Messages and jobs</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Every message carries tenant_id; workers set tenant context before processing.</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Configuration</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Branding, regulations, fees, workflows, templates and integration credentials stored per tenant; secrets in a vault.</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Noisy neighbours</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Per-tenant rate limits and job quotas; large tenants can be given dedicated worker pools or databases.</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Onboarding</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Automated tenant provisioning: realm, domains, certificates, default roles and templates in under one hour.</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the tenant comes from the host name (tenant_domains) or, for the single-page application, the X-Tenant header; it must match the tenant in the user's token. One token issuer serves all institutions instead of a Keycloak realm per institution. Data isolation is by forced row-level security; there is no file store to partition. Onboarding is one step in the platform console (institution, addresses, programmes from the NACTVET catalogue, first administrator).</w:t>
      </w:r>
    </w:p>
    <w:p>
      <w:pPr>
        <w:pStyle w:val="Heading1"/>
      </w:pPr>
      <w:r>
        <w:rPr>
          <w:rFonts w:ascii="Calibri" w:cs="Calibri" w:eastAsia="Calibri" w:hAnsi="Calibri"/>
        </w:rPr>
        <w:t xml:space="preserve">6. Security Architecture</w:t>
      </w:r>
    </w:p>
    <w:p>
      <w:pPr>
        <w:pStyle w:val="Heading2"/>
      </w:pPr>
      <w:r>
        <w:rPr>
          <w:rFonts w:ascii="Calibri" w:cs="Calibri" w:eastAsia="Calibri" w:hAnsi="Calibri"/>
        </w:rPr>
        <w:t xml:space="preserve">6.1 Identity and access</w:t>
      </w:r>
    </w:p>
    <w:p>
      <w:pPr>
        <w:pStyle w:val="ListParagraph"/>
        <w:numPr>
          <w:ilvl w:val="0"/>
          <w:numId w:val="2"/>
        </w:numPr>
        <w:spacing w:after="60" w:line="264"/>
      </w:pPr>
      <w:r>
        <w:rPr>
          <w:rFonts w:ascii="Calibri" w:cs="Calibri" w:eastAsia="Calibri" w:hAnsi="Calibri"/>
        </w:rPr>
        <w:t xml:space="preserve">OpenID Connect authorisation code flow with PKCE for all web clients; short-lived access tokens (5 minutes) with refresh tokens.</w:t>
      </w:r>
    </w:p>
    <w:p>
      <w:pPr>
        <w:pStyle w:val="ListParagraph"/>
        <w:numPr>
          <w:ilvl w:val="0"/>
          <w:numId w:val="2"/>
        </w:numPr>
        <w:spacing w:after="60" w:line="264"/>
      </w:pPr>
      <w:r>
        <w:rPr>
          <w:rFonts w:ascii="Calibri" w:cs="Calibri" w:eastAsia="Calibri" w:hAnsi="Calibri"/>
        </w:rPr>
        <w:t xml:space="preserve">MFA mandatory for privileged roles (administrators, examinations, finance approvers, registry); optional for others.</w:t>
      </w:r>
    </w:p>
    <w:p>
      <w:pPr>
        <w:pStyle w:val="ListParagraph"/>
        <w:numPr>
          <w:ilvl w:val="0"/>
          <w:numId w:val="2"/>
        </w:numPr>
        <w:spacing w:after="60" w:line="264"/>
      </w:pPr>
      <w:r>
        <w:rPr>
          <w:rFonts w:ascii="Calibri" w:cs="Calibri" w:eastAsia="Calibri" w:hAnsi="Calibri"/>
        </w:rPr>
        <w:t xml:space="preserve">Role-based access control with data scopes (campus, department, programme, offering, hostel) checked on every request; attribute checks for ownership (students see only their own data).</w:t>
      </w:r>
    </w:p>
    <w:p>
      <w:pPr>
        <w:pStyle w:val="ListParagraph"/>
        <w:numPr>
          <w:ilvl w:val="0"/>
          <w:numId w:val="2"/>
        </w:numPr>
        <w:spacing w:after="60" w:line="264"/>
      </w:pPr>
      <w:r>
        <w:rPr>
          <w:rFonts w:ascii="Calibri" w:cs="Calibri" w:eastAsia="Calibri" w:hAnsi="Calibri"/>
        </w:rPr>
        <w:t xml:space="preserve">Segregation of duties enforced by workflow rules (e.g. a lecturer cannot approve their own marks).</w:t>
      </w:r>
    </w:p>
    <w:p>
      <w:pPr>
        <w:pStyle w:val="ListParagraph"/>
        <w:numPr>
          <w:ilvl w:val="0"/>
          <w:numId w:val="2"/>
        </w:numPr>
        <w:spacing w:after="60" w:line="264"/>
      </w:pPr>
      <w:r>
        <w:rPr>
          <w:rFonts w:ascii="Calibri" w:cs="Calibri" w:eastAsia="Calibri" w:hAnsi="Calibri"/>
        </w:rPr>
        <w:t xml:space="preserve">Quarterly user access review report for each institution.</w:t>
      </w:r>
    </w:p>
    <w:p>
      <w:pPr>
        <w:pStyle w:val="Heading2"/>
      </w:pPr>
      <w:r>
        <w:rPr>
          <w:rFonts w:ascii="Calibri" w:cs="Calibri" w:eastAsia="Calibri" w:hAnsi="Calibri"/>
        </w:rPr>
        <w:t xml:space="preserve">6.2 Data protection</w:t>
      </w:r>
    </w:p>
    <w:p>
      <w:pPr>
        <w:pStyle w:val="ListParagraph"/>
        <w:numPr>
          <w:ilvl w:val="0"/>
          <w:numId w:val="2"/>
        </w:numPr>
        <w:spacing w:after="60" w:line="264"/>
      </w:pPr>
      <w:r>
        <w:rPr>
          <w:rFonts w:ascii="Calibri" w:cs="Calibri" w:eastAsia="Calibri" w:hAnsi="Calibri"/>
        </w:rPr>
        <w:t xml:space="preserve">TLS 1.2+ externally and between internal services; HSTS on all portals.</w:t>
      </w:r>
    </w:p>
    <w:p>
      <w:pPr>
        <w:pStyle w:val="ListParagraph"/>
        <w:numPr>
          <w:ilvl w:val="0"/>
          <w:numId w:val="2"/>
        </w:numPr>
        <w:spacing w:after="60" w:line="264"/>
      </w:pPr>
      <w:r>
        <w:rPr>
          <w:rFonts w:ascii="Calibri" w:cs="Calibri" w:eastAsia="Calibri" w:hAnsi="Calibri"/>
        </w:rPr>
        <w:t xml:space="preserve">Encryption at rest for database volumes, backups and object storage; application-level encryption for restricted fields (e.g. NIN).</w:t>
      </w:r>
    </w:p>
    <w:p>
      <w:pPr>
        <w:pStyle w:val="ListParagraph"/>
        <w:numPr>
          <w:ilvl w:val="0"/>
          <w:numId w:val="2"/>
        </w:numPr>
        <w:spacing w:after="60" w:line="264"/>
      </w:pPr>
      <w:r>
        <w:rPr>
          <w:rFonts w:ascii="Calibri" w:cs="Calibri" w:eastAsia="Calibri" w:hAnsi="Calibri"/>
        </w:rPr>
        <w:t xml:space="preserve">Secrets (database passwords, GePG certificates, API keys) held in HashiCorp Vault or Kubernetes sealed secrets; never in code.</w:t>
      </w:r>
    </w:p>
    <w:p>
      <w:pPr>
        <w:pStyle w:val="ListParagraph"/>
        <w:numPr>
          <w:ilvl w:val="0"/>
          <w:numId w:val="2"/>
        </w:numPr>
        <w:spacing w:after="60" w:line="264"/>
      </w:pPr>
      <w:r>
        <w:rPr>
          <w:rFonts w:ascii="Calibri" w:cs="Calibri" w:eastAsia="Calibri" w:hAnsi="Calibri"/>
        </w:rPr>
        <w:t xml:space="preserve">Personal data masked in logs; exports of personal data audited.</w:t>
      </w:r>
    </w:p>
    <w:p>
      <w:pPr>
        <w:pStyle w:val="Heading2"/>
      </w:pPr>
      <w:r>
        <w:rPr>
          <w:rFonts w:ascii="Calibri" w:cs="Calibri" w:eastAsia="Calibri" w:hAnsi="Calibri"/>
        </w:rPr>
        <w:t xml:space="preserve">6.3 Application and infrastructure security</w:t>
      </w:r>
    </w:p>
    <w:p>
      <w:pPr>
        <w:pStyle w:val="ListParagraph"/>
        <w:numPr>
          <w:ilvl w:val="0"/>
          <w:numId w:val="2"/>
        </w:numPr>
        <w:spacing w:after="60" w:line="264"/>
      </w:pPr>
      <w:r>
        <w:rPr>
          <w:rFonts w:ascii="Calibri" w:cs="Calibri" w:eastAsia="Calibri" w:hAnsi="Calibri"/>
        </w:rPr>
        <w:t xml:space="preserve">Secure development lifecycle: threat modelling per module, code review, static analysis, dependency and container scanning in CI.</w:t>
      </w:r>
    </w:p>
    <w:p>
      <w:pPr>
        <w:pStyle w:val="ListParagraph"/>
        <w:numPr>
          <w:ilvl w:val="0"/>
          <w:numId w:val="2"/>
        </w:numPr>
        <w:spacing w:after="60" w:line="264"/>
      </w:pPr>
      <w:r>
        <w:rPr>
          <w:rFonts w:ascii="Calibri" w:cs="Calibri" w:eastAsia="Calibri" w:hAnsi="Calibri"/>
        </w:rPr>
        <w:t xml:space="preserve">Protection against OWASP Top 10: parameterised queries, output encoding, CSRF protection, strict content security policy, file upload scanning (ClamAV) and type checks.</w:t>
      </w:r>
    </w:p>
    <w:p>
      <w:pPr>
        <w:pStyle w:val="ListParagraph"/>
        <w:numPr>
          <w:ilvl w:val="0"/>
          <w:numId w:val="2"/>
        </w:numPr>
        <w:spacing w:after="60" w:line="264"/>
      </w:pPr>
      <w:r>
        <w:rPr>
          <w:rFonts w:ascii="Calibri" w:cs="Calibri" w:eastAsia="Calibri" w:hAnsi="Calibri"/>
        </w:rPr>
        <w:t xml:space="preserve">Rate limiting and bot protection on public endpoints (application, OTP, verification).</w:t>
      </w:r>
    </w:p>
    <w:p>
      <w:pPr>
        <w:pStyle w:val="ListParagraph"/>
        <w:numPr>
          <w:ilvl w:val="0"/>
          <w:numId w:val="2"/>
        </w:numPr>
        <w:spacing w:after="60" w:line="264"/>
      </w:pPr>
      <w:r>
        <w:rPr>
          <w:rFonts w:ascii="Calibri" w:cs="Calibri" w:eastAsia="Calibri" w:hAnsi="Calibri"/>
        </w:rPr>
        <w:t xml:space="preserve">Network segmentation: only the ingress is public; databases and queues on private networks; administrative access via VPN and bastion with MFA.</w:t>
      </w:r>
    </w:p>
    <w:p>
      <w:pPr>
        <w:pStyle w:val="ListParagraph"/>
        <w:numPr>
          <w:ilvl w:val="0"/>
          <w:numId w:val="2"/>
        </w:numPr>
        <w:spacing w:after="60" w:line="264"/>
      </w:pPr>
      <w:r>
        <w:rPr>
          <w:rFonts w:ascii="Calibri" w:cs="Calibri" w:eastAsia="Calibri" w:hAnsi="Calibri"/>
        </w:rPr>
        <w:t xml:space="preserve">Independent penetration test before each major release; vulnerability remediation SLAs (critical 72 hours, high 14 days).</w:t>
      </w:r>
    </w:p>
    <w:p>
      <w:pPr>
        <w:pStyle w:val="ListParagraph"/>
        <w:numPr>
          <w:ilvl w:val="0"/>
          <w:numId w:val="2"/>
        </w:numPr>
        <w:spacing w:after="60" w:line="264"/>
      </w:pPr>
      <w:r>
        <w:rPr>
          <w:rFonts w:ascii="Calibri" w:cs="Calibri" w:eastAsia="Calibri" w:hAnsi="Calibri"/>
        </w:rPr>
        <w:t xml:space="preserve">Security event logging and alerting (failed logins, privilege changes, unusual exports).</w:t>
      </w:r>
    </w:p>
    <w:p>
      <w:pPr>
        <w:pStyle w:val="Heading2"/>
      </w:pPr>
      <w:r>
        <w:rPr>
          <w:rFonts w:ascii="Calibri" w:cs="Calibri" w:eastAsia="Calibri" w:hAnsi="Calibri"/>
        </w:rPr>
        <w:t xml:space="preserve">6.4 Compliance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Framework</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How CIMS complies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Personal Data Protection Act, 2022</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Privacy by design, consent, retention, data subject requests, processor agreements, breach response procedure, hosting in Tanzania.</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e-Government Authority standards (public institutions)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Alignment with e-GA security and system development standards; GovESB integration where mandated; hosting at the government data centre on request.</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OWASP ASVS Level 2</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Verification checklist used in design reviews and penetration tests.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Public finance controls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GePG integration per specification; immutable financial records; reconciliation and audit reports.</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 (security):</w:t>
      </w:r>
      <w:r>
        <w:rPr>
          <w:rFonts w:ascii="Calibri" w:cs="Calibri" w:eastAsia="Calibri" w:hAnsi="Calibri"/>
        </w:rPr>
        <w:t xml:space="preserve"> role and scope checks on every request; segregation of duties in the software; account lock-out after 5 failed sign-ins; strong password rules; forced change of temporary passwords; sessions ended when roles change or an account is disabled; rate limits on public look-ups, OTP and verification; HSTS and a strict content security policy; personal data masked in logs and exports audited; a start-up guard that refuses a database role able to bypass row-level security. Not yet in place: MFA, secrets vault, file upload scanning (there are no uploads besides images checked by content), penetration test, network segmentation (comes with hosting).</w:t>
      </w:r>
    </w:p>
    <w:p>
      <w:pPr>
        <w:pStyle w:val="Heading1"/>
      </w:pPr>
      <w:r>
        <w:rPr>
          <w:rFonts w:ascii="Calibri" w:cs="Calibri" w:eastAsia="Calibri" w:hAnsi="Calibri"/>
        </w:rPr>
        <w:t xml:space="preserve">7. Integration Architecture</w:t>
      </w:r>
    </w:p>
    <w:p>
      <w:pPr>
        <w:spacing w:after="120" w:line="276"/>
        <w:jc w:val="both"/>
      </w:pPr>
      <w:r>
        <w:rPr>
          <w:rFonts w:ascii="Calibri" w:cs="Calibri" w:eastAsia="Calibri" w:hAnsi="Calibri"/>
        </w:rPr>
        <w:t xml:space="preserve">All external communication goes through the Integration Hub module. Each external system has an adapter that hides protocol details from business modules. Business modules write an event to the transactional outbox in the same database transaction as the business change; a relay publishes it to RabbitMQ and the adapter calls the external system with retries and circuit breakers. Every request and response is logged with a correlation ID.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3"/>
        <w:gridCol w:w="1985"/>
        <w:gridCol w:w="3068"/>
        <w:gridCol w:w="2710"/>
      </w:tblGrid>
      <w:tr>
        <w:trPr>
          <w:tblHeader/>
        </w:trPr>
        <w:tc>
          <w:tcPr>
            <w:tcW w:type="dxa" w:w="126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Mode</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Data exchanged</w:t>
            </w:r>
          </w:p>
        </w:tc>
        <w:tc>
          <w:tcPr>
            <w:tcW w:type="dxa" w:w="27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Resilience / fallback</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NECTA</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REST API (synchronous with timeout)</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CSEE/ACSEE results by index number.</w:t>
            </w:r>
          </w:p>
        </w:tc>
        <w:tc>
          <w:tcPr>
            <w:tcW w:type="dxa" w:w="27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Cache results; background retry; manual verification path.</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NACTVET</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API where provided; otherwise generated files in NACTVET templates + outcome import</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 verification, student registration, results, graduands, AVN verification.</w:t>
            </w:r>
          </w:p>
        </w:tc>
        <w:tc>
          <w:tcPr>
            <w:tcW w:type="dxa" w:w="27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Pre-validation before submission; versioned templates; outcome reconciliation.</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GePG</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Signed XML/JSON messages over HTTPS per GePG specification</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Bills, control numbers, payment notifications, reconciliation.</w:t>
            </w:r>
          </w:p>
        </w:tc>
        <w:tc>
          <w:tcPr>
            <w:tcW w:type="dxa" w:w="27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Idempotent notification handling; daily reconciliation catches missed callbacks.</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HESLB</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File/API as provided</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Beneficiary lists, disbursements, registration confirmation.</w:t>
            </w:r>
          </w:p>
        </w:tc>
        <w:tc>
          <w:tcPr>
            <w:tcW w:type="dxa" w:w="27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Import validation and exception reports.</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NIDA</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API via approved channel</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Identity verification (optional).</w:t>
            </w:r>
          </w:p>
        </w:tc>
        <w:tc>
          <w:tcPr>
            <w:tcW w:type="dxa" w:w="27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Non-blocking; manual verification.</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SMS gateway</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REST API (local aggregators)</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Outbound SMS, delivery reports.</w:t>
            </w:r>
          </w:p>
        </w:tc>
        <w:tc>
          <w:tcPr>
            <w:tcW w:type="dxa" w:w="27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Failover to secondary provider.</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Email</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SMTP / API</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Notifications, letters.</w:t>
            </w:r>
          </w:p>
        </w:tc>
        <w:tc>
          <w:tcPr>
            <w:tcW w:type="dxa" w:w="27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Queue and retry.</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MUSE / ERP</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File export or API</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Summarised fee postings.</w:t>
            </w:r>
          </w:p>
        </w:tc>
        <w:tc>
          <w:tcPr>
            <w:tcW w:type="dxa" w:w="27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Export batches with control totals.</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GovESB</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Per e-GA specification</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Government-to-government exchanges where mandated.</w:t>
            </w:r>
          </w:p>
        </w:tc>
        <w:tc>
          <w:tcPr>
            <w:tcW w:type="dxa" w:w="27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Adapter isolates changes.</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each external system is a Java port with a simulated and a live adapter chosen by configuration; every call is recorded (operation, outcome, duration, reference only) in the integration call log shown in the platform console and to each institution's Auditor. Section 13.3 lists the adapters.</w:t>
      </w:r>
    </w:p>
    <w:p>
      <w:pPr>
        <w:pStyle w:val="Heading1"/>
      </w:pPr>
      <w:r>
        <w:rPr>
          <w:rFonts w:ascii="Calibri" w:cs="Calibri" w:eastAsia="Calibri" w:hAnsi="Calibri"/>
        </w:rPr>
        <w:t xml:space="preserve">8. Deployment Architecture</w:t>
      </w:r>
    </w:p>
    <w:p>
      <w:pPr>
        <w:pStyle w:val="Heading2"/>
      </w:pPr>
      <w:r>
        <w:rPr>
          <w:rFonts w:ascii="Calibri" w:cs="Calibri" w:eastAsia="Calibri" w:hAnsi="Calibri"/>
        </w:rPr>
        <w:t xml:space="preserve">8.1 Cloud service (Option A)</w:t>
      </w:r>
    </w:p>
    <w:p>
      <w:pPr>
        <w:spacing w:after="60" w:before="120"/>
        <w:jc w:val="center"/>
      </w:pPr>
      <w:r>
        <w:drawing>
          <wp:inline distT="0" distB="0" distL="0" distR="0">
            <wp:extent cx="4095750" cy="562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562927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3: Cloud deployment topology</w:t>
      </w:r>
    </w:p>
    <w:p>
      <w:pPr>
        <w:spacing w:after="120" w:line="276"/>
        <w:jc w:val="both"/>
      </w:pPr>
      <w:r>
        <w:rPr>
          <w:rFonts w:ascii="Calibri" w:cs="Calibri" w:eastAsia="Calibri" w:hAnsi="Calibri"/>
        </w:rPr>
        <w:t xml:space="preserve">The production platform runs in a Tier III data centre in Tanzania on a Kubernetes cluster with at least three worker nodes. Application and worker pods scale horizontally; PostgreSQL runs as a primary with a synchronous replica, and a standby at a separate disaster-recovery site receives streamed changes and archived WAL.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2707"/>
        <w:gridCol w:w="3612"/>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Component (initial production)</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Sizing</w:t>
            </w:r>
          </w:p>
        </w:tc>
        <w:tc>
          <w:tcPr>
            <w:tcW w:type="dxa" w:w="36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Notes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Kubernetes worker nodes</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 × 8 vCPU / 32 GB RAM</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Application, workers, Keycloak, Redis, RabbitMQ.</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PostgreSQL</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 × 8 vCPU / 32 GB RAM, 1 TB NVMe</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Primary + synchronous replica.</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Object storage</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 TB usable (MinIO, erasure coded)</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Grows with tenants.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DR site</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 × DB standby, backup storage 6 TB</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Warm standby.</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Monitoring</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 × 4 vCPU / 16 GB RAM</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Prometheus, Grafana, Loki.</w:t>
            </w:r>
          </w:p>
        </w:tc>
      </w:tr>
    </w:tbl>
    <w:p>
      <w:pPr>
        <w:spacing w:after="120"/>
      </w:pPr>
    </w:p>
    <w:p>
      <w:pPr>
        <w:spacing w:after="120" w:line="276"/>
        <w:jc w:val="both"/>
      </w:pPr>
      <w:r>
        <w:rPr>
          <w:rFonts w:ascii="Calibri" w:cs="Calibri" w:eastAsia="Calibri" w:hAnsi="Calibri"/>
        </w:rPr>
        <w:t xml:space="preserve">This initial footprint serves approximately 30–50 institutions; capacity is added node by node as tenants grow.</w:t>
      </w:r>
    </w:p>
    <w:p>
      <w:pPr>
        <w:pStyle w:val="Heading2"/>
      </w:pPr>
      <w:r>
        <w:rPr>
          <w:rFonts w:ascii="Calibri" w:cs="Calibri" w:eastAsia="Calibri" w:hAnsi="Calibri"/>
        </w:rPr>
        <w:t xml:space="preserve">8.2 Dedicated installation (Option B)</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Profile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Minimum infrastructure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Small (up to 2,000 students)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 VMs: application (8 vCPU / 16 GB) and database (4 vCPU / 16 GB, 500 GB SSD); Docker Compose; off-site backup.</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Large (above 2,000 students)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4–5 VMs: 2 application, 1 database primary + 1 replica, 1 monitoring/backup; or a small Kubernetes cluster.</w:t>
            </w:r>
          </w:p>
        </w:tc>
      </w:tr>
    </w:tbl>
    <w:p>
      <w:pPr>
        <w:spacing w:after="120"/>
      </w:pPr>
    </w:p>
    <w:p>
      <w:pPr>
        <w:pStyle w:val="Heading2"/>
      </w:pPr>
      <w:r>
        <w:rPr>
          <w:rFonts w:ascii="Calibri" w:cs="Calibri" w:eastAsia="Calibri" w:hAnsi="Calibri"/>
        </w:rPr>
        <w:t xml:space="preserve">8.3 Environments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4"/>
        <w:gridCol w:w="7402"/>
      </w:tblGrid>
      <w:tr>
        <w:trPr>
          <w:tblHeader/>
        </w:trPr>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Environment</w:t>
            </w:r>
          </w:p>
        </w:tc>
        <w:tc>
          <w:tcPr>
            <w:tcW w:type="dxa" w:w="74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Purpose</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Development</w:t>
            </w:r>
          </w:p>
        </w:tc>
        <w:tc>
          <w:tcPr>
            <w:tcW w:type="dxa" w:w="74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Developer integration; ephemeral preview environments per merge request.</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Test (SIT)</w:t>
            </w:r>
          </w:p>
        </w:tc>
        <w:tc>
          <w:tcPr>
            <w:tcW w:type="dxa" w:w="74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integration testing with simulators for GePG, NECTA and NACTVET.</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Staging / UAT</w:t>
            </w:r>
          </w:p>
        </w:tc>
        <w:tc>
          <w:tcPr>
            <w:tcW w:type="dxa" w:w="74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Production-like; user acceptance testing with external test environments; migration rehearsals.</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Production</w:t>
            </w:r>
          </w:p>
        </w:tc>
        <w:tc>
          <w:tcPr>
            <w:tcW w:type="dxa" w:w="74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Live service.</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Disaster recovery</w:t>
            </w:r>
          </w:p>
        </w:tc>
        <w:tc>
          <w:tcPr>
            <w:tcW w:type="dxa" w:w="74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Standby at separate site; tested twice a year.</w:t>
            </w:r>
          </w:p>
        </w:tc>
      </w:tr>
    </w:tbl>
    <w:p>
      <w:pPr>
        <w:spacing w:after="120"/>
      </w:pPr>
    </w:p>
    <w:p>
      <w:pPr>
        <w:pStyle w:val="Heading2"/>
      </w:pPr>
      <w:r>
        <w:rPr>
          <w:rFonts w:ascii="Calibri" w:cs="Calibri" w:eastAsia="Calibri" w:hAnsi="Calibri"/>
        </w:rPr>
        <w:t xml:space="preserve">8.4 Delivery pipeline</w:t>
      </w:r>
    </w:p>
    <w:p>
      <w:pPr>
        <w:pStyle w:val="ListParagraph"/>
        <w:numPr>
          <w:ilvl w:val="0"/>
          <w:numId w:val="3"/>
        </w:numPr>
        <w:spacing w:after="60" w:line="264"/>
      </w:pPr>
      <w:r>
        <w:rPr>
          <w:rFonts w:ascii="Calibri" w:cs="Calibri" w:eastAsia="Calibri" w:hAnsi="Calibri"/>
        </w:rPr>
        <w:t xml:space="preserve">Commit → build, unit tests, static analysis (SonarQube), dependency scan.</w:t>
      </w:r>
    </w:p>
    <w:p>
      <w:pPr>
        <w:pStyle w:val="ListParagraph"/>
        <w:numPr>
          <w:ilvl w:val="0"/>
          <w:numId w:val="3"/>
        </w:numPr>
        <w:spacing w:after="60" w:line="264"/>
      </w:pPr>
      <w:r>
        <w:rPr>
          <w:rFonts w:ascii="Calibri" w:cs="Calibri" w:eastAsia="Calibri" w:hAnsi="Calibri"/>
        </w:rPr>
        <w:t xml:space="preserve">Integration tests with Testcontainers; architecture (module boundary) tests; tenant isolation tests.</w:t>
      </w:r>
    </w:p>
    <w:p>
      <w:pPr>
        <w:pStyle w:val="ListParagraph"/>
        <w:numPr>
          <w:ilvl w:val="0"/>
          <w:numId w:val="3"/>
        </w:numPr>
        <w:spacing w:after="60" w:line="264"/>
      </w:pPr>
      <w:r>
        <w:rPr>
          <w:rFonts w:ascii="Calibri" w:cs="Calibri" w:eastAsia="Calibri" w:hAnsi="Calibri"/>
        </w:rPr>
        <w:t xml:space="preserve">Container image build, vulnerability scan (Trivy), signing.</w:t>
      </w:r>
    </w:p>
    <w:p>
      <w:pPr>
        <w:pStyle w:val="ListParagraph"/>
        <w:numPr>
          <w:ilvl w:val="0"/>
          <w:numId w:val="3"/>
        </w:numPr>
        <w:spacing w:after="60" w:line="264"/>
      </w:pPr>
      <w:r>
        <w:rPr>
          <w:rFonts w:ascii="Calibri" w:cs="Calibri" w:eastAsia="Calibri" w:hAnsi="Calibri"/>
        </w:rPr>
        <w:t xml:space="preserve">Automatic deploy to Test; end-to-end tests (Playwright); DAST scan (OWASP ZAP).</w:t>
      </w:r>
    </w:p>
    <w:p>
      <w:pPr>
        <w:pStyle w:val="ListParagraph"/>
        <w:numPr>
          <w:ilvl w:val="0"/>
          <w:numId w:val="3"/>
        </w:numPr>
        <w:spacing w:after="60" w:line="264"/>
      </w:pPr>
      <w:r>
        <w:rPr>
          <w:rFonts w:ascii="Calibri" w:cs="Calibri" w:eastAsia="Calibri" w:hAnsi="Calibri"/>
        </w:rPr>
        <w:t xml:space="preserve">Approved promotion to Staging; performance tests (k6) before releases.</w:t>
      </w:r>
    </w:p>
    <w:p>
      <w:pPr>
        <w:pStyle w:val="ListParagraph"/>
        <w:numPr>
          <w:ilvl w:val="0"/>
          <w:numId w:val="3"/>
        </w:numPr>
        <w:spacing w:after="60" w:line="264"/>
      </w:pPr>
      <w:r>
        <w:rPr>
          <w:rFonts w:ascii="Calibri" w:cs="Calibri" w:eastAsia="Calibri" w:hAnsi="Calibri"/>
        </w:rPr>
        <w:t xml:space="preserve">Production deploy by rolling update (zero downtime); database migrations backward compatible; automatic rollback on failed health checks.</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the code is built with Maven and npm, migrations run at start-up, and the full test suite runs against PostgreSQL before each delivery. A Docker Compose stack runs PostgreSQL (with a non-superuser application role), the backend and the frontend. Production hosting, environments beyond development and the automated pipeline are still to be set up.</w:t>
      </w:r>
    </w:p>
    <w:p>
      <w:pPr>
        <w:pStyle w:val="Heading1"/>
      </w:pPr>
      <w:r>
        <w:rPr>
          <w:rFonts w:ascii="Calibri" w:cs="Calibri" w:eastAsia="Calibri" w:hAnsi="Calibri"/>
        </w:rPr>
        <w:t xml:space="preserve">9. Performance, Scalability and Availability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6680"/>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Concern</w:t>
            </w:r>
          </w:p>
        </w:tc>
        <w:tc>
          <w:tcPr>
            <w:tcW w:type="dxa" w:w="668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Approach</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Peak events</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Application deadlines and results publication can multiply traffic many times. Mitigation: horizontal autoscaling, Redis caching of read-heavy data (programme catalogue, published results), CDN/static caching of portal assets, queue-based processing of submissions and notifications, and a load test at 2× expected peak before each admission window.</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Bulk processing</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Batch jobs chunked and parallelised in workers; progress tracking; no long-running HTTP requests.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Database</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Connection pooling (HikariCP/PgBouncer); read replica for reports; partitioned large tables; query performance budgets in CI.</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High availability</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 single point of failure in production: multiple application replicas across nodes, database replication with automated failover (Patroni), redundant ingress.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Disaster recovery</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RPO 15 minutes, RTO 4 hours; documented and rehearsed runbooks.</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Maintenance</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Rolling upgrades without downtime; announced maintenance windows outside 07:00–22:00 EAT for infrastructure work.</w:t>
            </w:r>
          </w:p>
        </w:tc>
      </w:tr>
    </w:tbl>
    <w:p>
      <w:pPr>
        <w:spacing w:after="120"/>
      </w:pPr>
    </w:p>
    <w:p>
      <w:pPr>
        <w:pStyle w:val="Heading1"/>
      </w:pPr>
      <w:r>
        <w:rPr>
          <w:rFonts w:ascii="Calibri" w:cs="Calibri" w:eastAsia="Calibri" w:hAnsi="Calibri"/>
        </w:rPr>
        <w:t xml:space="preserve">10. Operations and Support</w:t>
      </w:r>
    </w:p>
    <w:p>
      <w:pPr>
        <w:pStyle w:val="ListParagraph"/>
        <w:numPr>
          <w:ilvl w:val="0"/>
          <w:numId w:val="2"/>
        </w:numPr>
        <w:spacing w:after="60" w:line="264"/>
      </w:pPr>
      <w:r>
        <w:rPr>
          <w:rFonts w:ascii="Calibri" w:cs="Calibri" w:eastAsia="Calibri" w:hAnsi="Calibri"/>
          <w:b/>
          <w:bCs/>
        </w:rPr>
        <w:t xml:space="preserve">Monitoring:</w:t>
      </w:r>
      <w:r>
        <w:rPr>
          <w:rFonts w:ascii="Calibri" w:cs="Calibri" w:eastAsia="Calibri" w:hAnsi="Calibri"/>
        </w:rPr>
        <w:t xml:space="preserve"> service health, latency, error rates, queue depth, integration success rates, certificate expiry and disk usage per environment, with alerts to the on-call engineer.</w:t>
      </w:r>
    </w:p>
    <w:p>
      <w:pPr>
        <w:pStyle w:val="ListParagraph"/>
        <w:numPr>
          <w:ilvl w:val="0"/>
          <w:numId w:val="2"/>
        </w:numPr>
        <w:spacing w:after="60" w:line="264"/>
      </w:pPr>
      <w:r>
        <w:rPr>
          <w:rFonts w:ascii="Calibri" w:cs="Calibri" w:eastAsia="Calibri" w:hAnsi="Calibri"/>
          <w:b/>
          <w:bCs/>
        </w:rPr>
        <w:t xml:space="preserve">Logging and tracing:</w:t>
      </w:r>
      <w:r>
        <w:rPr>
          <w:rFonts w:ascii="Calibri" w:cs="Calibri" w:eastAsia="Calibri" w:hAnsi="Calibri"/>
        </w:rPr>
        <w:t xml:space="preserve"> structured JSON logs with tenant and correlation IDs; distributed tracing across modules and integrations.</w:t>
      </w:r>
    </w:p>
    <w:p>
      <w:pPr>
        <w:pStyle w:val="ListParagraph"/>
        <w:numPr>
          <w:ilvl w:val="0"/>
          <w:numId w:val="2"/>
        </w:numPr>
        <w:spacing w:after="60" w:line="264"/>
      </w:pPr>
      <w:r>
        <w:rPr>
          <w:rFonts w:ascii="Calibri" w:cs="Calibri" w:eastAsia="Calibri" w:hAnsi="Calibri"/>
          <w:b/>
          <w:bCs/>
        </w:rPr>
        <w:t xml:space="preserve">Status page:</w:t>
      </w:r>
      <w:r>
        <w:rPr>
          <w:rFonts w:ascii="Calibri" w:cs="Calibri" w:eastAsia="Calibri" w:hAnsi="Calibri"/>
        </w:rPr>
        <w:t xml:space="preserve"> public service status and incident communication for institutions.</w:t>
      </w:r>
    </w:p>
    <w:p>
      <w:pPr>
        <w:pStyle w:val="ListParagraph"/>
        <w:numPr>
          <w:ilvl w:val="0"/>
          <w:numId w:val="2"/>
        </w:numPr>
        <w:spacing w:after="60" w:line="264"/>
      </w:pPr>
      <w:r>
        <w:rPr>
          <w:rFonts w:ascii="Calibri" w:cs="Calibri" w:eastAsia="Calibri" w:hAnsi="Calibri"/>
          <w:b/>
          <w:bCs/>
        </w:rPr>
        <w:t xml:space="preserve">Support model:</w:t>
      </w:r>
      <w:r>
        <w:rPr>
          <w:rFonts w:ascii="Calibri" w:cs="Calibri" w:eastAsia="Calibri" w:hAnsi="Calibri"/>
        </w:rPr>
        <w:t xml:space="preserve"> tiered support (institution super-users → Msingi Technologies service desk → Msingi engineering team) with severity-based response targets defined in Document 07.</w:t>
      </w:r>
    </w:p>
    <w:p>
      <w:pPr>
        <w:pStyle w:val="ListParagraph"/>
        <w:numPr>
          <w:ilvl w:val="0"/>
          <w:numId w:val="2"/>
        </w:numPr>
        <w:spacing w:after="60" w:line="264"/>
      </w:pPr>
      <w:r>
        <w:rPr>
          <w:rFonts w:ascii="Calibri" w:cs="Calibri" w:eastAsia="Calibri" w:hAnsi="Calibri"/>
          <w:b/>
          <w:bCs/>
        </w:rPr>
        <w:t xml:space="preserve">Capacity management:</w:t>
      </w:r>
      <w:r>
        <w:rPr>
          <w:rFonts w:ascii="Calibri" w:cs="Calibri" w:eastAsia="Calibri" w:hAnsi="Calibri"/>
        </w:rPr>
        <w:t xml:space="preserve"> monthly review of usage trends ahead of admission and examination peaks.</w:t>
      </w:r>
    </w:p>
    <w:p>
      <w:pPr>
        <w:pStyle w:val="Heading1"/>
      </w:pPr>
      <w:r>
        <w:rPr>
          <w:rFonts w:ascii="Calibri" w:cs="Calibri" w:eastAsia="Calibri" w:hAnsi="Calibri"/>
        </w:rPr>
        <w:t xml:space="preserve">11. Architecture Decision Records (Summary)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12"/>
        <w:gridCol w:w="2707"/>
        <w:gridCol w:w="2707"/>
        <w:gridCol w:w="2800"/>
      </w:tblGrid>
      <w:tr>
        <w:trPr>
          <w:tblHeader/>
        </w:trPr>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ADR</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Decision</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Alternatives considered</w:t>
            </w:r>
          </w:p>
        </w:tc>
        <w:tc>
          <w:tcPr>
            <w:tcW w:type="dxa" w:w="280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Reason</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01</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Modular monolith (Spring Modulith)</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Microservices from day one</w:t>
            </w:r>
          </w:p>
        </w:tc>
        <w:tc>
          <w:tcPr>
            <w:tcW w:type="dxa" w:w="280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Lower operational complexity and cost for the expected scale; clean boundaries keep the option to split later.</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02</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Shared schema multi-tenancy with RLS</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Schema-per-tenant; database-per-tenant</w:t>
            </w:r>
          </w:p>
        </w:tc>
        <w:tc>
          <w:tcPr>
            <w:tcW w:type="dxa" w:w="280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Lowest cost and simplest upgrades for many small tenants; RLS gives strong isolation; database-per-tenant still possible for large clients.</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03</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Java 21 / Spring Boot 3 backend</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Laravel (PHP), Node.js</w:t>
            </w:r>
          </w:p>
        </w:tc>
        <w:tc>
          <w:tcPr>
            <w:tcW w:type="dxa" w:w="280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Strong typing and transaction management for financial and examination data; team experience on national systems.</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04</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React + TypeScript frontend</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Angular</w:t>
            </w:r>
          </w:p>
        </w:tc>
        <w:tc>
          <w:tcPr>
            <w:tcW w:type="dxa" w:w="280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Single framework across portals; PWA support; team alignment.</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05</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Keycloak for identity</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Custom JWT authentication</w:t>
            </w:r>
          </w:p>
        </w:tc>
        <w:tc>
          <w:tcPr>
            <w:tcW w:type="dxa" w:w="280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Standards-based MFA, SSO and password policies without custom security code.</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06</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Configurable rules (JSON) for entry requirements and regulations</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Hard-coded rules</w:t>
            </w:r>
          </w:p>
        </w:tc>
        <w:tc>
          <w:tcPr>
            <w:tcW w:type="dxa" w:w="280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Regulations differ by institution and change over time; configuration avoids code releases.</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07</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Transactional outbox for integrations</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Direct synchronous calls</w:t>
            </w:r>
          </w:p>
        </w:tc>
        <w:tc>
          <w:tcPr>
            <w:tcW w:type="dxa" w:w="280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Guarantees no lost or duplicate external messages when systems fail.</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08</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File-based fallback for NACTVET interfaces</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API-only</w:t>
            </w:r>
          </w:p>
        </w:tc>
        <w:tc>
          <w:tcPr>
            <w:tcW w:type="dxa" w:w="280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Not every regulator interface offers an API; the business process stays the same when an API becomes available.</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09</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Hosting in Tanzania</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International cloud regions</w:t>
            </w:r>
          </w:p>
        </w:tc>
        <w:tc>
          <w:tcPr>
            <w:tcW w:type="dxa" w:w="280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Data residency expectations for public data, PDPA compliance and latency.</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ADRs 01–04, 06, 08 and 09 hold as decided. ADR-05 is deferred: the build uses its own token issuer (custom JWT authentication) behind a standard OAuth2 resource server, so Keycloak can be introduced without changing the modules. ADR-07 is applied to SMS (outbox); calls to NECTA and NACTVET are made directly with timeouts, and GePG callbacks are idempotent.</w:t>
      </w:r>
    </w:p>
    <w:p>
      <w:pPr>
        <w:pStyle w:val="Heading1"/>
      </w:pPr>
      <w:r>
        <w:rPr>
          <w:rFonts w:ascii="Calibri" w:cs="Calibri" w:eastAsia="Calibri" w:hAnsi="Calibri"/>
        </w:rPr>
        <w:t xml:space="preserve">13. Architecture As Built (October 2026)</w:t>
      </w:r>
    </w:p>
    <w:p>
      <w:pPr>
        <w:spacing w:after="120" w:line="276"/>
        <w:jc w:val="both"/>
      </w:pPr>
      <w:r>
        <w:rPr>
          <w:rFonts w:ascii="Calibri" w:cs="Calibri" w:eastAsia="Calibri" w:hAnsi="Calibri"/>
        </w:rPr>
        <w:t xml:space="preserve">This section records the architecture of the development build for version 3.0. The design above remains the target; the differences are deliberate simplifications for the build and pilot phase, each with a path to the target.</w:t>
      </w:r>
    </w:p>
    <w:p>
      <w:pPr>
        <w:pStyle w:val="Heading2"/>
      </w:pPr>
      <w:r>
        <w:rPr>
          <w:rFonts w:ascii="Calibri" w:cs="Calibri" w:eastAsia="Calibri" w:hAnsi="Calibri"/>
        </w:rPr>
        <w:t xml:space="preserve">13.1 Technology stack as built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53"/>
        <w:gridCol w:w="2437"/>
        <w:gridCol w:w="5236"/>
      </w:tblGrid>
      <w:tr>
        <w:trPr>
          <w:tblHeader/>
          <w:cantSplit/>
        </w:trPr>
        <w:tc>
          <w:tcPr>
            <w:tcW w:type="dxa" w:w="13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Layer</w:t>
            </w:r>
          </w:p>
        </w:tc>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Planned (section 4)</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As built</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Frontend</w:t>
            </w:r>
          </w:p>
        </w:tc>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React 18, TypeScript, Vite, MUI, React Query, i18next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 planned: React 18.3, TypeScript 5, Vite 5, MUI 6, TanStack Query 5, i18next (English/Kiswahili portals). One application serves the admission portal, student portal, staff back-office, platform console and verification page; served by Nginx. Installable, with a service worker that keeps the app shell (never personal data) available offline.</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Backend</w:t>
            </w:r>
          </w:p>
        </w:tc>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Java 21, Spring Boot 3, Spring Modulith, Spring Security, Spring Data JPA</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Java 21, Spring Boot 3.3.4, Spring Security (OAuth2 resource server), Spring Data JPA and JdbcTemplate, Bean Validation, Actuator. Modules are Java packages talking through services and Spring application events; Spring Modulith is not used.</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Database</w:t>
            </w:r>
          </w:p>
        </w:tc>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PostgreSQL 16 with RLS, pg_trgm; Flyway</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PostgreSQL 16 with forced row-level security; Flyway V1–V38. pg_trgm is not used yet.</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Identity</w:t>
            </w:r>
          </w:p>
        </w:tc>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Keycloak (OIDC, MFA)</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 issues its own signed JWT access tokens (60 minutes, configurable) for staff, applicants, students and platform staff; Keycloak-ready because the backend is a standard OAuth2 resource server. MFA not built.</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Caching</w:t>
            </w:r>
          </w:p>
        </w:tc>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Redis</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Not used. Rate limits and OTP state are held in the application and database.</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Messaging and jobs</w:t>
            </w:r>
          </w:p>
        </w:tc>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RabbitMQ, ShedLock</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Not used. SMS go through a transactional outbox table sent after commit with retries; seven scheduled jobs run inside the application (check-in closing, SMS retries, window closing, offer expiry, hostel release, status changes, integration log clean-up). ShedLock is needed before running more than one instance.</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File storage</w:t>
            </w:r>
          </w:p>
        </w:tc>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MinIO (S3)</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Not used. Generated documents are rendered on request from stored data; photos are kept in the database.</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Documents and reports</w:t>
            </w:r>
          </w:p>
        </w:tc>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JasperReports, Apache POI, ZXing</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openhtmltopdf (HTML templates to PDF) for letters, receipts, statements, certificates, ID cards and class lists; Apache POI for Excel; ZXing for QR codes.</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Rules</w:t>
            </w:r>
          </w:p>
        </w:tc>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JSON rule documents and internal engine</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 planned for entry requirements (JSON on window programmes); regulations are relational (grade and classification bands).</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Resilience</w:t>
            </w:r>
          </w:p>
        </w:tc>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Resilience4j, transactional outbox</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Outbox for SMS; timeouts on outside calls; simulated and live adapters per integration. Resilience4j not used.</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API</w:t>
            </w:r>
          </w:p>
        </w:tc>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REST/JSON, OpenAPI 3, OAuth2 client credentials</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REST/JSON with OpenAPI 3 (springdoc, Swagger UI); RFC 7807 error responses. Client credentials for third parties not built.</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Containers</w:t>
            </w:r>
          </w:p>
        </w:tc>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Docker; Kubernetes; Docker Compose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Dockerfiles for backend and frontend and a Docker Compose stack (PostgreSQL, backend, frontend). Kubernetes manifests not written yet.</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Ingress, observability, CI/CD</w:t>
            </w:r>
          </w:p>
        </w:tc>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Nginx Ingress, cert-manager; Prometheus, Grafana, Loki; GitLab CI or GitHub Actions; SonarQube, Trivy, ZAP</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Not set up yet; planned with production hosting. Actuator health endpoint and the integration call log exist.</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Testing</w:t>
            </w:r>
          </w:p>
        </w:tc>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JUnit 5, Testcontainers, Playwright, k6</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JUnit 5 with Spring Boot tests against a real PostgreSQL database (200 tests); screens checked with Playwright scripts during development; a NACTVET test server (nactvet-mock). Load tests not yet run.</w:t>
            </w:r>
          </w:p>
        </w:tc>
      </w:tr>
    </w:tbl>
    <w:p>
      <w:pPr>
        <w:spacing w:after="120"/>
      </w:pPr>
    </w:p>
    <w:p>
      <w:pPr>
        <w:pStyle w:val="Heading2"/>
      </w:pPr>
      <w:r>
        <w:rPr>
          <w:rFonts w:ascii="Calibri" w:cs="Calibri" w:eastAsia="Calibri" w:hAnsi="Calibri"/>
        </w:rPr>
        <w:t xml:space="preserve">13.2 Modules</w:t>
      </w:r>
    </w:p>
    <w:p>
      <w:pPr>
        <w:spacing w:after="120" w:line="276"/>
        <w:jc w:val="both"/>
      </w:pPr>
      <w:r>
        <w:rPr>
          <w:rFonts w:ascii="Calibri" w:cs="Calibri" w:eastAsia="Calibri" w:hAnsi="Calibri"/>
        </w:rPr>
        <w:t xml:space="preserve">The backend has 404 Java source files (about 44,000 lines) in these packages; the frontend has 78 TypeScript files (about 22,000 lines).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6860"/>
      </w:tblGrid>
      <w:tr>
        <w:trPr>
          <w:tblHeader/>
          <w:cantSplit/>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Package</w:t>
            </w:r>
          </w:p>
        </w:tc>
        <w:tc>
          <w:tcPr>
            <w:tcW w:type="dxa" w:w="686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Responsibility</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platform</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Tenancy (host or X-Tenant header), security and sign-in, users and roles, branding, audit trail, numbering.</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console</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Msingi platform console: institutions, NACTVET catalogue, platform users, integration health.</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academic</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Years, intakes, departments, programmes, modules, curricula, calendar.</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admission</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Windows, applicants, applications, eligibility, selection, NACTVET verification, offers, letters.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registry</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Hand-over, students, first and semester registration, status changes, ID cards.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teaching</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Offerings, attendance, self check-in, eligibility, My teaching.</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exams</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Regulations, marks, moderation, result sheets, resits, amendments, appeals, transcripts, NVA competence.</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finance</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Fees, billing, GePG, payments, reconciliation, accounts and clearance, sponsors, adjustments, finance overview.</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 ipt, graduation</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Hostels and repairs; industrial practical training; clearance, graduations and certificates.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portal</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portal services, notices, change requests, next steps.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notification</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Message templates, outbox, dispatcher, bulk campaigns, SMS bundles.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reporting, approvals</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Report catalogue and exports, dashboards and overviews; the approvals list.</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integration, reference</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NECTA and NACTVET clients, integration call log; administrative areas and school lists.</w:t>
            </w:r>
          </w:p>
        </w:tc>
      </w:tr>
    </w:tbl>
    <w:p>
      <w:pPr>
        <w:spacing w:after="120"/>
      </w:pPr>
    </w:p>
    <w:p>
      <w:pPr>
        <w:pStyle w:val="Heading2"/>
      </w:pPr>
      <w:r>
        <w:rPr>
          <w:rFonts w:ascii="Calibri" w:cs="Calibri" w:eastAsia="Calibri" w:hAnsi="Calibri"/>
        </w:rPr>
        <w:t xml:space="preserve">13.3 Integration adapters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4"/>
        <w:gridCol w:w="2707"/>
        <w:gridCol w:w="4695"/>
      </w:tblGrid>
      <w:tr>
        <w:trPr>
          <w:tblHeader/>
          <w:cantSplit/>
        </w:trPr>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System</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Mode setting</w:t>
            </w:r>
          </w:p>
        </w:tc>
        <w:tc>
          <w:tcPr>
            <w:tcW w:type="dxa" w:w="46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Adapter</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NECTA</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CIMS_NECTA_MODE = simulated | live</w:t>
            </w:r>
          </w:p>
        </w:tc>
        <w:tc>
          <w:tcPr>
            <w:tcW w:type="dxa" w:w="46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SimulatedNectaClient / LiveNectaClient (NECTA results API, key NECTA_API_KEY).</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 awards</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CIMS_NACTVET_AWARDS_MODE</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Particulars service as in NOAS (NACTE_AUTHORIZATION, NACTE_API_CODE).</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 catalogue</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CIMS_NACTVET_CATALOGUE_MODE</w:t>
            </w:r>
          </w:p>
        </w:tc>
        <w:tc>
          <w:tcPr>
            <w:tcW w:type="dxa" w:w="46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institutionprogrammeall service for the platform console.</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 verification</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CIMS_NACTVET_MODE = simulated | live</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SimulatedNactvetGateway / LiveNactvetGateway (NOAS-style JSON POST; endpoint paths configurable; tested against nactvet-mock). File channel always available.</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GePG</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CIMS_GEPG_MODE = simulated</w:t>
            </w:r>
          </w:p>
        </w:tc>
        <w:tc>
          <w:tcPr>
            <w:tcW w:type="dxa" w:w="46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SimulatedGepgGateway with HMAC-signed callback; reconciliation by file import. Live adapter to follow the GePG specification.</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SMS</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CIMS_SMS_MODE = simulated</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SimulatedSmsGateway behind the SmsGateway port; outbox, retries, signed delivery reports.</w:t>
            </w:r>
          </w:p>
        </w:tc>
      </w:tr>
    </w:tbl>
    <w:p>
      <w:pPr>
        <w:spacing w:after="120"/>
      </w:pPr>
    </w:p>
    <w:p>
      <w:pPr>
        <w:pStyle w:val="Heading2"/>
      </w:pPr>
      <w:r>
        <w:rPr>
          <w:rFonts w:ascii="Calibri" w:cs="Calibri" w:eastAsia="Calibri" w:hAnsi="Calibri"/>
        </w:rPr>
        <w:t xml:space="preserve">13.4 Path to the target architecture</w:t>
      </w:r>
    </w:p>
    <w:p>
      <w:pPr>
        <w:pStyle w:val="ListParagraph"/>
        <w:numPr>
          <w:ilvl w:val="0"/>
          <w:numId w:val="2"/>
        </w:numPr>
        <w:spacing w:after="60" w:line="264"/>
      </w:pPr>
      <w:r>
        <w:rPr>
          <w:rFonts w:ascii="Calibri" w:cs="Calibri" w:eastAsia="Calibri" w:hAnsi="Calibri"/>
          <w:b/>
          <w:bCs/>
        </w:rPr>
        <w:t xml:space="preserve">Identity:</w:t>
      </w:r>
      <w:r>
        <w:rPr>
          <w:rFonts w:ascii="Calibri" w:cs="Calibri" w:eastAsia="Calibri" w:hAnsi="Calibri"/>
        </w:rPr>
        <w:t xml:space="preserve"> introduce Keycloak (one realm per institution) and MFA for privileged roles; the backend already validates standard OAuth2 tokens.</w:t>
      </w:r>
    </w:p>
    <w:p>
      <w:pPr>
        <w:pStyle w:val="ListParagraph"/>
        <w:numPr>
          <w:ilvl w:val="0"/>
          <w:numId w:val="2"/>
        </w:numPr>
        <w:spacing w:after="60" w:line="264"/>
      </w:pPr>
      <w:r>
        <w:rPr>
          <w:rFonts w:ascii="Calibri" w:cs="Calibri" w:eastAsia="Calibri" w:hAnsi="Calibri"/>
          <w:b/>
          <w:bCs/>
        </w:rPr>
        <w:t xml:space="preserve">Scale-out:</w:t>
      </w:r>
      <w:r>
        <w:rPr>
          <w:rFonts w:ascii="Calibri" w:cs="Calibri" w:eastAsia="Calibri" w:hAnsi="Calibri"/>
        </w:rPr>
        <w:t xml:space="preserve"> add ShedLock to the scheduled jobs, then run several backend instances behind the ingress; move bulk work to workers with a broker when volumes require.</w:t>
      </w:r>
    </w:p>
    <w:p>
      <w:pPr>
        <w:pStyle w:val="ListParagraph"/>
        <w:numPr>
          <w:ilvl w:val="0"/>
          <w:numId w:val="2"/>
        </w:numPr>
        <w:spacing w:after="60" w:line="264"/>
      </w:pPr>
      <w:r>
        <w:rPr>
          <w:rFonts w:ascii="Calibri" w:cs="Calibri" w:eastAsia="Calibri" w:hAnsi="Calibri"/>
          <w:b/>
          <w:bCs/>
        </w:rPr>
        <w:t xml:space="preserve">Integrations:</w:t>
      </w:r>
      <w:r>
        <w:rPr>
          <w:rFonts w:ascii="Calibri" w:cs="Calibri" w:eastAsia="Calibri" w:hAnsi="Calibri"/>
        </w:rPr>
        <w:t xml:space="preserve"> live GePG adapter (signed bills, RSA signatures), SMS aggregator adapter, NACTVET's real verification endpoints (configuration only), then HESLB, MUSE, NIDA and TAMISEMI.</w:t>
      </w:r>
    </w:p>
    <w:p>
      <w:pPr>
        <w:pStyle w:val="ListParagraph"/>
        <w:numPr>
          <w:ilvl w:val="0"/>
          <w:numId w:val="2"/>
        </w:numPr>
        <w:spacing w:after="60" w:line="264"/>
      </w:pPr>
      <w:r>
        <w:rPr>
          <w:rFonts w:ascii="Calibri" w:cs="Calibri" w:eastAsia="Calibri" w:hAnsi="Calibri"/>
          <w:b/>
          <w:bCs/>
        </w:rPr>
        <w:t xml:space="preserve">Operations:</w:t>
      </w:r>
      <w:r>
        <w:rPr>
          <w:rFonts w:ascii="Calibri" w:cs="Calibri" w:eastAsia="Calibri" w:hAnsi="Calibri"/>
        </w:rPr>
        <w:t xml:space="preserve"> Kubernetes manifests, ingress with automatic certificates, Prometheus/Grafana/Loki, backups with point-in-time recovery, CI/CD with SAST, dependency and image scanning, k6 load tests and an independent penetration test before go-live.</w:t>
      </w:r>
    </w:p>
    <w:p>
      <w:pPr>
        <w:pStyle w:val="ListParagraph"/>
        <w:numPr>
          <w:ilvl w:val="0"/>
          <w:numId w:val="2"/>
        </w:numPr>
        <w:spacing w:after="60" w:line="264"/>
      </w:pPr>
      <w:r>
        <w:rPr>
          <w:rFonts w:ascii="Calibri" w:cs="Calibri" w:eastAsia="Calibri" w:hAnsi="Calibri"/>
          <w:b/>
          <w:bCs/>
        </w:rPr>
        <w:t xml:space="preserve">Documents:</w:t>
      </w:r>
      <w:r>
        <w:rPr>
          <w:rFonts w:ascii="Calibri" w:cs="Calibri" w:eastAsia="Calibri" w:hAnsi="Calibri"/>
        </w:rPr>
        <w:t xml:space="preserve"> object storage when uploads are added; until then documents are generated from stored data and frozen content.</w:t>
      </w:r>
    </w:p>
    <w:sectPr>
      <w:headerReference w:type="default" r:id="rId7"/>
      <w:footerReference w:type="default" r:id="rId8"/>
      <w:pgSz w:w="11906" w:h="16838" w:orient="portrait"/>
      <w:pgMar w:top="130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595959"/>
        <w:sz w:val="16"/>
        <w:szCs w:val="16"/>
      </w:rPr>
      <w:t xml:space="preserve">© 2026 Msingi Technologies Ltd  |  Confidential — For Stakeholder Review</w:t>
    </w:r>
    <w:r>
      <w:rPr>
        <w:rFonts w:ascii="Calibri" w:cs="Calibri" w:eastAsia="Calibri" w:hAnsi="Calibri"/>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Msingi Technologies Ltd  |  CIMS — Document 06: System Architecture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60"/>
      <w:outlineLvl w:val="1"/>
    </w:pPr>
    <w:rPr>
      <w:rFonts w:ascii="Calibri" w:cs="Calibri" w:eastAsia="Calibri" w:hAnsi="Calibri"/>
      <w:b/>
      <w:bCs/>
      <w:color w:val="0E7C7B"/>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ed76639c2fb95fc90b93f55f0ca503fd63567ce.png"/><Relationship Id="rId10" Type="http://schemas.openxmlformats.org/officeDocument/2006/relationships/image" Target="media/9827bea42c37b9ff4e07104f8d7590a2ca34a6f2.jpg"/><Relationship Id="rId11" Type="http://schemas.openxmlformats.org/officeDocument/2006/relationships/image" Target="media/9ef48691f7510ddbec9da201bf487838edaccea2.png"/><Relationship Id="rId12" Type="http://schemas.openxmlformats.org/officeDocument/2006/relationships/image" Target="media/e58e273a7cc5c35f7042e38b665c54d63a0c7780.png"/><Relationship Id="rId13" Type="http://schemas.openxmlformats.org/officeDocument/2006/relationships/image" Target="media/924597428803b8dc5cb621eeae0ec79e63dc748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CIMS — Document 06: System Architecture</dc:title>
  <dc:creator>Msingi Technologies Ltd</dc:creator>
  <cp:lastModifiedBy>Un-named</cp:lastModifiedBy>
  <cp:revision>1</cp:revision>
  <dcterms:created xsi:type="dcterms:W3CDTF">2026-10-06T09:59:03.778Z</dcterms:created>
  <dcterms:modified xsi:type="dcterms:W3CDTF">2026-10-06T09:59:03.778Z</dcterms:modified>
</cp:coreProperties>
</file>

<file path=docProps/custom.xml><?xml version="1.0" encoding="utf-8"?>
<Properties xmlns="http://schemas.openxmlformats.org/officeDocument/2006/custom-properties" xmlns:vt="http://schemas.openxmlformats.org/officeDocument/2006/docPropsVTypes"/>
</file>