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7326"/>
      </w:tblGrid>
      <w:tr>
        <w:tc>
          <w:tcPr>
            <w:tcW w:type="dxa" w:w="1700"/>
            <w:tcBorders>
              <w:top w:val="none" w:color="FFFFFF" w:sz="0"/>
              <w:left w:val="none" w:color="FFFFFF" w:sz="0"/>
              <w:bottom w:val="none" w:color="FFFFFF" w:sz="0"/>
              <w:right w:val="none" w:color="FFFFFF" w:sz="0"/>
            </w:tcBorders>
            <w:vAlign w:val="center"/>
          </w:tcPr>
          <w:p>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7326"/>
            <w:tcBorders>
              <w:top w:val="none" w:color="FFFFFF" w:sz="0"/>
              <w:left w:val="none" w:color="FFFFFF" w:sz="0"/>
              <w:bottom w:val="none" w:color="FFFFFF" w:sz="0"/>
              <w:right w:val="none" w:color="FFFFFF" w:sz="0"/>
            </w:tcBorders>
            <w:vAlign w:val="center"/>
          </w:tcPr>
          <w:p>
            <w:pPr>
              <w:spacing w:after="20"/>
            </w:pPr>
            <w:r>
              <w:rPr>
                <w:rFonts w:ascii="Calibri" w:cs="Calibri" w:eastAsia="Calibri" w:hAnsi="Calibri"/>
                <w:b/>
                <w:bCs/>
                <w:color w:val="0F1B2D"/>
                <w:spacing w:val="30"/>
                <w:sz w:val="34"/>
                <w:szCs w:val="34"/>
              </w:rPr>
              <w:t xml:space="preserve">MSINGI TECHNOLOGIES LTD</w:t>
            </w:r>
          </w:p>
          <w:p>
            <w:r>
              <w:rPr>
                <w:rFonts w:ascii="Calibri" w:cs="Calibri" w:eastAsia="Calibri" w:hAnsi="Calibri"/>
                <w:b/>
                <w:bCs/>
                <w:color w:val="12715B"/>
                <w:spacing w:val="20"/>
                <w:sz w:val="20"/>
                <w:szCs w:val="20"/>
              </w:rPr>
              <w:t xml:space="preserve">Software  •  IT Systems</w:t>
            </w:r>
          </w:p>
        </w:tc>
      </w:tr>
    </w:tbl>
    <w:p>
      <w:pPr>
        <w:pBdr>
          <w:bottom w:val="single" w:color="E3A72F" w:sz="12" w:space="1"/>
        </w:pBdr>
        <w:spacing w:after="160" w:before="120"/>
      </w:pPr>
    </w:p>
    <w:p>
      <w:pPr>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60" w:before="240"/>
      </w:pPr>
      <w:r>
        <w:rPr>
          <w:rFonts w:ascii="Calibri" w:cs="Calibri" w:eastAsia="Calibri" w:hAnsi="Calibri"/>
          <w:b/>
          <w:bCs/>
          <w:color w:val="1F3864"/>
          <w:sz w:val="44"/>
          <w:szCs w:val="44"/>
        </w:rPr>
        <w:t xml:space="preserve">College/Institution Management System (CIMS)</w:t>
      </w:r>
    </w:p>
    <w:p>
      <w:pPr>
        <w:spacing w:after="60"/>
      </w:pPr>
      <w:r>
        <w:rPr>
          <w:rFonts w:ascii="Calibri" w:cs="Calibri" w:eastAsia="Calibri" w:hAnsi="Calibri"/>
          <w:i/>
          <w:iCs/>
          <w:color w:val="0E7C7B"/>
          <w:sz w:val="24"/>
          <w:szCs w:val="24"/>
        </w:rPr>
        <w:t xml:space="preserve">One platform from application to graduation for NACTVET-registered institutions</w:t>
      </w:r>
    </w:p>
    <w:p>
      <w:pPr>
        <w:pBdr>
          <w:bottom w:val="single" w:color="0E7C7B" w:sz="8" w:space="4"/>
        </w:pBdr>
        <w:spacing w:after="60" w:before="240"/>
      </w:pPr>
      <w:r>
        <w:rPr>
          <w:rFonts w:ascii="Calibri" w:cs="Calibri" w:eastAsia="Calibri" w:hAnsi="Calibri"/>
          <w:b/>
          <w:bCs/>
          <w:color w:val="1F3864"/>
          <w:sz w:val="34"/>
          <w:szCs w:val="34"/>
        </w:rPr>
        <w:t xml:space="preserve">Document 07: Development Plan and Cost Estimate</w:t>
      </w:r>
    </w:p>
    <w:p>
      <w:pPr>
        <w:spacing w:after="300"/>
      </w:pPr>
      <w:r>
        <w:rPr>
          <w:rFonts w:ascii="Calibri" w:cs="Calibri" w:eastAsia="Calibri" w:hAnsi="Calibri"/>
          <w:color w:val="595959"/>
          <w:sz w:val="22"/>
          <w:szCs w:val="22"/>
        </w:rPr>
        <w:t xml:space="preserve">Release plan, team and governance, effort-based budget, pricing model, investment case, support levels and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Document 07: Development Plan and Cost Estimate</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 Status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Version 3.0 — updated to the system as built, for stakeholder review</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For</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Institutions registered by NACTVET to deliver NVA and NTA programmes, their governing boards and management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Scope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Online Admission, Student Registry, Academic Structure, Teaching &amp; Attendance, Assessment &amp; Examination (NTA and NVA), Finance &amp; Fees (GePG), Hostel, Industrial Practical Training, Clearance &amp; Graduation, Student Portal, Reports and Integrations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By</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Msingi Technologies Ltd</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Date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October 2026</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Classification</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Confidential — For Stakeholder Review</w:t>
            </w:r>
          </w:p>
        </w:tc>
      </w:tr>
    </w:tbl>
    <w:p>
      <w:r>
        <w:br w:type="page"/>
      </w:r>
    </w:p>
    <w:p>
      <w:pPr>
        <w:pStyle w:val="Heading1"/>
      </w:pPr>
      <w:r>
        <w:rPr>
          <w:rFonts w:ascii="Calibri" w:cs="Calibri" w:eastAsia="Calibri" w:hAnsi="Calibri"/>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624"/>
        <w:gridCol w:w="1985"/>
        <w:gridCol w:w="4334"/>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Version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Prepared By</w:t>
            </w:r>
          </w:p>
        </w:tc>
        <w:tc>
          <w:tcPr>
            <w:tcW w:type="dxa" w:w="43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Team</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Initial planning version (generic institution).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Re-baselined for NACTVET-registered NVA/NTA institutions, each with its own online admission system; content expanded and aligned across the document suite.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Updated to the system as built (development build, October 2026): what is built, what is partly built and what remains, with corrected technology, data model and plan. The version 2.0 requirements stay the baseline.</w:t>
            </w:r>
          </w:p>
        </w:tc>
      </w:tr>
    </w:tbl>
    <w:p>
      <w:pPr>
        <w:pStyle w:val="Heading2"/>
        <w:spacing w:before="200"/>
      </w:pPr>
      <w:r>
        <w:rPr>
          <w:rFonts w:ascii="Calibri" w:cs="Calibri" w:eastAsia="Calibri" w:hAnsi="Calibri"/>
        </w:rPr>
        <w:t xml:space="preserve">Review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2707"/>
        <w:gridCol w:w="1985"/>
        <w:gridCol w:w="1988"/>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Role</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Name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Signature</w:t>
            </w:r>
          </w:p>
        </w:tc>
        <w:tc>
          <w:tcPr>
            <w:tcW w:type="dxa" w:w="19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Managing Director, Msingi Technologies Ltd</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Manager, Msingi Technologies Ltd</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Sponsor (Institution)</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 / Head of Institution</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bl>
    <w:p>
      <w:pPr>
        <w:pStyle w:val="Heading2"/>
        <w:spacing w:before="200"/>
      </w:pPr>
      <w:r>
        <w:rPr>
          <w:rFonts w:ascii="Calibri" w:cs="Calibri" w:eastAsia="Calibri" w:hAnsi="Calibri"/>
        </w:rPr>
        <w:t xml:space="preserve">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068"/>
        <w:gridCol w:w="5236"/>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No.</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Document</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Purpose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01</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Concept Note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Why the system is needed, the vision, value to stakeholders and the delivery model.</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02</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Requirements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Stakeholders, business requirements, business rules and success measures.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Requirements Specification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Functional and non-functional requirements, roles, use cases and traceability.</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04</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Process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End-to-end institutional workflows with actors, controls and service levels.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05</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Database Design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model, table catalogue, constraints, multi-tenancy and data governance.</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06</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Architecture</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Technology stack, components, security, integrations, deployment and operations.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07</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Development Plan and Cost Estimate (this document)</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plan, team, effort-based budget, pricing model and risks.</w:t>
            </w:r>
          </w:p>
        </w:tc>
      </w:tr>
    </w:tbl>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595959"/>
          <w:sz w:val="16"/>
          <w:szCs w:val="16"/>
        </w:rPr>
        <w:t xml:space="preserve">If page numbers are not shown, right-click the table and choose Update Field.</w:t>
      </w:r>
    </w:p>
    <w:p>
      <w:r>
        <w:br w:type="page"/>
      </w:r>
    </w:p>
    <w:p>
      <w:pPr>
        <w:pStyle w:val="Heading1"/>
      </w:pPr>
      <w:r>
        <w:rPr>
          <w:rFonts w:ascii="Calibri" w:cs="Calibri" w:eastAsia="Calibri" w:hAnsi="Calibri"/>
        </w:rPr>
        <w:t xml:space="preserve">1. Introduction</w:t>
      </w:r>
    </w:p>
    <w:p>
      <w:pPr>
        <w:spacing w:after="120" w:line="276"/>
        <w:jc w:val="both"/>
      </w:pPr>
      <w:r>
        <w:rPr>
          <w:rFonts w:ascii="Calibri" w:cs="Calibri" w:eastAsia="Calibri" w:hAnsi="Calibri"/>
        </w:rPr>
        <w:t xml:space="preserve">This document sets out how Msingi Technologies Ltd will deliver CIMS, who will deliver it, what it will cost and how that investment is recovered. It is aligned with the release scope in Documents 01–03 and the architecture in Document 06. All amounts are in Tanzanian shillings (TZS), indicative as at October 2026, and </w:t>
      </w:r>
      <w:r>
        <w:rPr>
          <w:rFonts w:ascii="Calibri" w:cs="Calibri" w:eastAsia="Calibri" w:hAnsi="Calibri"/>
          <w:b/>
          <w:bCs/>
        </w:rPr>
        <w:t xml:space="preserve">exclude VAT</w:t>
      </w:r>
      <w:r>
        <w:rPr>
          <w:rFonts w:ascii="Calibri" w:cs="Calibri" w:eastAsia="Calibri" w:hAnsi="Calibri"/>
        </w:rPr>
        <w:t xml:space="preserve"> unless stated.</w:t>
      </w:r>
    </w:p>
    <w:p>
      <w:pPr>
        <w:pBdr>
          <w:left w:val="single" w:color="0E7C7B" w:sz="24" w:space="8"/>
        </w:pBdr>
        <w:shd w:fill="E8F4F3" w:color="auto" w:val="clear"/>
        <w:spacing w:after="160" w:before="120" w:line="276"/>
        <w:ind w:left="200" w:right="200"/>
      </w:pPr>
      <w:r>
        <w:rPr>
          <w:rFonts w:ascii="Calibri" w:cs="Calibri" w:eastAsia="Calibri" w:hAnsi="Calibri"/>
          <w:b/>
          <w:bCs/>
          <w:color w:val="1D3B3A"/>
        </w:rPr>
        <w:t xml:space="preserve">Headline figures:</w:t>
      </w:r>
      <w:r>
        <w:rPr>
          <w:rFonts w:ascii="Calibri" w:cs="Calibri" w:eastAsia="Calibri" w:hAnsi="Calibri"/>
          <w:color w:val="1D3B3A"/>
        </w:rPr>
        <w:t xml:space="preserve"> about 11 months to full functionality in three releases; 119.0 person-months of effort; one-time platform investment of about </w:t>
      </w:r>
      <w:r>
        <w:rPr>
          <w:rFonts w:ascii="Calibri" w:cs="Calibri" w:eastAsia="Calibri" w:hAnsi="Calibri"/>
          <w:b/>
          <w:bCs/>
          <w:color w:val="1D3B3A"/>
        </w:rPr>
        <w:t xml:space="preserve">TZS 572.6 million</w:t>
      </w:r>
      <w:r>
        <w:rPr>
          <w:rFonts w:ascii="Calibri" w:cs="Calibri" w:eastAsia="Calibri" w:hAnsi="Calibri"/>
          <w:color w:val="1D3B3A"/>
        </w:rPr>
        <w:t xml:space="preserve"> (excluding VAT, including 10% contingency); institutions pay an onboarding fee plus about </w:t>
      </w:r>
      <w:r>
        <w:rPr>
          <w:rFonts w:ascii="Calibri" w:cs="Calibri" w:eastAsia="Calibri" w:hAnsi="Calibri"/>
          <w:b/>
          <w:bCs/>
          <w:color w:val="1D3B3A"/>
        </w:rPr>
        <w:t xml:space="preserve">TZS 25,000 per active student per year</w:t>
      </w:r>
      <w:r>
        <w:rPr>
          <w:rFonts w:ascii="Calibri" w:cs="Calibri" w:eastAsia="Calibri" w:hAnsi="Calibri"/>
          <w:color w:val="1D3B3A"/>
        </w:rPr>
        <w:t xml:space="preserve">. On the stated assumptions, platform running costs are covered from about 13 average-sized institutions.</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Progress (October 2026, version 3.0):</w:t>
      </w:r>
      <w:r>
        <w:rPr>
          <w:rFonts w:ascii="Calibri" w:cs="Calibri" w:eastAsia="Calibri" w:hAnsi="Calibri"/>
        </w:rPr>
        <w:t xml:space="preserve"> the development build already covers the core scope of all three releases (section 3.2). The schedule and costs below are the version 2.0 estimate and have not been re-baselined; the remaining work is now mainly live integrations, hardening, migration, hosting and pilots.</w:t>
      </w:r>
    </w:p>
    <w:p>
      <w:pPr>
        <w:pStyle w:val="Heading1"/>
      </w:pPr>
      <w:r>
        <w:rPr>
          <w:rFonts w:ascii="Calibri" w:cs="Calibri" w:eastAsia="Calibri" w:hAnsi="Calibri"/>
        </w:rPr>
        <w:t xml:space="preserve">2. Delivery Strategy</w:t>
      </w:r>
    </w:p>
    <w:p>
      <w:pPr>
        <w:pStyle w:val="ListParagraph"/>
        <w:numPr>
          <w:ilvl w:val="0"/>
          <w:numId w:val="2"/>
        </w:numPr>
        <w:spacing w:after="60" w:line="264"/>
      </w:pPr>
      <w:r>
        <w:rPr>
          <w:rFonts w:ascii="Calibri" w:cs="Calibri" w:eastAsia="Calibri" w:hAnsi="Calibri"/>
          <w:b/>
          <w:bCs/>
        </w:rPr>
        <w:t xml:space="preserve">Calendar-driven releases:</w:t>
      </w:r>
      <w:r>
        <w:rPr>
          <w:rFonts w:ascii="Calibri" w:cs="Calibri" w:eastAsia="Calibri" w:hAnsi="Calibri"/>
        </w:rPr>
        <w:t xml:space="preserve"> Release 1 is fixed to be live before the 2027/28 admission window; later releases are timed for examinations and the new academic year.</w:t>
      </w:r>
    </w:p>
    <w:p>
      <w:pPr>
        <w:pStyle w:val="ListParagraph"/>
        <w:numPr>
          <w:ilvl w:val="0"/>
          <w:numId w:val="2"/>
        </w:numPr>
        <w:spacing w:after="60" w:line="264"/>
      </w:pPr>
      <w:r>
        <w:rPr>
          <w:rFonts w:ascii="Calibri" w:cs="Calibri" w:eastAsia="Calibri" w:hAnsi="Calibri"/>
          <w:b/>
          <w:bCs/>
        </w:rPr>
        <w:t xml:space="preserve">Agile delivery in two-week sprints</w:t>
      </w:r>
      <w:r>
        <w:rPr>
          <w:rFonts w:ascii="Calibri" w:cs="Calibri" w:eastAsia="Calibri" w:hAnsi="Calibri"/>
        </w:rPr>
        <w:t xml:space="preserve"> with a demonstration to institution users at the end of each sprint and a prioritised backlog traced to Document 03.</w:t>
      </w:r>
    </w:p>
    <w:p>
      <w:pPr>
        <w:pStyle w:val="ListParagraph"/>
        <w:numPr>
          <w:ilvl w:val="0"/>
          <w:numId w:val="2"/>
        </w:numPr>
        <w:spacing w:after="60" w:line="264"/>
      </w:pPr>
      <w:r>
        <w:rPr>
          <w:rFonts w:ascii="Calibri" w:cs="Calibri" w:eastAsia="Calibri" w:hAnsi="Calibri"/>
          <w:b/>
          <w:bCs/>
        </w:rPr>
        <w:t xml:space="preserve">Pilot first:</w:t>
      </w:r>
      <w:r>
        <w:rPr>
          <w:rFonts w:ascii="Calibri" w:cs="Calibri" w:eastAsia="Calibri" w:hAnsi="Calibri"/>
        </w:rPr>
        <w:t xml:space="preserve"> two pilot institutions (one NTA-focused, one NVA-focused) use each release before general roll-out.</w:t>
      </w:r>
    </w:p>
    <w:p>
      <w:pPr>
        <w:pStyle w:val="ListParagraph"/>
        <w:numPr>
          <w:ilvl w:val="0"/>
          <w:numId w:val="2"/>
        </w:numPr>
        <w:spacing w:after="60" w:line="264"/>
      </w:pPr>
      <w:r>
        <w:rPr>
          <w:rFonts w:ascii="Calibri" w:cs="Calibri" w:eastAsia="Calibri" w:hAnsi="Calibri"/>
          <w:b/>
          <w:bCs/>
        </w:rPr>
        <w:t xml:space="preserve">Fixed scope per release, controlled change:</w:t>
      </w:r>
      <w:r>
        <w:rPr>
          <w:rFonts w:ascii="Calibri" w:cs="Calibri" w:eastAsia="Calibri" w:hAnsi="Calibri"/>
        </w:rPr>
        <w:t xml:space="preserve"> new requests go to the backlog and are scheduled through change control (section 13).</w:t>
      </w:r>
    </w:p>
    <w:p>
      <w:pPr>
        <w:pStyle w:val="ListParagraph"/>
        <w:numPr>
          <w:ilvl w:val="0"/>
          <w:numId w:val="2"/>
        </w:numPr>
        <w:spacing w:after="60" w:line="264"/>
      </w:pPr>
      <w:r>
        <w:rPr>
          <w:rFonts w:ascii="Calibri" w:cs="Calibri" w:eastAsia="Calibri" w:hAnsi="Calibri"/>
          <w:b/>
          <w:bCs/>
        </w:rPr>
        <w:t xml:space="preserve">Quality built in:</w:t>
      </w:r>
      <w:r>
        <w:rPr>
          <w:rFonts w:ascii="Calibri" w:cs="Calibri" w:eastAsia="Calibri" w:hAnsi="Calibri"/>
        </w:rPr>
        <w:t xml:space="preserve"> automated testing, security scanning and performance testing in every release (Document 06, section 8.4).</w:t>
      </w:r>
    </w:p>
    <w:p>
      <w:pPr>
        <w:pStyle w:val="Heading1"/>
      </w:pPr>
      <w:r>
        <w:rPr>
          <w:rFonts w:ascii="Calibri" w:cs="Calibri" w:eastAsia="Calibri" w:hAnsi="Calibri"/>
        </w:rPr>
        <w:t xml:space="preserve">3. Release Plan and Timeline</w:t>
      </w:r>
    </w:p>
    <w:p>
      <w:pPr>
        <w:spacing w:after="120" w:line="276"/>
        <w:jc w:val="both"/>
      </w:pPr>
      <w:r>
        <w:rPr>
          <w:rFonts w:ascii="Calibri" w:cs="Calibri" w:eastAsia="Calibri" w:hAnsi="Calibri"/>
        </w:rPr>
        <w:t xml:space="preserve">The plan assumes a start on </w:t>
      </w:r>
      <w:r>
        <w:rPr>
          <w:rFonts w:ascii="Calibri" w:cs="Calibri" w:eastAsia="Calibri" w:hAnsi="Calibri"/>
          <w:b/>
          <w:bCs/>
        </w:rPr>
        <w:t xml:space="preserve">2 November 2026</w:t>
      </w:r>
      <w:r>
        <w:rPr>
          <w:rFonts w:ascii="Calibri" w:cs="Calibri" w:eastAsia="Calibri" w:hAnsi="Calibri"/>
        </w:rPr>
        <w:t xml:space="preserve"> (week 1).</w:t>
      </w:r>
    </w:p>
    <w:p>
      <w:pPr>
        <w:spacing w:after="60"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669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Release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1083"/>
        <w:gridCol w:w="5597"/>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Phase / release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Weeks</w:t>
            </w:r>
          </w:p>
        </w:tc>
        <w:tc>
          <w:tcPr>
            <w:tcW w:type="dxa" w:w="559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Major deliverables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Phase 0: Inception</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W1–W3</w:t>
            </w:r>
          </w:p>
        </w:tc>
        <w:tc>
          <w:tcPr>
            <w:tcW w:type="dxa" w:w="559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Project charter, governance set-up, requirements validation with pilots, integration access requests (NACTVET, NECTA, GePG, HESLB), release backlog, migration inventory.</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Phase 1: Solution design</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W3–W7</w:t>
            </w:r>
          </w:p>
        </w:tc>
        <w:tc>
          <w:tcPr>
            <w:tcW w:type="dxa" w:w="559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Clickable UI prototype, detailed data model, security model, integration specifications, environments and CI/CD, regulation and fee configuration templates.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Release 1 — Admission-ready</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Build W6–W17; test W18–W20; live W21 (22 Mar 2027)</w:t>
            </w:r>
          </w:p>
        </w:tc>
        <w:tc>
          <w:tcPr>
            <w:tcW w:type="dxa" w:w="559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Platform, tenancy and security; Online Admission Portal with NECTA/AVN verification; GePG application and tuition fees; selection; NACTVET verification; Registry; Academic Structure; notifications; core reports; student portal (basic).</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Release 2 — Academic</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Build W19–W32; test W33–W35; live W36 (5 Jul 2027)</w:t>
            </w:r>
          </w:p>
        </w:tc>
        <w:tc>
          <w:tcPr>
            <w:tcW w:type="dxa" w:w="559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Teaching &amp; Attendance; Assessment &amp; Examination for NTA and NVA; approvals; GPA and progression; results publication; transcripts and QR verification; NACTVET results files; full student portal; academic reports.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Release 3 — Campus</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Build W34–W45; test W46–W48; live W49 (4 Oct 2027)</w:t>
            </w:r>
          </w:p>
        </w:tc>
        <w:tc>
          <w:tcPr>
            <w:tcW w:type="dxa" w:w="559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 IPT; Clearance &amp; Graduation; advanced finance (instalments, waivers, sponsors/HESLB, refunds); MUSE/ERP export; management dashboards; regulator returns; NIDA (optional).</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Hypercare and handover</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W49–W56</w:t>
            </w:r>
          </w:p>
        </w:tc>
        <w:tc>
          <w:tcPr>
            <w:tcW w:type="dxa" w:w="559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Stabilisation, performance tuning, knowledge transfer to the support team, project closure report.</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Data migration stream</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W4–W35</w:t>
            </w:r>
          </w:p>
        </w:tc>
        <w:tc>
          <w:tcPr>
            <w:tcW w:type="dxa" w:w="559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Mapping, cleansing, trial loads and sign-off for each pilot before R1 and R2 go-live.</w:t>
            </w:r>
          </w:p>
        </w:tc>
      </w:tr>
    </w:tbl>
    <w:p>
      <w:pPr>
        <w:spacing w:after="120"/>
      </w:pPr>
    </w:p>
    <w:p>
      <w:pPr>
        <w:pStyle w:val="Heading2"/>
      </w:pPr>
      <w:r>
        <w:rPr>
          <w:rFonts w:ascii="Calibri" w:cs="Calibri" w:eastAsia="Calibri" w:hAnsi="Calibri"/>
        </w:rPr>
        <w:t xml:space="preserve">3.1 Milestones and acceptance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3610"/>
        <w:gridCol w:w="1624"/>
        <w:gridCol w:w="2890"/>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w:t>
            </w:r>
          </w:p>
        </w:tc>
        <w:tc>
          <w:tcPr>
            <w:tcW w:type="dxa" w:w="361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Milestone</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Target</w:t>
            </w:r>
          </w:p>
        </w:tc>
        <w:tc>
          <w:tcPr>
            <w:tcW w:type="dxa" w:w="289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Acceptance evidence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M1</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Inception report and validated requirements baseline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Week 3</w:t>
            </w:r>
          </w:p>
        </w:tc>
        <w:tc>
          <w:tcPr>
            <w:tcW w:type="dxa" w:w="28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Signed BRD/SRS baseline</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M2</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Solution design and prototype approved</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Week 7</w:t>
            </w:r>
          </w:p>
        </w:tc>
        <w:tc>
          <w:tcPr>
            <w:tcW w:type="dxa" w:w="28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Design sign-off by pilots</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M3</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Release 1 live at pilot institutions</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Week 21</w:t>
            </w:r>
          </w:p>
        </w:tc>
        <w:tc>
          <w:tcPr>
            <w:tcW w:type="dxa" w:w="28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UAT sign-off; penetration test report; go-live checklist</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M4</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First admission window run on CIMS</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Window close</w:t>
            </w:r>
          </w:p>
        </w:tc>
        <w:tc>
          <w:tcPr>
            <w:tcW w:type="dxa" w:w="28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Applications processed; NACTVET verification submitted</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M5</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Release 2 live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Week 36</w:t>
            </w:r>
          </w:p>
        </w:tc>
        <w:tc>
          <w:tcPr>
            <w:tcW w:type="dxa" w:w="28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UAT sign-off; first results processed</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M6</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Release 3 live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Week 49</w:t>
            </w:r>
          </w:p>
        </w:tc>
        <w:tc>
          <w:tcPr>
            <w:tcW w:type="dxa" w:w="28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UAT sign-off; hostel allocation run</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M7</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Project closure and handover to support</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Week 56</w:t>
            </w:r>
          </w:p>
        </w:tc>
        <w:tc>
          <w:tcPr>
            <w:tcW w:type="dxa" w:w="28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Closure report; support model active</w:t>
            </w:r>
          </w:p>
        </w:tc>
      </w:tr>
    </w:tbl>
    <w:p>
      <w:pPr>
        <w:spacing w:after="120"/>
      </w:pPr>
    </w:p>
    <w:p>
      <w:pPr>
        <w:pStyle w:val="Heading2"/>
      </w:pPr>
      <w:r>
        <w:rPr>
          <w:rFonts w:ascii="Calibri" w:cs="Calibri" w:eastAsia="Calibri" w:hAnsi="Calibri"/>
        </w:rPr>
        <w:t xml:space="preserve">3.2 Progress and remaining work (October 2026)</w:t>
      </w:r>
    </w:p>
    <w:p>
      <w:pPr>
        <w:spacing w:after="120" w:line="276"/>
        <w:jc w:val="both"/>
      </w:pPr>
      <w:r>
        <w:rPr>
          <w:rFonts w:ascii="Calibri" w:cs="Calibri" w:eastAsia="Calibri" w:hAnsi="Calibri"/>
        </w:rPr>
        <w:t xml:space="preserve">The build was done ahead of the 2 November 2026 start assumed above. The system has 119 database tables from 38 migrations, about 44,000 lines of backend and 22,000 lines of frontend code, 200 automated tests, 35 standard reports and 20 roles. Its status against the planned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083"/>
        <w:gridCol w:w="1173"/>
        <w:gridCol w:w="4785"/>
      </w:tblGrid>
      <w:tr>
        <w:trPr>
          <w:tblHeader/>
          <w:cantSplit/>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Phase / release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Planned weeks</w:t>
            </w:r>
          </w:p>
        </w:tc>
        <w:tc>
          <w:tcPr>
            <w:tcW w:type="dxa" w:w="117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Status</w:t>
            </w:r>
          </w:p>
        </w:tc>
        <w:tc>
          <w:tcPr>
            <w:tcW w:type="dxa" w:w="47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Notes</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Phase 0: Inception</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W1–W3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done</w:t>
            </w:r>
          </w:p>
        </w:tc>
        <w:tc>
          <w:tcPr>
            <w:tcW w:type="dxa" w:w="47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Requirements validated through the build; pilot validation and integration access requests still to do.</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Phase 1: Solution design</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W3–W7</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Done</w:t>
            </w:r>
          </w:p>
        </w:tc>
        <w:tc>
          <w:tcPr>
            <w:tcW w:type="dxa" w:w="47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Data model, security model, integration ports and UI built directly in the system; this version 3.0 suite records them.</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Release 1 — Admission-ready</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W6–W21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47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Platform, admission portal, NECTA and NACTVET look-ups, selection, NACTVET verification, letters, registry, fees and GePG (simulated), notifications, reports, student portal.</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Release 2 — Academic</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W19–W36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47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Teaching and attendance, NTA examinations and NVA competence, approvals, GPA and decisions, publication, resits, appeals, transcripts and verification, NACTVET results files.</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Release 3 — Campus</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W34–W49</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Mostly built</w:t>
            </w:r>
          </w:p>
        </w:tc>
        <w:tc>
          <w:tcPr>
            <w:tcW w:type="dxa" w:w="47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 IPT, clearance and graduation, sponsors, waivers and refunds, postings file, dashboards built; instalment reminders, MUSE interface, NIDA and HESLB exchange not built.</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Data migration stream</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W4–W35</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started</w:t>
            </w:r>
          </w:p>
        </w:tc>
        <w:tc>
          <w:tcPr>
            <w:tcW w:type="dxa" w:w="47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Import tools and templates still to be built.</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Testing, security, hosting, pilots, hypercare</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W18–W56</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started</w:t>
            </w:r>
          </w:p>
        </w:tc>
        <w:tc>
          <w:tcPr>
            <w:tcW w:type="dxa" w:w="47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See the remaining work below.</w:t>
            </w:r>
          </w:p>
        </w:tc>
      </w:tr>
    </w:tbl>
    <w:p>
      <w:pPr>
        <w:spacing w:after="120"/>
      </w:pPr>
    </w:p>
    <w:p>
      <w:pPr>
        <w:spacing w:after="120" w:line="276"/>
        <w:jc w:val="both"/>
      </w:pPr>
      <w:r>
        <w:rPr>
          <w:rFonts w:ascii="Calibri" w:cs="Calibri" w:eastAsia="Calibri" w:hAnsi="Calibri"/>
        </w:rPr>
        <w:t xml:space="preserve">Work remaining before the first institutions go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5235"/>
        <w:gridCol w:w="1986"/>
      </w:tblGrid>
      <w:tr>
        <w:trPr>
          <w:tblHeader/>
          <w:cantSplit/>
        </w:trPr>
        <w:tc>
          <w:tcPr>
            <w:tcW w:type="dxa" w:w="18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Work</w:t>
            </w:r>
          </w:p>
        </w:tc>
        <w:tc>
          <w:tcPr>
            <w:tcW w:type="dxa" w:w="523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What it covers</w:t>
            </w:r>
          </w:p>
        </w:tc>
        <w:tc>
          <w:tcPr>
            <w:tcW w:type="dxa" w:w="198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Depends on</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Live integrations</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GePG live adapter and certification; SMS aggregator adapter; NACTVET verification endpoints (configuration once published); NACTVET official results and NVA templates.</w:t>
            </w:r>
          </w:p>
        </w:tc>
        <w:tc>
          <w:tcPr>
            <w:tcW w:type="dxa" w:w="198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GePG, NACTVET and aggregator access</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Security hardening</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Keycloak and MFA for privileged roles; secrets management; ASVS review; independent penetration test.</w:t>
            </w:r>
          </w:p>
        </w:tc>
        <w:tc>
          <w:tcPr>
            <w:tcW w:type="dxa" w:w="19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Data migration</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Import tools and templates with validation reports for programmes, curricula, students, results and balances; trial loads and sign-off.</w:t>
            </w:r>
          </w:p>
        </w:tc>
        <w:tc>
          <w:tcPr>
            <w:tcW w:type="dxa" w:w="198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Pilot data</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Gaps in scope</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Campuses, programme transfers, NACTVET student registration, document uploads, email channel, instalment reminders, retention and data subject requests, scheduled reports; then alumni, TAMISEMI, NIDA, MUSE and HESLB exchange.</w:t>
            </w:r>
          </w:p>
        </w:tc>
        <w:tc>
          <w:tcPr>
            <w:tcW w:type="dxa" w:w="19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Priorities from pilots</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Performance and scale</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Load tests at 2× expected peak; ShedLock and multiple instances; tuning.</w:t>
            </w:r>
          </w:p>
        </w:tc>
        <w:tc>
          <w:tcPr>
            <w:tcW w:type="dxa" w:w="198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Production hosting and operations</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Kubernetes or Compose deployment in a Tanzanian data centre, certificates, monitoring, backups with point-in-time recovery, CI/CD pipeline, service desk.</w:t>
            </w:r>
          </w:p>
        </w:tc>
        <w:tc>
          <w:tcPr>
            <w:tcW w:type="dxa" w:w="19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Deployment option decision</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Pilot onboarding and acceptance</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Configuration of regulations, fees and entry rules with two pilot institutions; training; user acceptance testing against Document 03; go-live and hypercare.</w:t>
            </w:r>
          </w:p>
        </w:tc>
        <w:tc>
          <w:tcPr>
            <w:tcW w:type="dxa" w:w="198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Pilot institutions</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User documentation</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Manuals and short videos in English and Kiswahili; Kiswahili for the staff back-office.</w:t>
            </w:r>
          </w:p>
        </w:tc>
        <w:tc>
          <w:tcPr>
            <w:tcW w:type="dxa" w:w="19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r>
    </w:tbl>
    <w:p>
      <w:pPr>
        <w:spacing w:after="120"/>
      </w:pPr>
    </w:p>
    <w:p>
      <w:pPr>
        <w:spacing w:after="120" w:line="276"/>
        <w:jc w:val="both"/>
      </w:pPr>
      <w:r>
        <w:rPr>
          <w:rFonts w:ascii="Calibri" w:cs="Calibri" w:eastAsia="Calibri" w:hAnsi="Calibri"/>
          <w:b/>
          <w:bCs/>
        </w:rPr>
        <w:t xml:space="preserve">Proposed sequence</w:t>
      </w:r>
      <w:r>
        <w:rPr>
          <w:rFonts w:ascii="Calibri" w:cs="Calibri" w:eastAsia="Calibri" w:hAnsi="Calibri"/>
        </w:rPr>
        <w:t xml:space="preserve"> (for the Steering Committee to confirm): integration access requests and pilot selection first; then hardening, migration tools and hosting in parallel with the live integrations; pilot configuration, training and acceptance; go-live at the pilots before the 2027/28 application window (the original Milestone M3 target of March 2027); hypercare during the first admission window. Milestones M4 to M7 keep their acceptance evidence; M5 and M6 become acceptance of the academic and campus modules at the pilots rather than separate builds.</w:t>
      </w:r>
    </w:p>
    <w:p>
      <w:pPr>
        <w:pStyle w:val="Heading1"/>
      </w:pPr>
      <w:r>
        <w:rPr>
          <w:rFonts w:ascii="Calibri" w:cs="Calibri" w:eastAsia="Calibri" w:hAnsi="Calibri"/>
        </w:rPr>
        <w:t xml:space="preserve">4. Team and Governance</w:t>
      </w:r>
    </w:p>
    <w:p>
      <w:pPr>
        <w:pStyle w:val="Heading2"/>
      </w:pPr>
      <w:r>
        <w:rPr>
          <w:rFonts w:ascii="Calibri" w:cs="Calibri" w:eastAsia="Calibri" w:hAnsi="Calibri"/>
        </w:rPr>
        <w:t xml:space="preserve">4.1 Delivery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Role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Responsibility</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Project Manager</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Plan, budget, risks, reporting, stakeholder communication, acceptance.</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Business Analyst</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Requirements validation, configuration of regulations and fees with institutions, acceptance criteria, UAT coordination.</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Solution Architect / Technical Lead</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Architecture, code quality, security design, integrations, technical decisions.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Backend Developers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Domain modules, APIs, rules engine, integrations, batch jobs.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Frontend Developers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 portal, student portal, staff back-office, accessibility and performance.</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UI/UX Designer</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User research, prototypes, design system, usability testing (including Kiswahili content).</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QA / Test Engineers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Test strategy, automated tests, performance and regression testing, defect management.</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DevOps / Systems Engineer</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Environments, CI/CD, monitoring, backups, security hardening.</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Database &amp; Data Migration Specialist</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Schema performance, migration templates, cleansing and reconciliation.</w:t>
            </w:r>
          </w:p>
        </w:tc>
      </w:tr>
    </w:tbl>
    <w:p>
      <w:pPr>
        <w:spacing w:after="120"/>
      </w:pPr>
    </w:p>
    <w:p>
      <w:pPr>
        <w:pStyle w:val="Heading2"/>
      </w:pPr>
      <w:r>
        <w:rPr>
          <w:rFonts w:ascii="Calibri" w:cs="Calibri" w:eastAsia="Calibri" w:hAnsi="Calibri"/>
        </w:rPr>
        <w:t xml:space="preserve">4.2 Institution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Role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Responsibility</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Project Sponsor (Principal)</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Approves scope and priorities, resolves escalations, champions adoption.</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 Project Coordinator</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Day-to-day contact; mobilises staff for workshops, data and UAT.</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Process owners / super-users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One per office (admissions, registry, examinations, finance, hostel, ICT): configuration decisions, UAT, first-line support and training of colleagues.</w:t>
            </w:r>
          </w:p>
        </w:tc>
      </w:tr>
    </w:tbl>
    <w:p>
      <w:pPr>
        <w:spacing w:after="120"/>
      </w:pPr>
    </w:p>
    <w:p>
      <w:pPr>
        <w:pStyle w:val="Heading2"/>
      </w:pPr>
      <w:r>
        <w:rPr>
          <w:rFonts w:ascii="Calibri" w:cs="Calibri" w:eastAsia="Calibri" w:hAnsi="Calibri"/>
        </w:rPr>
        <w:t xml:space="preserve">4.3 Governance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068"/>
        <w:gridCol w:w="3612"/>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Body</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Members</w:t>
            </w:r>
          </w:p>
        </w:tc>
        <w:tc>
          <w:tcPr>
            <w:tcW w:type="dxa" w:w="36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Frequency and purpose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Steering Committee</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Sponsors of pilot institutions, Msingi Technologies Ltd Managing Director, Project Manager</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Monthly: progress, budget, risks, scope decisions, go-live approval.</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Project Board</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Project Manager, Technical Lead, institution coordinators</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Fortnightly: sprint outcomes, priorities, issues.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Change Control Board</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Project Manager, Business Analyst, Technical Lead, sponsor delegate</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As needed: assess and approve change requests.</w:t>
            </w:r>
          </w:p>
        </w:tc>
      </w:tr>
    </w:tbl>
    <w:p>
      <w:pPr>
        <w:spacing w:after="120"/>
      </w:pPr>
    </w:p>
    <w:p>
      <w:pPr>
        <w:pStyle w:val="Heading1"/>
      </w:pPr>
      <w:r>
        <w:rPr>
          <w:rFonts w:ascii="Calibri" w:cs="Calibri" w:eastAsia="Calibri" w:hAnsi="Calibri"/>
        </w:rPr>
        <w:t xml:space="preserve">5. Cost Estimate — Platform Development</w:t>
      </w:r>
    </w:p>
    <w:p>
      <w:pPr>
        <w:pStyle w:val="Heading2"/>
      </w:pPr>
      <w:r>
        <w:rPr>
          <w:rFonts w:ascii="Calibri" w:cs="Calibri" w:eastAsia="Calibri" w:hAnsi="Calibri"/>
        </w:rPr>
        <w:t xml:space="preserve">5.1 Labour (effort-based)</w:t>
      </w:r>
    </w:p>
    <w:p>
      <w:pPr>
        <w:spacing w:after="120" w:line="276"/>
        <w:jc w:val="both"/>
      </w:pPr>
      <w:r>
        <w:rPr>
          <w:rFonts w:ascii="Calibri" w:cs="Calibri" w:eastAsia="Calibri" w:hAnsi="Calibri"/>
        </w:rPr>
        <w:t xml:space="preserve">Effort is estimated bottom-up from the release scope. Rates are loaded monthly costs (salary, statutory contributions, equipment and overheads) typical of the Tanzanian market for experienced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902"/>
        <w:gridCol w:w="1083"/>
        <w:gridCol w:w="1083"/>
        <w:gridCol w:w="1083"/>
        <w:gridCol w:w="1265"/>
      </w:tblGrid>
      <w:tr>
        <w:trPr>
          <w:tblHeader/>
        </w:trPr>
        <w:tc>
          <w:tcPr>
            <w:tcW w:type="dxa" w:w="361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Role</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FTE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Months</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Person-months</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Rate (TZS M / PM)</w:t>
            </w:r>
          </w:p>
        </w:tc>
        <w:tc>
          <w:tcPr>
            <w:tcW w:type="dxa" w:w="126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Cost (TZS M)</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Project Manager</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11.0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11.0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5.0</w:t>
            </w:r>
          </w:p>
        </w:tc>
        <w:tc>
          <w:tcPr>
            <w:tcW w:type="dxa" w:w="1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55.00</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Business Analyst</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3.5</w:t>
            </w:r>
          </w:p>
        </w:tc>
        <w:tc>
          <w:tcPr>
            <w:tcW w:type="dxa" w:w="12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35.00</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Solution Architect / Technical Lead</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11.0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11.0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6.0</w:t>
            </w:r>
          </w:p>
        </w:tc>
        <w:tc>
          <w:tcPr>
            <w:tcW w:type="dxa" w:w="1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66.00</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Backend Developers (Java/Spring)</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30.0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3.5</w:t>
            </w:r>
          </w:p>
        </w:tc>
        <w:tc>
          <w:tcPr>
            <w:tcW w:type="dxa" w:w="12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105.00</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Frontend Developers (React)</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9.5</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19.0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3.5</w:t>
            </w:r>
          </w:p>
        </w:tc>
        <w:tc>
          <w:tcPr>
            <w:tcW w:type="dxa" w:w="1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66.50</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UI/UX Designer</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0.5</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8.0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4.0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3.0</w:t>
            </w:r>
          </w:p>
        </w:tc>
        <w:tc>
          <w:tcPr>
            <w:tcW w:type="dxa" w:w="12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12.00</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QA / Test Engineers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9.0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18.0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2.5</w:t>
            </w:r>
          </w:p>
        </w:tc>
        <w:tc>
          <w:tcPr>
            <w:tcW w:type="dxa" w:w="1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45.00</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DevOps / Systems Engineer</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0.5</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11.0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5.5</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3.5</w:t>
            </w:r>
          </w:p>
        </w:tc>
        <w:tc>
          <w:tcPr>
            <w:tcW w:type="dxa" w:w="12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19.25</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Database &amp; Data Migration Specialist</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0.5</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9.0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4.5</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3.5</w:t>
            </w:r>
          </w:p>
        </w:tc>
        <w:tc>
          <w:tcPr>
            <w:tcW w:type="dxa" w:w="1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15.75</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Hypercare team after Release 3 (3 people)</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6.0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3.5</w:t>
            </w:r>
          </w:p>
        </w:tc>
        <w:tc>
          <w:tcPr>
            <w:tcW w:type="dxa" w:w="12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21.00</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Total labour</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119.0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440.50</w:t>
            </w:r>
          </w:p>
        </w:tc>
      </w:tr>
    </w:tbl>
    <w:p>
      <w:pPr>
        <w:spacing w:after="120"/>
      </w:pPr>
    </w:p>
    <w:p>
      <w:pPr>
        <w:pStyle w:val="Heading2"/>
      </w:pPr>
      <w:r>
        <w:rPr>
          <w:rFonts w:ascii="Calibri" w:cs="Calibri" w:eastAsia="Calibri" w:hAnsi="Calibri"/>
        </w:rPr>
        <w:t xml:space="preserve">5.2 Non-labour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0"/>
        <w:gridCol w:w="1806"/>
      </w:tblGrid>
      <w:tr>
        <w:trPr>
          <w:tblHeader/>
        </w:trPr>
        <w:tc>
          <w:tcPr>
            <w:tcW w:type="dxa" w:w="722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Item</w:t>
            </w:r>
          </w:p>
        </w:tc>
        <w:tc>
          <w:tcPr>
            <w:tcW w:type="dxa" w:w="180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Cost (TZS M)</w:t>
            </w:r>
          </w:p>
        </w:tc>
      </w:tr>
      <w:tr>
        <w:trPr>
          <w:cantSplit/>
        </w:trPr>
        <w:tc>
          <w:tcPr>
            <w:tcW w:type="dxa" w:w="72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Stakeholder engagement and requirements workshops (venues, travel, pilot visits)</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12.00</w:t>
            </w:r>
          </w:p>
        </w:tc>
      </w:tr>
      <w:tr>
        <w:trPr>
          <w:cantSplit/>
        </w:trPr>
        <w:tc>
          <w:tcPr>
            <w:tcW w:type="dxa" w:w="72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Development, test and staging infrastructure and tools during build</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18.00</w:t>
            </w:r>
          </w:p>
        </w:tc>
      </w:tr>
      <w:tr>
        <w:trPr>
          <w:cantSplit/>
        </w:trPr>
        <w:tc>
          <w:tcPr>
            <w:tcW w:type="dxa" w:w="72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Independent penetration tests (one per release)</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15.00</w:t>
            </w:r>
          </w:p>
        </w:tc>
      </w:tr>
      <w:tr>
        <w:trPr>
          <w:cantSplit/>
        </w:trPr>
        <w:tc>
          <w:tcPr>
            <w:tcW w:type="dxa" w:w="72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User manuals, training materials and videos (English and Kiswahili)</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10.00</w:t>
            </w:r>
          </w:p>
        </w:tc>
      </w:tr>
      <w:tr>
        <w:trPr>
          <w:cantSplit/>
        </w:trPr>
        <w:tc>
          <w:tcPr>
            <w:tcW w:type="dxa" w:w="72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Pilot institution onboarding: data migration support and on-site training (2 pilots)</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20.00</w:t>
            </w:r>
          </w:p>
        </w:tc>
      </w:tr>
      <w:tr>
        <w:trPr>
          <w:cantSplit/>
        </w:trPr>
        <w:tc>
          <w:tcPr>
            <w:tcW w:type="dxa" w:w="72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Legal and commercial (contracts, data processing agreements), branding</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5.00</w:t>
            </w:r>
          </w:p>
        </w:tc>
      </w:tr>
      <w:tr>
        <w:trPr>
          <w:cantSplit/>
        </w:trPr>
        <w:tc>
          <w:tcPr>
            <w:tcW w:type="dxa" w:w="72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Total non-labour</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80.00</w:t>
            </w:r>
          </w:p>
        </w:tc>
      </w:tr>
    </w:tbl>
    <w:p>
      <w:pPr>
        <w:spacing w:after="120"/>
      </w:pPr>
    </w:p>
    <w:p>
      <w:pPr>
        <w:pStyle w:val="Heading2"/>
      </w:pPr>
      <w:r>
        <w:rPr>
          <w:rFonts w:ascii="Calibri" w:cs="Calibri" w:eastAsia="Calibri" w:hAnsi="Calibri"/>
        </w:rPr>
        <w:t xml:space="preserve">5.3 Budget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18"/>
        <w:gridCol w:w="2708"/>
      </w:tblGrid>
      <w:tr>
        <w:trPr>
          <w:tblHeader/>
        </w:trPr>
        <w:tc>
          <w:tcPr>
            <w:tcW w:type="dxa" w:w="631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Cost element</w:t>
            </w:r>
          </w:p>
        </w:tc>
        <w:tc>
          <w:tcPr>
            <w:tcW w:type="dxa" w:w="270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TZS million</w:t>
            </w:r>
          </w:p>
        </w:tc>
      </w:tr>
      <w:tr>
        <w:trPr>
          <w:cantSplit/>
        </w:trPr>
        <w:tc>
          <w:tcPr>
            <w:tcW w:type="dxa" w:w="63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Labour</w:t>
            </w:r>
          </w:p>
        </w:tc>
        <w:tc>
          <w:tcPr>
            <w:tcW w:type="dxa" w:w="2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440.50</w:t>
            </w:r>
          </w:p>
        </w:tc>
      </w:tr>
      <w:tr>
        <w:trPr>
          <w:cantSplit/>
        </w:trPr>
        <w:tc>
          <w:tcPr>
            <w:tcW w:type="dxa" w:w="631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Non-labour</w:t>
            </w:r>
          </w:p>
        </w:tc>
        <w:tc>
          <w:tcPr>
            <w:tcW w:type="dxa" w:w="270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80.00</w:t>
            </w:r>
          </w:p>
        </w:tc>
      </w:tr>
      <w:tr>
        <w:trPr>
          <w:cantSplit/>
        </w:trPr>
        <w:tc>
          <w:tcPr>
            <w:tcW w:type="dxa" w:w="63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Subtotal</w:t>
            </w:r>
          </w:p>
        </w:tc>
        <w:tc>
          <w:tcPr>
            <w:tcW w:type="dxa" w:w="2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520.50</w:t>
            </w:r>
          </w:p>
        </w:tc>
      </w:tr>
      <w:tr>
        <w:trPr>
          <w:cantSplit/>
        </w:trPr>
        <w:tc>
          <w:tcPr>
            <w:tcW w:type="dxa" w:w="631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Contingency (10%)</w:t>
            </w:r>
          </w:p>
        </w:tc>
        <w:tc>
          <w:tcPr>
            <w:tcW w:type="dxa" w:w="270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52.05</w:t>
            </w:r>
          </w:p>
        </w:tc>
      </w:tr>
      <w:tr>
        <w:trPr>
          <w:cantSplit/>
        </w:trPr>
        <w:tc>
          <w:tcPr>
            <w:tcW w:type="dxa" w:w="63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Total excluding VAT</w:t>
            </w:r>
          </w:p>
        </w:tc>
        <w:tc>
          <w:tcPr>
            <w:tcW w:type="dxa" w:w="2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572.55</w:t>
            </w:r>
          </w:p>
        </w:tc>
      </w:tr>
      <w:tr>
        <w:trPr>
          <w:cantSplit/>
        </w:trPr>
        <w:tc>
          <w:tcPr>
            <w:tcW w:type="dxa" w:w="631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VAT at 18% (where applicable)</w:t>
            </w:r>
          </w:p>
        </w:tc>
        <w:tc>
          <w:tcPr>
            <w:tcW w:type="dxa" w:w="270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103.06</w:t>
            </w:r>
          </w:p>
        </w:tc>
      </w:tr>
      <w:tr>
        <w:trPr>
          <w:cantSplit/>
        </w:trPr>
        <w:tc>
          <w:tcPr>
            <w:tcW w:type="dxa" w:w="63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Total including VAT</w:t>
            </w:r>
          </w:p>
        </w:tc>
        <w:tc>
          <w:tcPr>
            <w:tcW w:type="dxa" w:w="27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675.61</w:t>
            </w:r>
          </w:p>
        </w:tc>
      </w:tr>
    </w:tbl>
    <w:p>
      <w:pPr>
        <w:spacing w:after="120"/>
      </w:pPr>
    </w:p>
    <w:p>
      <w:pPr>
        <w:spacing w:after="120" w:line="276"/>
        <w:jc w:val="both"/>
      </w:pPr>
      <w:r>
        <w:rPr>
          <w:rFonts w:ascii="Calibri" w:cs="Calibri" w:eastAsia="Calibri" w:hAnsi="Calibri"/>
        </w:rPr>
        <w:t xml:space="preserve">Estimate accuracy is about −15% / +20%, giving a range of TZS 486.7 million to TZS 687.1 million excluding VAT. The estimate will be re-baselined at the end of Phase 1 (Milestone M2).</w:t>
      </w:r>
    </w:p>
    <w:p>
      <w:pPr>
        <w:pStyle w:val="Heading2"/>
      </w:pPr>
      <w:r>
        <w:rPr>
          <w:rFonts w:ascii="Calibri" w:cs="Calibri" w:eastAsia="Calibri" w:hAnsi="Calibri"/>
        </w:rPr>
        <w:t xml:space="preserve">5.4 Cost by release</w:t>
      </w:r>
    </w:p>
    <w:p>
      <w:pPr>
        <w:spacing w:after="120" w:line="276"/>
        <w:jc w:val="both"/>
      </w:pPr>
      <w:r>
        <w:rPr>
          <w:rFonts w:ascii="Calibri" w:cs="Calibri" w:eastAsia="Calibri" w:hAnsi="Calibri"/>
        </w:rPr>
        <w:t xml:space="preserve">For funding approval in stages, costs are apportioned by release in proportion to effort: Phase 0–1 and Release 1 about 45%, Release 2 about 30%, Release 3 and hypercare about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2256"/>
        <w:gridCol w:w="2257"/>
      </w:tblGrid>
      <w:tr>
        <w:trPr>
          <w:tblHeader/>
        </w:trPr>
        <w:tc>
          <w:tcPr>
            <w:tcW w:type="dxa" w:w="451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Stage</w:t>
            </w:r>
          </w:p>
        </w:tc>
        <w:tc>
          <w:tcPr>
            <w:tcW w:type="dxa" w:w="225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Share</w:t>
            </w:r>
          </w:p>
        </w:tc>
        <w:tc>
          <w:tcPr>
            <w:tcW w:type="dxa" w:w="225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TZS million (excl. VAT)</w:t>
            </w:r>
          </w:p>
        </w:tc>
      </w:tr>
      <w:tr>
        <w:trPr>
          <w:cantSplit/>
        </w:trPr>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Phase 0, Phase 1 and Release 1</w:t>
            </w:r>
          </w:p>
        </w:tc>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45%</w:t>
            </w:r>
          </w:p>
        </w:tc>
        <w:tc>
          <w:tcPr>
            <w:tcW w:type="dxa" w:w="22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257.65</w:t>
            </w:r>
          </w:p>
        </w:tc>
      </w:tr>
      <w:tr>
        <w:trPr>
          <w:cantSplit/>
        </w:trPr>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2</w:t>
            </w:r>
          </w:p>
        </w:tc>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c>
          <w:tcPr>
            <w:tcW w:type="dxa" w:w="22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171.77</w:t>
            </w:r>
          </w:p>
        </w:tc>
      </w:tr>
      <w:tr>
        <w:trPr>
          <w:cantSplit/>
        </w:trPr>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3 and hypercare</w:t>
            </w:r>
          </w:p>
        </w:tc>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25%</w:t>
            </w:r>
          </w:p>
        </w:tc>
        <w:tc>
          <w:tcPr>
            <w:tcW w:type="dxa" w:w="22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143.14</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these figures are the version 2.0 estimate, prepared before the build, and are kept unchanged here. Because the core build is complete, the remaining effort is concentrated in integration, hardening, testing, migration, hosting, pilot onboarding and hypercare (section 3.2). The budget should be re-baselined against that remaining work at the next Steering Committee; costs already incurred are not recorded in this document.</w:t>
      </w:r>
    </w:p>
    <w:p>
      <w:pPr>
        <w:pStyle w:val="Heading1"/>
      </w:pPr>
      <w:r>
        <w:rPr>
          <w:rFonts w:ascii="Calibri" w:cs="Calibri" w:eastAsia="Calibri" w:hAnsi="Calibri"/>
        </w:rPr>
        <w:t xml:space="preserve">6. Commercial Model for Institutions</w:t>
      </w:r>
    </w:p>
    <w:p>
      <w:pPr>
        <w:pStyle w:val="Heading2"/>
      </w:pPr>
      <w:r>
        <w:rPr>
          <w:rFonts w:ascii="Calibri" w:cs="Calibri" w:eastAsia="Calibri" w:hAnsi="Calibri"/>
        </w:rPr>
        <w:t xml:space="preserve">6.1 Cloud subscription (Option 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tblHeader/>
        </w:trPr>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Institution size (active students)</w:t>
            </w:r>
          </w:p>
        </w:tc>
        <w:tc>
          <w:tcPr>
            <w:tcW w:type="dxa" w:w="297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One-time onboarding fee</w:t>
            </w:r>
          </w:p>
        </w:tc>
        <w:tc>
          <w:tcPr>
            <w:tcW w:type="dxa" w:w="298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Annual subscription</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Small (up to 1,000)</w:t>
            </w:r>
          </w:p>
        </w:tc>
        <w:tc>
          <w:tcPr>
            <w:tcW w:type="dxa" w:w="29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 8 million</w:t>
            </w:r>
          </w:p>
        </w:tc>
        <w:tc>
          <w:tcPr>
            <w:tcW w:type="dxa" w:w="29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 25,000 per active student; minimum TZS 12 million</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Medium (1,001–3,000)</w:t>
            </w:r>
          </w:p>
        </w:tc>
        <w:tc>
          <w:tcPr>
            <w:tcW w:type="dxa" w:w="297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 15 million</w:t>
            </w:r>
          </w:p>
        </w:tc>
        <w:tc>
          <w:tcPr>
            <w:tcW w:type="dxa" w:w="29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 25,000 per active student</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Large (above 3,000)</w:t>
            </w:r>
          </w:p>
        </w:tc>
        <w:tc>
          <w:tcPr>
            <w:tcW w:type="dxa" w:w="29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 25 million</w:t>
            </w:r>
          </w:p>
        </w:tc>
        <w:tc>
          <w:tcPr>
            <w:tcW w:type="dxa" w:w="29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 25,000 per active student (volume discount negotiable)</w:t>
            </w:r>
          </w:p>
        </w:tc>
      </w:tr>
    </w:tbl>
    <w:p>
      <w:pPr>
        <w:spacing w:after="120"/>
      </w:pPr>
    </w:p>
    <w:p>
      <w:pPr>
        <w:spacing w:after="120" w:line="276"/>
        <w:jc w:val="both"/>
      </w:pPr>
      <w:r>
        <w:rPr>
          <w:rFonts w:ascii="Calibri" w:cs="Calibri" w:eastAsia="Calibri" w:hAnsi="Calibri"/>
          <w:b/>
          <w:bCs/>
        </w:rPr>
        <w:t xml:space="preserve">Onboarding includes:</w:t>
      </w:r>
      <w:r>
        <w:rPr>
          <w:rFonts w:ascii="Calibri" w:cs="Calibri" w:eastAsia="Calibri" w:hAnsi="Calibri"/>
        </w:rPr>
        <w:t xml:space="preserve"> branded admission and student portals on the institution's domain, configuration of programmes, entry requirements, regulations, fees and workflows, migration of current data, training of super-users and end users, and go-live support. </w:t>
      </w:r>
      <w:r>
        <w:rPr>
          <w:rFonts w:ascii="Calibri" w:cs="Calibri" w:eastAsia="Calibri" w:hAnsi="Calibri"/>
          <w:b/>
          <w:bCs/>
        </w:rPr>
        <w:t xml:space="preserve">The subscription includes:</w:t>
      </w:r>
      <w:r>
        <w:rPr>
          <w:rFonts w:ascii="Calibri" w:cs="Calibri" w:eastAsia="Calibri" w:hAnsi="Calibri"/>
        </w:rPr>
        <w:t xml:space="preserve"> hosting in Tanzania, backups and disaster recovery, security monitoring, all upgrades (including regulatory changes), and service-desk support. SMS messages are charged at cost through prepaid bundles.</w:t>
      </w:r>
    </w:p>
    <w:p>
      <w:pPr>
        <w:spacing w:after="120" w:line="276"/>
        <w:jc w:val="both"/>
      </w:pPr>
      <w:r>
        <w:rPr>
          <w:rFonts w:ascii="Calibri" w:cs="Calibri" w:eastAsia="Calibri" w:hAnsi="Calibri"/>
        </w:rPr>
        <w:t xml:space="preserve">Many institutions recover the subscription through an existing ICT or registration fee: TZS 25,000 per student per year is about TZS 2,100 per student per month.</w:t>
      </w:r>
    </w:p>
    <w:p>
      <w:pPr>
        <w:pStyle w:val="Heading2"/>
      </w:pPr>
      <w:r>
        <w:rPr>
          <w:rFonts w:ascii="Calibri" w:cs="Calibri" w:eastAsia="Calibri" w:hAnsi="Calibri"/>
        </w:rPr>
        <w:t xml:space="preserve">6.2 Dedicated installation (Option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Item</w:t>
            </w:r>
          </w:p>
        </w:tc>
        <w:tc>
          <w:tcPr>
            <w:tcW w:type="dxa" w:w="451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Indicative price</w:t>
            </w:r>
          </w:p>
        </w:tc>
      </w:tr>
      <w:tr>
        <w:trPr>
          <w:cantSplit/>
        </w:trPr>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Perpetual software licence (one institution)</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 120 million</w:t>
            </w:r>
          </w:p>
        </w:tc>
      </w:tr>
      <w:tr>
        <w:trPr>
          <w:cantSplit/>
        </w:trPr>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Implementation (configuration, migration, training, go-live)</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TZS 40–80 million depending on size and campuses</w:t>
            </w:r>
          </w:p>
        </w:tc>
      </w:tr>
      <w:tr>
        <w:trPr>
          <w:cantSplit/>
        </w:trPr>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Annual support and maintenance (upgrades, service desk)</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 of licence fee per year</w:t>
            </w:r>
          </w:p>
        </w:tc>
      </w:tr>
      <w:tr>
        <w:trPr>
          <w:cantSplit/>
        </w:trPr>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Infrastructure</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Provided by the institution (see Document 06, section 8.2)</w:t>
            </w:r>
          </w:p>
        </w:tc>
      </w:tr>
    </w:tbl>
    <w:p>
      <w:pPr>
        <w:spacing w:after="120"/>
      </w:pPr>
    </w:p>
    <w:p>
      <w:pPr>
        <w:pStyle w:val="Heading2"/>
      </w:pPr>
      <w:r>
        <w:rPr>
          <w:rFonts w:ascii="Calibri" w:cs="Calibri" w:eastAsia="Calibri" w:hAnsi="Calibri"/>
        </w:rPr>
        <w:t xml:space="preserve">6.3 Payment milestones (onboarding and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Milestone</w:t>
            </w:r>
          </w:p>
        </w:tc>
        <w:tc>
          <w:tcPr>
            <w:tcW w:type="dxa" w:w="451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Share of fee</w:t>
            </w:r>
          </w:p>
        </w:tc>
      </w:tr>
      <w:tr>
        <w:trPr>
          <w:cantSplit/>
        </w:trPr>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Contract signature</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r>
      <w:tr>
        <w:trPr>
          <w:cantSplit/>
        </w:trPr>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Go-live</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40%</w:t>
            </w:r>
          </w:p>
        </w:tc>
      </w:tr>
      <w:tr>
        <w:trPr>
          <w:cantSplit/>
        </w:trPr>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Acceptance after 30 days of live use</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r>
    </w:tbl>
    <w:p>
      <w:pPr>
        <w:spacing w:after="120"/>
      </w:pPr>
    </w:p>
    <w:p>
      <w:pPr>
        <w:pStyle w:val="Heading1"/>
      </w:pPr>
      <w:r>
        <w:rPr>
          <w:rFonts w:ascii="Calibri" w:cs="Calibri" w:eastAsia="Calibri" w:hAnsi="Calibri"/>
        </w:rPr>
        <w:t xml:space="preserve">7. Investment Case</w:t>
      </w:r>
    </w:p>
    <w:p>
      <w:pPr>
        <w:pStyle w:val="Heading2"/>
      </w:pPr>
      <w:r>
        <w:rPr>
          <w:rFonts w:ascii="Calibri" w:cs="Calibri" w:eastAsia="Calibri" w:hAnsi="Calibri"/>
        </w:rPr>
        <w:t xml:space="preserve">7.1 Platform running cost (steady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9"/>
        <w:gridCol w:w="2257"/>
      </w:tblGrid>
      <w:tr>
        <w:trPr>
          <w:tblHeader/>
        </w:trPr>
        <w:tc>
          <w:tcPr>
            <w:tcW w:type="dxa" w:w="676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Annual cost item</w:t>
            </w:r>
          </w:p>
        </w:tc>
        <w:tc>
          <w:tcPr>
            <w:tcW w:type="dxa" w:w="225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TZS million</w:t>
            </w:r>
          </w:p>
        </w:tc>
      </w:tr>
      <w:tr>
        <w:trPr>
          <w:cantSplit/>
        </w:trPr>
        <w:tc>
          <w:tcPr>
            <w:tcW w:type="dxa" w:w="67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Support, maintenance and continuous improvement team (7 FTE)</w:t>
            </w:r>
          </w:p>
        </w:tc>
        <w:tc>
          <w:tcPr>
            <w:tcW w:type="dxa" w:w="22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255.00</w:t>
            </w:r>
          </w:p>
        </w:tc>
      </w:tr>
      <w:tr>
        <w:trPr>
          <w:cantSplit/>
        </w:trPr>
        <w:tc>
          <w:tcPr>
            <w:tcW w:type="dxa" w:w="676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Production hosting in Tanzanian Tier III data centre, plus DR site</w:t>
            </w:r>
          </w:p>
        </w:tc>
        <w:tc>
          <w:tcPr>
            <w:tcW w:type="dxa" w:w="22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60.00</w:t>
            </w:r>
          </w:p>
        </w:tc>
      </w:tr>
      <w:tr>
        <w:trPr>
          <w:cantSplit/>
        </w:trPr>
        <w:tc>
          <w:tcPr>
            <w:tcW w:type="dxa" w:w="67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Software services and tools (monitoring, CI, backup storage, certificates)</w:t>
            </w:r>
          </w:p>
        </w:tc>
        <w:tc>
          <w:tcPr>
            <w:tcW w:type="dxa" w:w="22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10.00</w:t>
            </w:r>
          </w:p>
        </w:tc>
      </w:tr>
      <w:tr>
        <w:trPr>
          <w:cantSplit/>
        </w:trPr>
        <w:tc>
          <w:tcPr>
            <w:tcW w:type="dxa" w:w="676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Annual independent security assessment</w:t>
            </w:r>
          </w:p>
        </w:tc>
        <w:tc>
          <w:tcPr>
            <w:tcW w:type="dxa" w:w="22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8.00</w:t>
            </w:r>
          </w:p>
        </w:tc>
      </w:tr>
      <w:tr>
        <w:trPr>
          <w:cantSplit/>
        </w:trPr>
        <w:tc>
          <w:tcPr>
            <w:tcW w:type="dxa" w:w="67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Sales, onboarding and customer success</w:t>
            </w:r>
          </w:p>
        </w:tc>
        <w:tc>
          <w:tcPr>
            <w:tcW w:type="dxa" w:w="22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40.00</w:t>
            </w:r>
          </w:p>
        </w:tc>
      </w:tr>
      <w:tr>
        <w:trPr>
          <w:cantSplit/>
        </w:trPr>
        <w:tc>
          <w:tcPr>
            <w:tcW w:type="dxa" w:w="676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Total annual running cost (about 30 institutions)</w:t>
            </w:r>
          </w:p>
        </w:tc>
        <w:tc>
          <w:tcPr>
            <w:tcW w:type="dxa" w:w="22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373.00</w:t>
            </w:r>
          </w:p>
        </w:tc>
      </w:tr>
    </w:tbl>
    <w:p>
      <w:pPr>
        <w:spacing w:after="120"/>
      </w:pPr>
    </w:p>
    <w:p>
      <w:pPr>
        <w:pStyle w:val="Heading2"/>
      </w:pPr>
      <w:r>
        <w:rPr>
          <w:rFonts w:ascii="Calibri" w:cs="Calibri" w:eastAsia="Calibri" w:hAnsi="Calibri"/>
        </w:rPr>
        <w:t xml:space="preserve">7.2 Illustrative three-year scenario</w:t>
      </w:r>
    </w:p>
    <w:p>
      <w:pPr>
        <w:spacing w:after="120" w:line="276"/>
        <w:jc w:val="both"/>
      </w:pPr>
      <w:r>
        <w:rPr>
          <w:rFonts w:ascii="Calibri" w:cs="Calibri" w:eastAsia="Calibri" w:hAnsi="Calibri"/>
        </w:rPr>
        <w:t xml:space="preserve">Assumptions (for illustration, not a forecast): average institution of 1,200 active students; subscription TZS 25,000 per student (TZS 30.0 million per institution per year); average onboarding fee TZS 15 million; running costs grow 20% and 40% in years 2 and 3 as institutions are added. Year 0 is the development investment of TZS 572.6 million.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812"/>
        <w:gridCol w:w="1173"/>
        <w:gridCol w:w="1083"/>
        <w:gridCol w:w="1083"/>
        <w:gridCol w:w="1083"/>
        <w:gridCol w:w="1083"/>
        <w:gridCol w:w="1265"/>
      </w:tblGrid>
      <w:tr>
        <w:trPr>
          <w:tblHeader/>
        </w:trPr>
        <w:tc>
          <w:tcPr>
            <w:tcW w:type="dxa" w:w="144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Year</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Instit.</w:t>
            </w:r>
          </w:p>
        </w:tc>
        <w:tc>
          <w:tcPr>
            <w:tcW w:type="dxa" w:w="117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Subscriptions</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Onboarding</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Revenue</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Running cost</w:t>
            </w:r>
          </w:p>
        </w:tc>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Net</w:t>
            </w:r>
          </w:p>
        </w:tc>
        <w:tc>
          <w:tcPr>
            <w:tcW w:type="dxa" w:w="126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Cumulative (after investment)</w:t>
            </w:r>
          </w:p>
        </w:tc>
      </w:tr>
      <w:tr>
        <w:trPr>
          <w:cantSplit/>
        </w:trPr>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Year 1 (2027/28)</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10</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300.0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150.0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450.0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373.0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77.0</w:t>
            </w:r>
          </w:p>
        </w:tc>
        <w:tc>
          <w:tcPr>
            <w:tcW w:type="dxa" w:w="1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-495.5</w:t>
            </w:r>
          </w:p>
        </w:tc>
      </w:tr>
      <w:tr>
        <w:trPr>
          <w:cantSplit/>
        </w:trPr>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Year 2 (2028/29)</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30</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900.0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300.0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1,200.0</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447.6</w:t>
            </w:r>
          </w:p>
        </w:tc>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752.4</w:t>
            </w:r>
          </w:p>
        </w:tc>
        <w:tc>
          <w:tcPr>
            <w:tcW w:type="dxa" w:w="12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256.9</w:t>
            </w:r>
          </w:p>
        </w:tc>
      </w:tr>
      <w:tr>
        <w:trPr>
          <w:cantSplit/>
        </w:trPr>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Year 3 (2029/30)</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50</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1,500.0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300.0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1,800.0</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522.2</w:t>
            </w:r>
          </w:p>
        </w:tc>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1,277.8</w:t>
            </w:r>
          </w:p>
        </w:tc>
        <w:tc>
          <w:tcPr>
            <w:tcW w:type="dxa" w:w="1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1,534.7</w:t>
            </w:r>
          </w:p>
        </w:tc>
      </w:tr>
    </w:tbl>
    <w:p>
      <w:pPr>
        <w:spacing w:after="120"/>
      </w:pPr>
    </w:p>
    <w:p>
      <w:pPr>
        <w:spacing w:after="120" w:line="276"/>
        <w:jc w:val="both"/>
      </w:pPr>
      <w:r>
        <w:rPr>
          <w:rFonts w:ascii="Calibri" w:cs="Calibri" w:eastAsia="Calibri" w:hAnsi="Calibri"/>
        </w:rPr>
        <w:t xml:space="preserve">On these assumptions, running costs are covered once about 13 average-sized institutions subscribe, and the development investment is recovered during Year 2. The sensitivity is mainly to the number of institutions that sign up in the first two years, which is why the pilot institutions and early-adopter pricing are important.</w:t>
      </w:r>
    </w:p>
    <w:p>
      <w:pPr>
        <w:pStyle w:val="Heading2"/>
      </w:pPr>
      <w:r>
        <w:rPr>
          <w:rFonts w:ascii="Calibri" w:cs="Calibri" w:eastAsia="Calibri" w:hAnsi="Calibri"/>
        </w:rPr>
        <w:t xml:space="preserve">7.3 Value to an individual institution</w:t>
      </w:r>
    </w:p>
    <w:p>
      <w:pPr>
        <w:pStyle w:val="ListParagraph"/>
        <w:numPr>
          <w:ilvl w:val="0"/>
          <w:numId w:val="2"/>
        </w:numPr>
        <w:spacing w:after="60" w:line="264"/>
      </w:pPr>
      <w:r>
        <w:rPr>
          <w:rFonts w:ascii="Calibri" w:cs="Calibri" w:eastAsia="Calibri" w:hAnsi="Calibri"/>
        </w:rPr>
        <w:t xml:space="preserve">No capital outlay for servers, licences or a software team; predictable annual cost tied to enrolment.</w:t>
      </w:r>
    </w:p>
    <w:p>
      <w:pPr>
        <w:pStyle w:val="ListParagraph"/>
        <w:numPr>
          <w:ilvl w:val="0"/>
          <w:numId w:val="2"/>
        </w:numPr>
        <w:spacing w:after="60" w:line="264"/>
      </w:pPr>
      <w:r>
        <w:rPr>
          <w:rFonts w:ascii="Calibri" w:cs="Calibri" w:eastAsia="Calibri" w:hAnsi="Calibri"/>
        </w:rPr>
        <w:t xml:space="preserve">Revenue protection: every fee invoiced and matched through GePG, with clearance gates enforced automatically.</w:t>
      </w:r>
    </w:p>
    <w:p>
      <w:pPr>
        <w:pStyle w:val="ListParagraph"/>
        <w:numPr>
          <w:ilvl w:val="0"/>
          <w:numId w:val="2"/>
        </w:numPr>
        <w:spacing w:after="60" w:line="264"/>
      </w:pPr>
      <w:r>
        <w:rPr>
          <w:rFonts w:ascii="Calibri" w:cs="Calibri" w:eastAsia="Calibri" w:hAnsi="Calibri"/>
        </w:rPr>
        <w:t xml:space="preserve">Staff time released from re-typing, reconciling and compiling reports.</w:t>
      </w:r>
    </w:p>
    <w:p>
      <w:pPr>
        <w:pStyle w:val="ListParagraph"/>
        <w:numPr>
          <w:ilvl w:val="0"/>
          <w:numId w:val="2"/>
        </w:numPr>
        <w:spacing w:after="60" w:line="264"/>
      </w:pPr>
      <w:r>
        <w:rPr>
          <w:rFonts w:ascii="Calibri" w:cs="Calibri" w:eastAsia="Calibri" w:hAnsi="Calibri"/>
        </w:rPr>
        <w:t xml:space="preserve">Lower compliance risk with NACTVET submissions and PDPA obligations.</w:t>
      </w:r>
    </w:p>
    <w:p>
      <w:pPr>
        <w:pStyle w:val="ListParagraph"/>
        <w:numPr>
          <w:ilvl w:val="0"/>
          <w:numId w:val="2"/>
        </w:numPr>
        <w:spacing w:after="60" w:line="264"/>
      </w:pPr>
      <w:r>
        <w:rPr>
          <w:rFonts w:ascii="Calibri" w:cs="Calibri" w:eastAsia="Calibri" w:hAnsi="Calibri"/>
        </w:rPr>
        <w:t xml:space="preserve">Stronger applicant experience, which matters when applicants compare institutions.</w:t>
      </w:r>
    </w:p>
    <w:p>
      <w:pPr>
        <w:pStyle w:val="Heading1"/>
      </w:pPr>
      <w:r>
        <w:rPr>
          <w:rFonts w:ascii="Calibri" w:cs="Calibri" w:eastAsia="Calibri" w:hAnsi="Calibri"/>
        </w:rPr>
        <w:t xml:space="preserve">8. Institution-Side Budget and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5416"/>
      </w:tblGrid>
      <w:tr>
        <w:trPr>
          <w:tblHeader/>
        </w:trPr>
        <w:tc>
          <w:tcPr>
            <w:tcW w:type="dxa" w:w="361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Item</w:t>
            </w:r>
          </w:p>
        </w:tc>
        <w:tc>
          <w:tcPr>
            <w:tcW w:type="dxa" w:w="541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What the institution should plan for</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Internet connectivity</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Reliable broadband for administrative offices (typically 20 Mbps or more for a medium institution) with a backup link if possible.</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End-user devices</w:t>
            </w:r>
          </w:p>
        </w:tc>
        <w:tc>
          <w:tcPr>
            <w:tcW w:type="dxa" w:w="541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Existing office computers are sufficient; optional tablets for attendance and practical assessment.</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Staff time</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Process owners about 20% of their time during configuration and UAT; super-users available for training.</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Data preparation</w:t>
            </w:r>
          </w:p>
        </w:tc>
        <w:tc>
          <w:tcPr>
            <w:tcW w:type="dxa" w:w="541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Clean lists of programmes, current students, results needed for transcripts and outstanding balances.</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Change management</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Communication to staff and students; updates to internal procedures and fee policies where needed.</w:t>
            </w:r>
          </w:p>
        </w:tc>
      </w:tr>
      <w:tr>
        <w:trPr>
          <w:cantSplit/>
        </w:trPr>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SMS bundles</w:t>
            </w:r>
          </w:p>
        </w:tc>
        <w:tc>
          <w:tcPr>
            <w:tcW w:type="dxa" w:w="541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Prepaid at cost according to usage.</w:t>
            </w:r>
          </w:p>
        </w:tc>
      </w:tr>
      <w:tr>
        <w:trPr>
          <w:cantSplit/>
        </w:trPr>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Integration credentials</w:t>
            </w:r>
          </w:p>
        </w:tc>
        <w:tc>
          <w:tcPr>
            <w:tcW w:type="dxa" w:w="5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GePG service provider code, NACTVET institutional access, SMS sender ID registration.</w:t>
            </w:r>
          </w:p>
        </w:tc>
      </w:tr>
    </w:tbl>
    <w:p>
      <w:pPr>
        <w:spacing w:after="120"/>
      </w:pPr>
    </w:p>
    <w:p>
      <w:pPr>
        <w:pStyle w:val="Heading1"/>
      </w:pPr>
      <w:r>
        <w:rPr>
          <w:rFonts w:ascii="Calibri" w:cs="Calibri" w:eastAsia="Calibri" w:hAnsi="Calibri"/>
        </w:rPr>
        <w:t xml:space="preserve">9. Quality Assurance and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Test level</w:t>
            </w:r>
          </w:p>
        </w:tc>
        <w:tc>
          <w:tcPr>
            <w:tcW w:type="dxa" w:w="668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Approach</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Unit and integration</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Automated in CI with Testcontainers; at least 70% coverage of business logic.</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Regulation tests</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Golden datasets per award level (e.g. sample cohorts with known GPA and progression outcomes) confirmed by examinations officers.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System integration</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Against GePG, NECTA and NACTVET test environments or approved simulators.</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Performance</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k6 load tests at 2× expected peak (application deadline, results publication).</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Security</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SAST, dependency and image scanning in CI; DAST in test; independent penetration test before each release.</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User acceptance</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Scenario-based UAT by pilot super-users using acceptance criteria from Document 03.</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Migration</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Reconciliation reports (counts, balances, recomputed GPA) signed off by data owners.</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200 automated tests in 53 test classes run against a real PostgreSQL database, including tenant isolation, integration adapters, the NACTVET verification flow against the nactvet-mock test server, and regulation calculations (grading, GPA, decisions). Still to do: coverage measurement, golden datasets confirmed by examinations officers, system integration against GePG and NACTVET test environments, load tests, security scanning and the penetration test, and pilot acceptance.</w:t>
      </w:r>
    </w:p>
    <w:p>
      <w:pPr>
        <w:pStyle w:val="Heading1"/>
      </w:pPr>
      <w:r>
        <w:rPr>
          <w:rFonts w:ascii="Calibri" w:cs="Calibri" w:eastAsia="Calibri" w:hAnsi="Calibri"/>
        </w:rPr>
        <w:t xml:space="preserve">10. Training and Change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971"/>
        <w:gridCol w:w="2709"/>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Audience</w:t>
            </w:r>
          </w:p>
        </w:tc>
        <w:tc>
          <w:tcPr>
            <w:tcW w:type="dxa" w:w="397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Training</w:t>
            </w:r>
          </w:p>
        </w:tc>
        <w:tc>
          <w:tcPr>
            <w:tcW w:type="dxa" w:w="270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Format</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 administrators</w:t>
            </w:r>
          </w:p>
        </w:tc>
        <w:tc>
          <w:tcPr>
            <w:tcW w:type="dxa" w:w="397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Configuration, users and roles, workflows, templates, integrations.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 days, hands-on</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Super-users (per office)</w:t>
            </w:r>
          </w:p>
        </w:tc>
        <w:tc>
          <w:tcPr>
            <w:tcW w:type="dxa" w:w="397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Module processes in depth; first-line support; training colleagues.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2–3 days per module group</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End users (lecturers, officers)</w:t>
            </w:r>
          </w:p>
        </w:tc>
        <w:tc>
          <w:tcPr>
            <w:tcW w:type="dxa" w:w="397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Role-based tasks.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Half-day sessions; short videos</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Management</w:t>
            </w:r>
          </w:p>
        </w:tc>
        <w:tc>
          <w:tcPr>
            <w:tcW w:type="dxa" w:w="397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Dashboards and reports.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2-hour briefing</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Students and applicants</w:t>
            </w:r>
          </w:p>
        </w:tc>
        <w:tc>
          <w:tcPr>
            <w:tcW w:type="dxa" w:w="397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Portal guides and FAQs in English and Kiswahili.</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Online guides, SMS links, orientation week</w:t>
            </w:r>
          </w:p>
        </w:tc>
      </w:tr>
    </w:tbl>
    <w:p>
      <w:pPr>
        <w:spacing w:after="120"/>
      </w:pPr>
    </w:p>
    <w:p>
      <w:pPr>
        <w:pStyle w:val="Heading1"/>
      </w:pPr>
      <w:r>
        <w:rPr>
          <w:rFonts w:ascii="Calibri" w:cs="Calibri" w:eastAsia="Calibri" w:hAnsi="Calibri"/>
        </w:rPr>
        <w:t xml:space="preserve">11. Support and Service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3610"/>
        <w:gridCol w:w="1985"/>
        <w:gridCol w:w="2168"/>
      </w:tblGrid>
      <w:tr>
        <w:trPr>
          <w:tblHeader/>
        </w:trPr>
        <w:tc>
          <w:tcPr>
            <w:tcW w:type="dxa" w:w="126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Severity</w:t>
            </w:r>
          </w:p>
        </w:tc>
        <w:tc>
          <w:tcPr>
            <w:tcW w:type="dxa" w:w="361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Definition</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Response</w:t>
            </w:r>
          </w:p>
        </w:tc>
        <w:tc>
          <w:tcPr>
            <w:tcW w:type="dxa" w:w="21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Resolution / workaround target</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P1 Critical</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Service down or core function unusable for an institution (e.g. portal unavailable, payments not posting).</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30 minutes (24×7 during admission and results peaks)</w:t>
            </w:r>
          </w:p>
        </w:tc>
        <w:tc>
          <w:tcPr>
            <w:tcW w:type="dxa" w:w="21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4 hours</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P2 High</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Major function impaired with no workaround.</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 business hours</w:t>
            </w:r>
          </w:p>
        </w:tc>
        <w:tc>
          <w:tcPr>
            <w:tcW w:type="dxa" w:w="21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 business day</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P3 Medium</w:t>
            </w:r>
          </w:p>
        </w:tc>
        <w:tc>
          <w:tcPr>
            <w:tcW w:type="dxa" w:w="36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Function impaired with workaround.</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 business day</w:t>
            </w:r>
          </w:p>
        </w:tc>
        <w:tc>
          <w:tcPr>
            <w:tcW w:type="dxa" w:w="21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5 business days</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P4 Low</w:t>
            </w:r>
          </w:p>
        </w:tc>
        <w:tc>
          <w:tcPr>
            <w:tcW w:type="dxa" w:w="36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Question, cosmetic issue or enhancement request.</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 business days</w:t>
            </w:r>
          </w:p>
        </w:tc>
        <w:tc>
          <w:tcPr>
            <w:tcW w:type="dxa" w:w="21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Planned release</w:t>
            </w:r>
          </w:p>
        </w:tc>
      </w:tr>
    </w:tbl>
    <w:p>
      <w:pPr>
        <w:spacing w:after="120"/>
      </w:pPr>
    </w:p>
    <w:p>
      <w:pPr>
        <w:spacing w:after="120" w:line="276"/>
        <w:jc w:val="both"/>
      </w:pPr>
      <w:r>
        <w:rPr>
          <w:rFonts w:ascii="Calibri" w:cs="Calibri" w:eastAsia="Calibri" w:hAnsi="Calibri"/>
        </w:rPr>
        <w:t xml:space="preserve">Service desk hours: Monday–Friday 08:00–18:00 and Saturday 09:00–13:00 EAT, with extended cover during admission windows and results publication. Monthly service reports cover availability, incidents and request trends.</w:t>
      </w:r>
    </w:p>
    <w:p>
      <w:pPr>
        <w:pStyle w:val="Heading1"/>
      </w:pPr>
      <w:r>
        <w:rPr>
          <w:rFonts w:ascii="Calibri" w:cs="Calibri" w:eastAsia="Calibri" w:hAnsi="Calibri"/>
        </w:rPr>
        <w:t xml:space="preserve">12.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
        <w:gridCol w:w="2707"/>
        <w:gridCol w:w="722"/>
        <w:gridCol w:w="722"/>
        <w:gridCol w:w="4334"/>
      </w:tblGrid>
      <w:tr>
        <w:trPr>
          <w:tblHeader/>
        </w:trPr>
        <w:tc>
          <w:tcPr>
            <w:tcW w:type="dxa" w:w="54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Risk</w:t>
            </w:r>
          </w:p>
        </w:tc>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L</w:t>
            </w:r>
          </w:p>
        </w:tc>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I</w:t>
            </w:r>
          </w:p>
        </w:tc>
        <w:tc>
          <w:tcPr>
            <w:tcW w:type="dxa" w:w="43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Mitigation</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R01</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Release 1 misses the admission window</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Fixed R1 scope; early integration work; weekly burn-down tracking; contingency features deferred to R2.</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R02</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Delays in access to NACTVET, NECTA or GePG interfaces</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Requests in week 1; simulators for development; file-based fallbacks; escalation through sponsors.</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R03</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 changes requirements, templates or grading rules</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Configurable rules and versioned templates; change budget within subscription.</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R04</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Poor legacy data quality</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Migration stream from week 4; validation reports; owner sign-off.</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R05</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Low user adoption or resistance</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Pilots, super-users, practical training, Kiswahili materials, visible management sponsorship.</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R06</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Scope creep from institution-specific requests</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Configuration over customisation; change control board; product backlog.</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R07</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Key person dependency in delivery team</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Pair programming, documentation, code reviews, shared ownership of modules.</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R08</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Security breach or data leak</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Security architecture (Document 06), penetration tests, monitoring, incident response plan.</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R09</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Cross-tenant data exposure</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RLS, automated isolation tests, code review checklist.</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R10</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Peak load failures at deadlines</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Load tests at 2× peak; autoscaling; queue-based processing; deadline-week support cover.</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R11</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Unreliable institution internet</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Lightweight UI, mobile access, offline-tolerant attendance entry, connectivity guidance.</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R12</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Slower than expected institution sign-up</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Early-adopter pricing, pilot success stories, sector engagement, flexible payment terms.</w:t>
            </w:r>
          </w:p>
        </w:tc>
      </w:tr>
      <w:tr>
        <w:trPr>
          <w:cantSplit/>
        </w:trPr>
        <w:tc>
          <w:tcPr>
            <w:tcW w:type="dxa" w:w="5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R13</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Non-compliance with PDPA</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w:t>
            </w:r>
          </w:p>
        </w:tc>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Privacy by design, DPAs, retention controls, compliance review before go-live.</w:t>
            </w:r>
          </w:p>
        </w:tc>
      </w:tr>
      <w:tr>
        <w:trPr>
          <w:cantSplit/>
        </w:trPr>
        <w:tc>
          <w:tcPr>
            <w:tcW w:type="dxa" w:w="5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R14</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Budget overrun</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10% contingency; re-baseline at M2; monthly cost reporting to Steering Committee.</w:t>
            </w:r>
          </w:p>
        </w:tc>
      </w:tr>
    </w:tbl>
    <w:p>
      <w:pPr>
        <w:spacing w:after="120"/>
      </w:pPr>
    </w:p>
    <w:p>
      <w:pPr>
        <w:spacing w:after="120" w:line="276"/>
        <w:jc w:val="both"/>
      </w:pPr>
      <w:r>
        <w:rPr>
          <w:rFonts w:ascii="Calibri" w:cs="Calibri" w:eastAsia="Calibri" w:hAnsi="Calibri"/>
        </w:rPr>
        <w:t xml:space="preserve">L = likelihood, I = impact (H = high, M = medium, L = low). The register is reviewed at every Project Board meeting.</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R01 (missing the admission window) is lower because the build is done; R02 (access to NACTVET, NECTA and GePG interfaces) is now the main risk to the go-live date, mitigated by simulators, a tested live NACTVET adapter and file fallbacks; R09 (cross-tenant exposure) is mitigated by forced row-level security and isolation tests already in place; R04 (legacy data) needs the migration tools in section 3.2.</w:t>
      </w:r>
    </w:p>
    <w:p>
      <w:pPr>
        <w:pStyle w:val="Heading1"/>
      </w:pPr>
      <w:r>
        <w:rPr>
          <w:rFonts w:ascii="Calibri" w:cs="Calibri" w:eastAsia="Calibri" w:hAnsi="Calibri"/>
        </w:rPr>
        <w:t xml:space="preserve">13. Change Control</w:t>
      </w:r>
    </w:p>
    <w:p>
      <w:pPr>
        <w:pStyle w:val="ListParagraph"/>
        <w:numPr>
          <w:ilvl w:val="0"/>
          <w:numId w:val="3"/>
        </w:numPr>
        <w:spacing w:after="60" w:line="264"/>
      </w:pPr>
      <w:r>
        <w:rPr>
          <w:rFonts w:ascii="Calibri" w:cs="Calibri" w:eastAsia="Calibri" w:hAnsi="Calibri"/>
        </w:rPr>
        <w:t xml:space="preserve">Requester submits a change request describing the need and business justification.</w:t>
      </w:r>
    </w:p>
    <w:p>
      <w:pPr>
        <w:pStyle w:val="ListParagraph"/>
        <w:numPr>
          <w:ilvl w:val="0"/>
          <w:numId w:val="3"/>
        </w:numPr>
        <w:spacing w:after="60" w:line="264"/>
      </w:pPr>
      <w:r>
        <w:rPr>
          <w:rFonts w:ascii="Calibri" w:cs="Calibri" w:eastAsia="Calibri" w:hAnsi="Calibri"/>
        </w:rPr>
        <w:t xml:space="preserve">Business Analyst and Technical Lead assess impact on scope, schedule, cost and risk.</w:t>
      </w:r>
    </w:p>
    <w:p>
      <w:pPr>
        <w:pStyle w:val="ListParagraph"/>
        <w:numPr>
          <w:ilvl w:val="0"/>
          <w:numId w:val="3"/>
        </w:numPr>
        <w:spacing w:after="60" w:line="264"/>
      </w:pPr>
      <w:r>
        <w:rPr>
          <w:rFonts w:ascii="Calibri" w:cs="Calibri" w:eastAsia="Calibri" w:hAnsi="Calibri"/>
        </w:rPr>
        <w:t xml:space="preserve">Change Control Board approves, rejects or defers; approved changes are prioritised into a release.</w:t>
      </w:r>
    </w:p>
    <w:p>
      <w:pPr>
        <w:pStyle w:val="ListParagraph"/>
        <w:numPr>
          <w:ilvl w:val="0"/>
          <w:numId w:val="3"/>
        </w:numPr>
        <w:spacing w:after="60" w:line="264"/>
      </w:pPr>
      <w:r>
        <w:rPr>
          <w:rFonts w:ascii="Calibri" w:cs="Calibri" w:eastAsia="Calibri" w:hAnsi="Calibri"/>
        </w:rPr>
        <w:t xml:space="preserve">Changes affecting budget or go-live dates above agreed thresholds go to the Steering Committee.</w:t>
      </w:r>
    </w:p>
    <w:p>
      <w:pPr>
        <w:pStyle w:val="ListParagraph"/>
        <w:numPr>
          <w:ilvl w:val="0"/>
          <w:numId w:val="3"/>
        </w:numPr>
        <w:spacing w:after="60" w:line="264"/>
      </w:pPr>
      <w:r>
        <w:rPr>
          <w:rFonts w:ascii="Calibri" w:cs="Calibri" w:eastAsia="Calibri" w:hAnsi="Calibri"/>
        </w:rPr>
        <w:t xml:space="preserve">All decisions are logged and reported monthly.</w:t>
      </w:r>
    </w:p>
    <w:p>
      <w:pPr>
        <w:pStyle w:val="Heading1"/>
      </w:pPr>
      <w:r>
        <w:rPr>
          <w:rFonts w:ascii="Calibri" w:cs="Calibri" w:eastAsia="Calibri" w:hAnsi="Calibri"/>
        </w:rPr>
        <w:t xml:space="preserve">14. Next Steps</w:t>
      </w:r>
    </w:p>
    <w:p>
      <w:pPr>
        <w:pStyle w:val="ListParagraph"/>
        <w:numPr>
          <w:ilvl w:val="0"/>
          <w:numId w:val="4"/>
        </w:numPr>
        <w:spacing w:after="60" w:line="264"/>
      </w:pPr>
      <w:r>
        <w:rPr>
          <w:rFonts w:ascii="Calibri" w:cs="Calibri" w:eastAsia="Calibri" w:hAnsi="Calibri"/>
        </w:rPr>
        <w:t xml:space="preserve">Approve the version 3.0 document suite (Documents 01–07) as the as-built baseline.</w:t>
      </w:r>
    </w:p>
    <w:p>
      <w:pPr>
        <w:pStyle w:val="ListParagraph"/>
        <w:numPr>
          <w:ilvl w:val="0"/>
          <w:numId w:val="4"/>
        </w:numPr>
        <w:spacing w:after="60" w:line="264"/>
      </w:pPr>
      <w:r>
        <w:rPr>
          <w:rFonts w:ascii="Calibri" w:cs="Calibri" w:eastAsia="Calibri" w:hAnsi="Calibri"/>
        </w:rPr>
        <w:t xml:space="preserve">Confirm the two pilot institutions and their project coordinators.</w:t>
      </w:r>
    </w:p>
    <w:p>
      <w:pPr>
        <w:pStyle w:val="ListParagraph"/>
        <w:numPr>
          <w:ilvl w:val="0"/>
          <w:numId w:val="4"/>
        </w:numPr>
        <w:spacing w:after="60" w:line="264"/>
      </w:pPr>
      <w:r>
        <w:rPr>
          <w:rFonts w:ascii="Calibri" w:cs="Calibri" w:eastAsia="Calibri" w:hAnsi="Calibri"/>
        </w:rPr>
        <w:t xml:space="preserve">Re-baseline the budget against the remaining work in section 3.2 and approve it.</w:t>
      </w:r>
    </w:p>
    <w:p>
      <w:pPr>
        <w:pStyle w:val="ListParagraph"/>
        <w:numPr>
          <w:ilvl w:val="0"/>
          <w:numId w:val="4"/>
        </w:numPr>
        <w:spacing w:after="60" w:line="264"/>
      </w:pPr>
      <w:r>
        <w:rPr>
          <w:rFonts w:ascii="Calibri" w:cs="Calibri" w:eastAsia="Calibri" w:hAnsi="Calibri"/>
        </w:rPr>
        <w:t xml:space="preserve">Submit integration access requests to GePG, NACTVET, NECTA, the SMS aggregator and HESLB.</w:t>
      </w:r>
    </w:p>
    <w:p>
      <w:pPr>
        <w:pStyle w:val="ListParagraph"/>
        <w:numPr>
          <w:ilvl w:val="0"/>
          <w:numId w:val="4"/>
        </w:numPr>
        <w:spacing w:after="60" w:line="264"/>
      </w:pPr>
      <w:r>
        <w:rPr>
          <w:rFonts w:ascii="Calibri" w:cs="Calibri" w:eastAsia="Calibri" w:hAnsi="Calibri"/>
        </w:rPr>
        <w:t xml:space="preserve">Start pilot preparation (hosting, hardening, migration tools and live integrations) in November 2026.</w:t>
      </w: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 2026 Msingi Technologies Ltd  |  Confidential — For Stakeholder Review</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Msingi Technologies Ltd  |  CIMS — Document 07: Development Plan and Cost Estimate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76639c2fb95fc90b93f55f0ca503fd63567ce.png"/><Relationship Id="rId10" Type="http://schemas.openxmlformats.org/officeDocument/2006/relationships/image" Target="media/9827bea42c37b9ff4e07104f8d7590a2ca34a6f2.jpg"/><Relationship Id="rId11" Type="http://schemas.openxmlformats.org/officeDocument/2006/relationships/image" Target="media/d590314423ad42f5976bd68507f70864a777311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CIMS — Document 07: Development Plan and Cost Estimate</dc:title>
  <dc:creator>Msingi Technologies Ltd</dc:creator>
  <cp:lastModifiedBy>Un-named</cp:lastModifiedBy>
  <cp:revision>1</cp:revision>
  <dcterms:created xsi:type="dcterms:W3CDTF">2026-10-06T09:59:04.062Z</dcterms:created>
  <dcterms:modified xsi:type="dcterms:W3CDTF">2026-10-06T09:59:04.062Z</dcterms:modified>
</cp:coreProperties>
</file>

<file path=docProps/custom.xml><?xml version="1.0" encoding="utf-8"?>
<Properties xmlns="http://schemas.openxmlformats.org/officeDocument/2006/custom-properties" xmlns:vt="http://schemas.openxmlformats.org/officeDocument/2006/docPropsVTypes"/>
</file>