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06: System Architecture</w:t>
      </w:r>
    </w:p>
    <w:p>
      <w:pPr>
        <w:spacing w:after="300"/>
      </w:pPr>
      <w:r>
        <w:rPr>
          <w:rFonts w:ascii="Calibri" w:cs="Calibri" w:eastAsia="Calibri" w:hAnsi="Calibri"/>
          <w:color w:val="595959"/>
          <w:sz w:val="22"/>
          <w:szCs w:val="22"/>
        </w:rPr>
        <w:t xml:space="preserve">Architecture principles, technology stack, components, multi-tenancy, security, integrations, deployment, operations and key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06: System Architecture</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Architecture,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Architecture as built (section 12) and the delivery note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including the frontend upgrade to Vite 8 and React Router 7. The version 2.0 design stays the target.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"Architecture As Built" renumbered from 13 to 12 (there was no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Section 12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Architecture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Architecture (this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Architecture principles</w:t>
            </w:r>
            <w:r>
              <w:rPr>
                <w:rFonts w:ascii="Calibri" w:cs="Calibri" w:eastAsia="Calibri" w:hAnsi="Calibri"/>
                <w:sz w:val="20"/>
                <w:szCs w:val="20"/>
              </w:rPr>
              <w:tab/>
              <w:t>5</w:t>
            </w:r>
          </w:hyperlink>
        </w:p>
        <w:p>
          <w:pPr>
            <w:tabs>
              <w:tab w:val="right" w:leader="dot" w:pos="9020"/>
            </w:tabs>
            <w:spacing w:before="20" w:after="20"/>
            <w:ind w:left="360"/>
          </w:pPr>
          <w:hyperlink w:anchor="_TocV11_29"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System Context</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Logical Architecture</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5" w:history="1">
            <w:r>
              <w:rPr>
                <w:rFonts w:ascii="Calibri" w:cs="Calibri" w:eastAsia="Calibri" w:hAnsi="Calibri"/>
                <w:sz w:val="20"/>
                <w:szCs w:val="20"/>
              </w:rPr>
              <w:t xml:space="preserve">3.1 Presentation tier</w:t>
            </w:r>
            <w:r>
              <w:rPr>
                <w:rFonts w:ascii="Calibri" w:cs="Calibri" w:eastAsia="Calibri" w:hAnsi="Calibri"/>
                <w:sz w:val="20"/>
                <w:szCs w:val="20"/>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3.2 Application tier</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3.3 Background processing</w:t>
            </w:r>
            <w:r>
              <w:rPr>
                <w:rFonts w:ascii="Calibri" w:cs="Calibri" w:eastAsia="Calibri" w:hAnsi="Calibri"/>
                <w:sz w:val="20"/>
                <w:szCs w:val="20"/>
              </w:rPr>
              <w:tab/>
              <w:t>10</w:t>
            </w:r>
          </w:hyperlink>
        </w:p>
        <w:p>
          <w:pPr>
            <w:tabs>
              <w:tab w:val="right" w:leader="dot" w:pos="9020"/>
            </w:tabs>
            <w:spacing w:before="120" w:after="20"/>
            <w:ind w:left="0"/>
          </w:pPr>
          <w:hyperlink w:anchor="_TocV11_8" w:history="1">
            <w:r>
              <w:rPr>
                <w:rFonts w:ascii="Calibri" w:cs="Calibri" w:eastAsia="Calibri" w:hAnsi="Calibri"/>
                <w:b/>
                <w:bCs/>
                <w:color w:val="1F3864"/>
                <w:sz w:val="21"/>
                <w:szCs w:val="21"/>
              </w:rPr>
              <w:t xml:space="preserve">4. Technology Stack</w:t>
            </w:r>
            <w:r>
              <w:rPr>
                <w:rFonts w:ascii="Calibri" w:cs="Calibri" w:eastAsia="Calibri" w:hAnsi="Calibri"/>
                <w:b/>
                <w:bCs/>
                <w:color w:val="1F3864"/>
                <w:sz w:val="21"/>
                <w:szCs w:val="21"/>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Multi-Tenancy Architecture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Security Architecture</w:t>
            </w:r>
            <w:r>
              <w:rPr>
                <w:rFonts w:ascii="Calibri" w:cs="Calibri" w:eastAsia="Calibri" w:hAnsi="Calibri"/>
                <w:b/>
                <w:bCs/>
                <w:color w:val="1F3864"/>
                <w:sz w:val="21"/>
                <w:szCs w:val="21"/>
              </w:rPr>
              <w:tab/>
              <w:t>12</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6.1 Identity and access</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6.2 Data protection</w:t>
            </w:r>
            <w:r>
              <w:rPr>
                <w:rFonts w:ascii="Calibri" w:cs="Calibri" w:eastAsia="Calibri" w:hAnsi="Calibri"/>
                <w:sz w:val="20"/>
                <w:szCs w:val="20"/>
              </w:rPr>
              <w:tab/>
              <w:t>12</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6.3 Application and infrastructure security</w:t>
            </w:r>
            <w:r>
              <w:rPr>
                <w:rFonts w:ascii="Calibri" w:cs="Calibri" w:eastAsia="Calibri" w:hAnsi="Calibri"/>
                <w:sz w:val="20"/>
                <w:szCs w:val="20"/>
              </w:rPr>
              <w:tab/>
              <w:t>12</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6.4 Compliance</w:t>
            </w:r>
            <w:r>
              <w:rPr>
                <w:rFonts w:ascii="Calibri" w:cs="Calibri" w:eastAsia="Calibri" w:hAnsi="Calibri"/>
                <w:sz w:val="20"/>
                <w:szCs w:val="20"/>
              </w:rPr>
              <w:tab/>
              <w:t>13</w:t>
            </w:r>
          </w:hyperlink>
        </w:p>
        <w:p>
          <w:pPr>
            <w:tabs>
              <w:tab w:val="right" w:leader="dot" w:pos="9020"/>
            </w:tabs>
            <w:spacing w:before="120" w:after="20"/>
            <w:ind w:left="0"/>
          </w:pPr>
          <w:hyperlink w:anchor="_TocV11_15" w:history="1">
            <w:r>
              <w:rPr>
                <w:rFonts w:ascii="Calibri" w:cs="Calibri" w:eastAsia="Calibri" w:hAnsi="Calibri"/>
                <w:b/>
                <w:bCs/>
                <w:color w:val="1F3864"/>
                <w:sz w:val="21"/>
                <w:szCs w:val="21"/>
              </w:rPr>
              <w:t xml:space="preserve">7. Integration Architecture</w:t>
            </w:r>
            <w:r>
              <w:rPr>
                <w:rFonts w:ascii="Calibri" w:cs="Calibri" w:eastAsia="Calibri" w:hAnsi="Calibri"/>
                <w:b/>
                <w:bCs/>
                <w:color w:val="1F3864"/>
                <w:sz w:val="21"/>
                <w:szCs w:val="21"/>
              </w:rPr>
              <w:tab/>
              <w:t>13</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8. Deployment Architecture</w:t>
            </w:r>
            <w:r>
              <w:rPr>
                <w:rFonts w:ascii="Calibri" w:cs="Calibri" w:eastAsia="Calibri" w:hAnsi="Calibri"/>
                <w:b/>
                <w:bCs/>
                <w:color w:val="1F3864"/>
                <w:sz w:val="21"/>
                <w:szCs w:val="21"/>
              </w:rPr>
              <w:tab/>
              <w:t>14</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8.1 Cloud service (Option A)</w:t>
            </w:r>
            <w:r>
              <w:rPr>
                <w:rFonts w:ascii="Calibri" w:cs="Calibri" w:eastAsia="Calibri" w:hAnsi="Calibri"/>
                <w:sz w:val="20"/>
                <w:szCs w:val="20"/>
              </w:rPr>
              <w:tab/>
              <w:t>14</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8.2 Dedicated installation (Option B)</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8.3 Environments</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8.4 Delivery pipeline</w:t>
            </w:r>
            <w:r>
              <w:rPr>
                <w:rFonts w:ascii="Calibri" w:cs="Calibri" w:eastAsia="Calibri" w:hAnsi="Calibri"/>
                <w:sz w:val="20"/>
                <w:szCs w:val="20"/>
              </w:rPr>
              <w:tab/>
              <w:t>16</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9. Performance, Scalability and Availability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10. Operations and Support</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3" w:history="1">
            <w:r>
              <w:rPr>
                <w:rFonts w:ascii="Calibri" w:cs="Calibri" w:eastAsia="Calibri" w:hAnsi="Calibri"/>
                <w:b/>
                <w:bCs/>
                <w:color w:val="1F3864"/>
                <w:sz w:val="21"/>
                <w:szCs w:val="21"/>
              </w:rPr>
              <w:t xml:space="preserve">11. Architecture Decision Records (Summary)</w:t>
            </w:r>
            <w:r>
              <w:rPr>
                <w:rFonts w:ascii="Calibri" w:cs="Calibri" w:eastAsia="Calibri" w:hAnsi="Calibri"/>
                <w:b/>
                <w:bCs/>
                <w:color w:val="1F3864"/>
                <w:sz w:val="21"/>
                <w:szCs w:val="21"/>
              </w:rPr>
              <w:tab/>
              <w:t>17</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12. Architecture As Built (October 2026)</w:t>
            </w:r>
            <w:r>
              <w:rPr>
                <w:rFonts w:ascii="Calibri" w:cs="Calibri" w:eastAsia="Calibri" w:hAnsi="Calibri"/>
                <w:b/>
                <w:bCs/>
                <w:color w:val="1F3864"/>
                <w:sz w:val="21"/>
                <w:szCs w:val="21"/>
              </w:rPr>
              <w:tab/>
              <w:t>18</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12.1 Technology stack as built</w:t>
            </w:r>
            <w:r>
              <w:rPr>
                <w:rFonts w:ascii="Calibri" w:cs="Calibri" w:eastAsia="Calibri" w:hAnsi="Calibri"/>
                <w:sz w:val="20"/>
                <w:szCs w:val="20"/>
              </w:rPr>
              <w:tab/>
              <w:t>18</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12.2 Modules</w:t>
            </w:r>
            <w:r>
              <w:rPr>
                <w:rFonts w:ascii="Calibri" w:cs="Calibri" w:eastAsia="Calibri" w:hAnsi="Calibri"/>
                <w:sz w:val="20"/>
                <w:szCs w:val="20"/>
              </w:rPr>
              <w:tab/>
              <w:t>20</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12.3 Integration adapters</w:t>
            </w:r>
            <w:r>
              <w:rPr>
                <w:rFonts w:ascii="Calibri" w:cs="Calibri" w:eastAsia="Calibri" w:hAnsi="Calibri"/>
                <w:sz w:val="20"/>
                <w:szCs w:val="20"/>
              </w:rPr>
              <w:tab/>
              <w:t>20</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12.4 Path to the target architecture</w:t>
            </w:r>
            <w:r>
              <w:rPr>
                <w:rFonts w:ascii="Calibri" w:cs="Calibri" w:eastAsia="Calibri" w:hAnsi="Calibri"/>
                <w:sz w:val="20"/>
                <w:szCs w:val="20"/>
              </w:rPr>
              <w:tab/>
              <w:t>21</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architecture document covers and the principles that guided the design. Architecture means how the system is put together and run; it decides how secure, reliable and affordable CIMS is.</w:t>
      </w:r>
    </w:p>
    <w:p>
      <w:pPr>
        <w:spacing w:after="120" w:line="276"/>
        <w:jc w:val="both"/>
      </w:pPr>
      <w:r>
        <w:rPr>
          <w:rFonts w:ascii="Calibri" w:cs="Calibri" w:eastAsia="Calibri" w:hAnsi="Calibri"/>
        </w:rPr>
        <w:t xml:space="preserve">This document describes how CIMS is built and run. It turns the non-functional requirements in Document 03 into concrete architecture choices and records the key decisions so that institutions, auditors and future developers understand why the system is built the way it is.</w:t>
      </w:r>
    </w:p>
    <w:p>
      <w:pPr>
        <w:pStyle w:val="Heading2"/>
      </w:pPr>
      <w:bookmarkStart w:id="2" w:name="_TocV11_2"/>
      <w:r>
        <w:rPr>
          <w:rFonts w:ascii="Calibri" w:cs="Calibri" w:eastAsia="Calibri" w:hAnsi="Calibri"/>
        </w:rPr>
        <w:t xml:space="preserve">1.1 Architecture principles</w:t>
      </w:r>
      <w:bookmarkEnd w:id="2"/>
    </w:p>
    <w:p>
      <w:pPr>
        <w:spacing w:after="300"/>
      </w:pPr>
      <w:r>
        <w:rPr>
          <w:i/>
          <w:rFonts w:ascii="Calibri" w:cs="Calibri" w:eastAsia="Calibri" w:hAnsi="Calibri"/>
          <w:color w:val="595959"/>
          <w:sz w:val="22"/>
          <w:szCs w:val="22"/>
        </w:rPr>
        <w:t xml:space="preserve">The principles are the guiding choices behind every design decision, each with what it means for CIMS in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Principle</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What it means for CIMS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Modular monolith first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deployable application with strictly separated modules. Simple to run and debug for a small team, and each module can later be extracted into a service if load or team size requires it.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Multi-tenant by design</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request, query, file and message is tenant-aware; isolation is enforced at application and database level.</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 over customisation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differences (regulations, fees, workflows, templates, branding) are configuration, so all institutions run the same code and receive the same upgrades.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 by default</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Least privilege, encryption everywhere, MFA for privileged users, audited actions, OWASP ASVS Level 2.</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resilience</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External systems will be slow or unavailable at times; CIMS queues, retries and keeps working.</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standards and open source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per-user licences; standard protocols (OIDC, REST, OpenAPI) avoid vendor lock-in.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 everything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Infrastructure as code, automated tests and deployments, monitoring and alerting.</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CIMS is a modular monolith (one Spring Boot application, modules as Java packages); every request, query and message is tenant-aware with row-level security in the database; institution differences are configuration (regulations, fees, templates wording, entry rules, clearance gates, thresholds); outside systems sit behind ports with simulated and live adapters. Section 12 records where the build differs from this design.</w:t>
      </w:r>
    </w:p>
    <w:p>
      <w:pPr>
        <w:pStyle w:val="Heading2"/>
      </w:pPr>
      <w:bookmarkStart w:id="29" w:name="_TocV11_29"/>
      <w:r>
        <w:rPr>
          <w:rFonts w:ascii="Calibri" w:cs="Calibri" w:eastAsia="Calibri" w:hAnsi="Calibri"/>
        </w:rPr>
        <w:t xml:space="preserve">1.2 Abbreviations and glossary</w:t>
      </w:r>
      <w:bookmarkEnd w:id="29"/>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Dynamic application security testing: scanning the running system for weaknesses.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 restoring the service at another site after a major failure.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JWT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Web Token: the signed sign-in token CIMS issues.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NOAS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NACTE/NACTVET Online Admission System, the earlier central admission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OIDC / SSO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OpenID Connect / single sign-on: one sign-in shared by several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PWA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Progressive web app: a website that can be installed on a phone like an app.</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Segregation of duties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rule that the person who prepares or requests something cannot also approve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acceptance testing: the institution tests the system before accepting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 interface: the screens people 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System Context</w:t>
      </w:r>
      <w:bookmarkEnd w:id="3"/>
    </w:p>
    <w:p>
      <w:pPr>
        <w:spacing w:after="300"/>
      </w:pPr>
      <w:r>
        <w:rPr>
          <w:i/>
          <w:rFonts w:ascii="Calibri" w:cs="Calibri" w:eastAsia="Calibri" w:hAnsi="Calibri"/>
          <w:color w:val="595959"/>
          <w:sz w:val="22"/>
          <w:szCs w:val="22"/>
        </w:rPr>
        <w:t xml:space="preserve">The system context shows CIMS as a single box with the people who use it and the outside systems it exchanges data with. It sets the boundary of what CIMS is responsible for.</w:t>
      </w:r>
    </w:p>
    <w:p>
      <w:pPr>
        <w:spacing w:after="60" w:before="120"/>
        <w:jc w:val="center"/>
      </w:pPr>
      <w:r>
        <w:drawing>
          <wp:inline distT="0" distB="0" distL="0" distR="0">
            <wp:extent cx="57150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813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System context</w:t>
      </w:r>
    </w:p>
    <w:p>
      <w:pPr>
        <w:spacing w:after="120" w:line="276"/>
        <w:jc w:val="both"/>
      </w:pPr>
      <w:r>
        <w:rPr>
          <w:rFonts w:ascii="Calibri" w:cs="Calibri" w:eastAsia="Calibri" w:hAnsi="Calibri"/>
        </w:rPr>
        <w:t xml:space="preserve">Applicants, students, staff and management use CIMS through web browsers on phones and computers. CIMS exchanges data with NACTVET, NECTA, GePG, HESLB, NIDA, SMS and email gateways, the institution's accounting system (e.g. MUSE) and, where applicable, TAMISEMI selection data.</w:t>
      </w:r>
    </w:p>
    <w:p>
      <w:pPr>
        <w:pStyle w:val="Heading1"/>
      </w:pPr>
      <w:bookmarkStart w:id="4" w:name="_TocV11_4"/>
      <w:r>
        <w:rPr>
          <w:rFonts w:ascii="Calibri" w:cs="Calibri" w:eastAsia="Calibri" w:hAnsi="Calibri"/>
        </w:rPr>
        <w:t xml:space="preserve">3. Logical Architecture</w:t>
      </w:r>
      <w:bookmarkEnd w:id="4"/>
    </w:p>
    <w:p>
      <w:pPr>
        <w:spacing w:after="300"/>
      </w:pPr>
      <w:r>
        <w:rPr>
          <w:i/>
          <w:rFonts w:ascii="Calibri" w:cs="Calibri" w:eastAsia="Calibri" w:hAnsi="Calibri"/>
          <w:color w:val="595959"/>
          <w:sz w:val="22"/>
          <w:szCs w:val="22"/>
        </w:rPr>
        <w:t xml:space="preserve">The logical architecture opens the box: it shows the main parts of CIMS (the portals people use, the application that applies the rules, and background processing) and how they work together.</w:t>
      </w:r>
    </w:p>
    <w:p>
      <w:pPr>
        <w:spacing w:after="6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Logical architecture (containers and modules)</w:t>
      </w:r>
    </w:p>
    <w:p>
      <w:pPr>
        <w:pStyle w:val="Heading2"/>
      </w:pPr>
      <w:bookmarkStart w:id="5" w:name="_TocV11_5"/>
      <w:r>
        <w:rPr>
          <w:rFonts w:ascii="Calibri" w:cs="Calibri" w:eastAsia="Calibri" w:hAnsi="Calibri"/>
        </w:rPr>
        <w:t xml:space="preserve">3.1 Presentation tier</w:t>
      </w:r>
      <w:bookmarkEnd w:id="5"/>
    </w:p>
    <w:p>
      <w:pPr>
        <w:spacing w:after="300"/>
      </w:pPr>
      <w:r>
        <w:rPr>
          <w:i/>
          <w:rFonts w:ascii="Calibri" w:cs="Calibri" w:eastAsia="Calibri" w:hAnsi="Calibri"/>
          <w:color w:val="595959"/>
          <w:sz w:val="22"/>
          <w:szCs w:val="22"/>
        </w:rPr>
        <w:t xml:space="preserve">The presentation tier is what people see: the admission portal, the student portal and the staff back-office, all used in a web browser on a phone or computer.</w:t>
      </w:r>
    </w:p>
    <w:p>
      <w:pPr>
        <w:pStyle w:val="ListParagraph"/>
        <w:numPr>
          <w:ilvl w:val="0"/>
          <w:numId w:val="2"/>
        </w:numPr>
        <w:spacing w:after="60" w:line="264"/>
      </w:pPr>
      <w:r>
        <w:rPr>
          <w:rFonts w:ascii="Calibri" w:cs="Calibri" w:eastAsia="Calibri" w:hAnsi="Calibri"/>
          <w:b/>
          <w:bCs/>
        </w:rPr>
        <w:t xml:space="preserve">Admission Portal:</w:t>
      </w:r>
      <w:r>
        <w:rPr>
          <w:rFonts w:ascii="Calibri" w:cs="Calibri" w:eastAsia="Calibri" w:hAnsi="Calibri"/>
        </w:rPr>
        <w:t xml:space="preserve"> public, institution-branded single-page application; optimised for low bandwidth (small bundles, image compression, progressive loading).</w:t>
      </w:r>
    </w:p>
    <w:p>
      <w:pPr>
        <w:pStyle w:val="ListParagraph"/>
        <w:numPr>
          <w:ilvl w:val="0"/>
          <w:numId w:val="2"/>
        </w:numPr>
        <w:spacing w:after="60" w:line="264"/>
      </w:pPr>
      <w:r>
        <w:rPr>
          <w:rFonts w:ascii="Calibri" w:cs="Calibri" w:eastAsia="Calibri" w:hAnsi="Calibri"/>
          <w:b/>
          <w:bCs/>
        </w:rPr>
        <w:t xml:space="preserve">Student Portal:</w:t>
      </w:r>
      <w:r>
        <w:rPr>
          <w:rFonts w:ascii="Calibri" w:cs="Calibri" w:eastAsia="Calibri" w:hAnsi="Calibri"/>
        </w:rPr>
        <w:t xml:space="preserve"> installable progressive web app (PWA) for phones, with offline caching of timetable, results and receipts.</w:t>
      </w:r>
    </w:p>
    <w:p>
      <w:pPr>
        <w:pStyle w:val="ListParagraph"/>
        <w:numPr>
          <w:ilvl w:val="0"/>
          <w:numId w:val="2"/>
        </w:numPr>
        <w:spacing w:after="60" w:line="264"/>
      </w:pPr>
      <w:r>
        <w:rPr>
          <w:rFonts w:ascii="Calibri" w:cs="Calibri" w:eastAsia="Calibri" w:hAnsi="Calibri"/>
          <w:b/>
          <w:bCs/>
        </w:rPr>
        <w:t xml:space="preserve">Staff Back-Office:</w:t>
      </w:r>
      <w:r>
        <w:rPr>
          <w:rFonts w:ascii="Calibri" w:cs="Calibri" w:eastAsia="Calibri" w:hAnsi="Calibri"/>
        </w:rPr>
        <w:t xml:space="preserve"> role-based workspace with data grids, bulk actions, approvals inbox and dashboards.</w:t>
      </w:r>
    </w:p>
    <w:p>
      <w:pPr>
        <w:pStyle w:val="ListParagraph"/>
        <w:numPr>
          <w:ilvl w:val="0"/>
          <w:numId w:val="2"/>
        </w:numPr>
        <w:spacing w:after="60" w:line="264"/>
      </w:pPr>
      <w:r>
        <w:rPr>
          <w:rFonts w:ascii="Calibri" w:cs="Calibri" w:eastAsia="Calibri" w:hAnsi="Calibri"/>
          <w:b/>
          <w:bCs/>
        </w:rPr>
        <w:t xml:space="preserve">Public Verification:</w:t>
      </w:r>
      <w:r>
        <w:rPr>
          <w:rFonts w:ascii="Calibri" w:cs="Calibri" w:eastAsia="Calibri" w:hAnsi="Calibri"/>
        </w:rPr>
        <w:t xml:space="preserve"> lightweight page for QR verification of letters, transcripts and certificates.</w:t>
      </w:r>
    </w:p>
    <w:p>
      <w:pPr>
        <w:pStyle w:val="Heading2"/>
      </w:pPr>
      <w:bookmarkStart w:id="6" w:name="_TocV11_6"/>
      <w:r>
        <w:rPr>
          <w:rFonts w:ascii="Calibri" w:cs="Calibri" w:eastAsia="Calibri" w:hAnsi="Calibri"/>
        </w:rPr>
        <w:t xml:space="preserve">3.2 Application tier</w:t>
      </w:r>
      <w:bookmarkEnd w:id="6"/>
    </w:p>
    <w:p>
      <w:pPr>
        <w:spacing w:after="300"/>
      </w:pPr>
      <w:r>
        <w:rPr>
          <w:i/>
          <w:rFonts w:ascii="Calibri" w:cs="Calibri" w:eastAsia="Calibri" w:hAnsi="Calibri"/>
          <w:color w:val="595959"/>
          <w:sz w:val="22"/>
          <w:szCs w:val="22"/>
        </w:rPr>
        <w:t xml:space="preserve">The application tier is where the institution's rules are applied and data is saved. This sub-section explains how it is organised into separate modules.</w:t>
      </w:r>
    </w:p>
    <w:p>
      <w:pPr>
        <w:spacing w:after="120" w:line="276"/>
        <w:jc w:val="both"/>
      </w:pPr>
      <w:r>
        <w:rPr>
          <w:rFonts w:ascii="Calibri" w:cs="Calibri" w:eastAsia="Calibri" w:hAnsi="Calibri"/>
        </w:rPr>
        <w:t xml:space="preserve">A Spring Boot 3 application on Java 21 organised with Spring Modulith. Each module owns its schema, exposes a public API (Java interfaces and REST endpoints) and communicates with other modules through published domain events — for example, </w:t>
      </w:r>
      <w:r>
        <w:rPr>
          <w:rFonts w:ascii="Calibri" w:cs="Calibri" w:eastAsia="Calibri" w:hAnsi="Calibri"/>
          <w:i/>
          <w:iCs/>
        </w:rPr>
        <w:t xml:space="preserve">OfferAccepted</w:t>
      </w:r>
      <w:r>
        <w:rPr>
          <w:rFonts w:ascii="Calibri" w:cs="Calibri" w:eastAsia="Calibri" w:hAnsi="Calibri"/>
        </w:rPr>
        <w:t xml:space="preserve"> (Admissions) triggers student creation (Registry) and first-year invoicing (Finance). Module boundaries are verified by automated architecture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4151"/>
        <w:gridCol w:w="2709"/>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Module</w:t>
            </w:r>
          </w:p>
        </w:tc>
        <w:tc>
          <w:tcPr>
            <w:tcW w:type="dxa" w:w="415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Responsibility</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Key events published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NACTVET verification, offers.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ApplicationSubmitted, ApplicantSelected, OfferAccepted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registration, status, transfers.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StudentCreated, SemesterRegistered, StatusChanged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Structure</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Programmes, curricula, modules, calendar, regulations.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CurriculumPublished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Teaching &amp; Attendance</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Offerings, allocations, attendance.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AttendanceThresholdBreached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&amp; Examination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Marks, approvals, GPA, progression, publication.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ResultsConfirmed, ResultsPublished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&amp; Fees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Fees, invoices, GePG, payments, reconciliation, clearance.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InvoiceIssued, PaymentReceived, ClearanceChanged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Inventory, applications, allocation.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BedAllocated, AllocationReleased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logbooks, assessment.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IptResultSubmitted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&amp; Graduation</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graduands, documents, verification.</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StudentCleared, DocumentIssued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Reports &amp; Dashboards</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Report catalogue, dashboards, scheduled reports.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email, in-app; templates; delivery tracking.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MessageDelivered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Integration Hub</w:t>
            </w:r>
          </w:p>
        </w:tc>
        <w:tc>
          <w:tcPr>
            <w:tcW w:type="dxa" w:w="415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Adapters for external systems; outbox; message log.</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ExternalCallFailed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c>
          <w:tcPr>
            <w:tcW w:type="dxa" w:w="415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Tenancy, users, RBAC, workflow engine, documents, audit.</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WorkflowCompleted</w:t>
            </w:r>
          </w:p>
        </w:tc>
      </w:tr>
    </w:tbl>
    <w:p>
      <w:pPr>
        <w:spacing w:after="120"/>
      </w:pPr>
    </w:p>
    <w:p>
      <w:pPr>
        <w:pStyle w:val="Heading2"/>
      </w:pPr>
      <w:bookmarkStart w:id="7" w:name="_TocV11_7"/>
      <w:r>
        <w:rPr>
          <w:rFonts w:ascii="Calibri" w:cs="Calibri" w:eastAsia="Calibri" w:hAnsi="Calibri"/>
        </w:rPr>
        <w:t xml:space="preserve">3.3 Background processing</w:t>
      </w:r>
      <w:bookmarkEnd w:id="7"/>
    </w:p>
    <w:p>
      <w:pPr>
        <w:spacing w:after="300"/>
      </w:pPr>
      <w:r>
        <w:rPr>
          <w:i/>
          <w:rFonts w:ascii="Calibri" w:cs="Calibri" w:eastAsia="Calibri" w:hAnsi="Calibri"/>
          <w:color w:val="595959"/>
          <w:sz w:val="22"/>
          <w:szCs w:val="22"/>
        </w:rPr>
        <w:t xml:space="preserve">Some work is too long or too large to do while a user waits, such as bulk invoicing or report generation. This sub-section explains how that work runs in the background.</w:t>
      </w:r>
    </w:p>
    <w:p>
      <w:pPr>
        <w:spacing w:after="120" w:line="276"/>
        <w:jc w:val="both"/>
      </w:pPr>
      <w:r>
        <w:rPr>
          <w:rFonts w:ascii="Calibri" w:cs="Calibri" w:eastAsia="Calibri" w:hAnsi="Calibri"/>
        </w:rPr>
        <w:t xml:space="preserve">Long or bulk work runs in worker processes fed by RabbitMQ: bulk invoicing, GPA computation, report generation, bulk SMS, NACTVET file generation and integration retries. Users see job progress and receive a notification when the job completes. Scheduled jobs (reconciliation, retention, reminders) use a cluster-safe scheduler (ShedLock).</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there is no separate worker or message broker yet. Bulk work (billing runs, result computation, bulk SMS, file generation) runs in the request or in seven scheduled jobs inside the application, and SMS leave through a database outbox. This is sufficient for pilot volumes; workers and a broker are added when load requires (section 12.4).</w:t>
      </w:r>
    </w:p>
    <w:p>
      <w:pPr>
        <w:pStyle w:val="Heading1"/>
      </w:pPr>
      <w:bookmarkStart w:id="8" w:name="_TocV11_8"/>
      <w:r>
        <w:rPr>
          <w:rFonts w:ascii="Calibri" w:cs="Calibri" w:eastAsia="Calibri" w:hAnsi="Calibri"/>
        </w:rPr>
        <w:t xml:space="preserve">4. Technology Stack</w:t>
      </w:r>
      <w:bookmarkEnd w:id="8"/>
    </w:p>
    <w:p>
      <w:pPr>
        <w:spacing w:after="300"/>
      </w:pPr>
      <w:r>
        <w:rPr>
          <w:i/>
          <w:rFonts w:ascii="Calibri" w:cs="Calibri" w:eastAsia="Calibri" w:hAnsi="Calibri"/>
          <w:color w:val="595959"/>
          <w:sz w:val="22"/>
          <w:szCs w:val="22"/>
        </w:rPr>
        <w:t xml:space="preserve">This section lists the technologies chosen for each layer of CIMS and the reason for each choice, favouring proven, open-source tools with skills available in Tanzania.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3068"/>
        <w:gridCol w:w="4153"/>
      </w:tblGrid>
      <w:tr>
        <w:trPr>
          <w:tblHeader/>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Layer</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Technology</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Rationale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Frontend</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React 18, TypeScript, Vite, MUI, React Query, i18next (English/Kiswahili)</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Mature ecosystem, strong typing, PWA support, wide local skills base.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Backend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Java 21 LTS, Spring Boot 3.x, Spring Modulith, Spring Security, Spring Data JPA</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Long-term support, enterprise-grade, excellent for transactional systems; team experience on national systems.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Database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 16 with Row-Level Security, pg_trgm; Flyway migrations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Robust, open source, strong integrity and JSONB features.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Keycloak (OpenID Connect, MFA via TOTP/SMS OTP)</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Standards-based SSO, per-institution branded login, MFA and password policies out of the box.</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Caching</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Redis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 rate limiting, reference-data cache, OTP storage.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Messaging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RabbitMQ</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Reliable queues for jobs, notifications and integrations.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storage</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MinIO (S3-compatible), server-side encryption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uploads, generated PDFs; portable to any S3 store.</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Documents and reports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JasperReports (PDF), Apache POI (Excel), ZXing (QR codes)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Pixel-accurate letters, transcripts and certificates.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Rules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JSON rule documents evaluated by an internal rules engine (JSON Schema validated)</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Entry requirements and regulations configurable per institution.</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Resilience4j (retries, circuit breakers, timeouts); transactional outbox</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Stable behaviour when external systems fail.</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OpenAPI 3 (springdoc), OAuth2 client credentials for integrations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Self-documenting, standard integrations.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Containers and orchestration</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Docker; Kubernetes (k3s/RKE2) for cloud; Docker Compose for small dedicated installs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Portable, scalable, repeatable deployments.</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Ingress and TLS</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Nginx Ingress, cert-manager (automatic certificates per institution domain)</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Custom domains per tenant without manual certificate work.</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Observability</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 OpenTelemetry tracing, Alertmanager</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Metrics, logs, traces and alerts in one place.</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CI/CD and quality</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GitLab CI or GitHub Actions; SonarQube; OWASP Dependency-Check; Trivy image scanning; OWASP ZAP</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Automated build, test, scan and deploy.</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Testing</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JUnit 5, Testcontainers, Playwright (end-to-end), k6 (load)</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Realistic tests against real PostgreSQL, RabbitMQ and browsers.</w:t>
            </w:r>
          </w:p>
        </w:tc>
      </w:tr>
    </w:tbl>
    <w:p>
      <w:pPr>
        <w:spacing w:after="120"/>
      </w:pPr>
    </w:p>
    <w:p>
      <w:pPr>
        <w:pStyle w:val="Heading1"/>
      </w:pPr>
      <w:bookmarkStart w:id="9" w:name="_TocV11_9"/>
      <w:r>
        <w:rPr>
          <w:rFonts w:ascii="Calibri" w:cs="Calibri" w:eastAsia="Calibri" w:hAnsi="Calibri"/>
        </w:rPr>
        <w:t xml:space="preserve">5. Multi-Tenancy Architecture</w:t>
      </w:r>
      <w:bookmarkEnd w:id="9"/>
    </w:p>
    <w:p>
      <w:pPr>
        <w:spacing w:after="300"/>
      </w:pPr>
      <w:r>
        <w:rPr>
          <w:i/>
          <w:rFonts w:ascii="Calibri" w:cs="Calibri" w:eastAsia="Calibri" w:hAnsi="Calibri"/>
          <w:color w:val="595959"/>
          <w:sz w:val="22"/>
          <w:szCs w:val="22"/>
        </w:rPr>
        <w:t xml:space="preserve">Many institutions share one platform. This section explains how the architecture identifies each institution and keeps its data, users and settings separate from all others.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Design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 resolution</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From host name (e.g. apply.college.ac.tz, sis.college.ac.tz) mapped in tenant_domains; cross-checked with the tenant claim in the user token.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Keycloak realm per institution, giving each its own branded login page, password policy and user base; platform staff use a separate administrative realm.</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Shared schema with tenant_id and PostgreSQL Row-Level Security (Document 05, section 3).</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Files</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Object keys prefixed by tenant; bucket policies deny cross-tenant access.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Messages and jobs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Every message carries tenant_id; workers set tenant context before processing.</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Configuration</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Branding, regulations, fees, workflows, templates and integration credentials stored per tenant; secrets in a vault.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Noisy neighbours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Per-tenant rate limits and job quotas; large tenants can be given dedicated worker pools or databases.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Onboarding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Automated tenant provisioning: realm, domains, certificates, default roles and templates in under one hour.</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tenant comes from the host name (tenant_domains) or, for the single-page application, the X-Tenant header; it must match the tenant in the user's token. One token issuer serves all institutions instead of a Keycloak realm per institution. Data isolation is by forced row-level security; there is no file store to partition. Onboarding is one step in the platform console (institution, addresses, programmes from the NACTVET catalogue, first administrator).</w:t>
      </w:r>
    </w:p>
    <w:p>
      <w:pPr>
        <w:pStyle w:val="Heading1"/>
      </w:pPr>
      <w:bookmarkStart w:id="10" w:name="_TocV11_10"/>
      <w:r>
        <w:rPr>
          <w:rFonts w:ascii="Calibri" w:cs="Calibri" w:eastAsia="Calibri" w:hAnsi="Calibri"/>
        </w:rPr>
        <w:t xml:space="preserve">6. Security Architecture</w:t>
      </w:r>
      <w:bookmarkEnd w:id="10"/>
    </w:p>
    <w:p>
      <w:pPr>
        <w:spacing w:after="300"/>
      </w:pPr>
      <w:r>
        <w:rPr>
          <w:i/>
          <w:rFonts w:ascii="Calibri" w:cs="Calibri" w:eastAsia="Calibri" w:hAnsi="Calibri"/>
          <w:color w:val="595959"/>
          <w:sz w:val="22"/>
          <w:szCs w:val="22"/>
        </w:rPr>
        <w:t xml:space="preserve">Institutions entrust CIMS with personal, academic and financial records. This section describes how the system protects them, from sign-in to storage, and how it meets the law.</w:t>
      </w:r>
    </w:p>
    <w:p>
      <w:pPr>
        <w:pStyle w:val="Heading2"/>
      </w:pPr>
      <w:bookmarkStart w:id="11" w:name="_TocV11_11"/>
      <w:r>
        <w:rPr>
          <w:rFonts w:ascii="Calibri" w:cs="Calibri" w:eastAsia="Calibri" w:hAnsi="Calibri"/>
        </w:rPr>
        <w:t xml:space="preserve">6.1 Identity and access</w:t>
      </w:r>
      <w:bookmarkEnd w:id="11"/>
    </w:p>
    <w:p>
      <w:pPr>
        <w:spacing w:after="300"/>
      </w:pPr>
      <w:r>
        <w:rPr>
          <w:i/>
          <w:rFonts w:ascii="Calibri" w:cs="Calibri" w:eastAsia="Calibri" w:hAnsi="Calibri"/>
          <w:color w:val="595959"/>
          <w:sz w:val="22"/>
          <w:szCs w:val="22"/>
        </w:rPr>
        <w:t xml:space="preserve">This sub-section explains how users prove who they are and how the system decides what each person may see and do.</w:t>
      </w:r>
    </w:p>
    <w:p>
      <w:pPr>
        <w:pStyle w:val="ListParagraph"/>
        <w:numPr>
          <w:ilvl w:val="0"/>
          <w:numId w:val="2"/>
        </w:numPr>
        <w:spacing w:after="60" w:line="264"/>
      </w:pPr>
      <w:r>
        <w:rPr>
          <w:rFonts w:ascii="Calibri" w:cs="Calibri" w:eastAsia="Calibri" w:hAnsi="Calibri"/>
        </w:rPr>
        <w:t xml:space="preserve">OpenID Connect authorisation code flow with PKCE for all web clients; short-lived access tokens (5 minutes) with refresh tokens.</w:t>
      </w:r>
    </w:p>
    <w:p>
      <w:pPr>
        <w:pStyle w:val="ListParagraph"/>
        <w:numPr>
          <w:ilvl w:val="0"/>
          <w:numId w:val="2"/>
        </w:numPr>
        <w:spacing w:after="60" w:line="264"/>
      </w:pPr>
      <w:r>
        <w:rPr>
          <w:rFonts w:ascii="Calibri" w:cs="Calibri" w:eastAsia="Calibri" w:hAnsi="Calibri"/>
        </w:rPr>
        <w:t xml:space="preserve">MFA mandatory for privileged roles (administrators, examinations, finance approvers, registry); optional for others.</w:t>
      </w:r>
    </w:p>
    <w:p>
      <w:pPr>
        <w:pStyle w:val="ListParagraph"/>
        <w:numPr>
          <w:ilvl w:val="0"/>
          <w:numId w:val="2"/>
        </w:numPr>
        <w:spacing w:after="60" w:line="264"/>
      </w:pPr>
      <w:r>
        <w:rPr>
          <w:rFonts w:ascii="Calibri" w:cs="Calibri" w:eastAsia="Calibri" w:hAnsi="Calibri"/>
        </w:rPr>
        <w:t xml:space="preserve">Role-based access control with data scopes (campus, department, programme, offering, hostel) checked on every request; attribute checks for ownership (students see only their own data).</w:t>
      </w:r>
    </w:p>
    <w:p>
      <w:pPr>
        <w:pStyle w:val="ListParagraph"/>
        <w:numPr>
          <w:ilvl w:val="0"/>
          <w:numId w:val="2"/>
        </w:numPr>
        <w:spacing w:after="60" w:line="264"/>
      </w:pPr>
      <w:r>
        <w:rPr>
          <w:rFonts w:ascii="Calibri" w:cs="Calibri" w:eastAsia="Calibri" w:hAnsi="Calibri"/>
        </w:rPr>
        <w:t xml:space="preserve">Segregation of duties enforced by workflow rules (e.g. a lecturer cannot approve their own marks).</w:t>
      </w:r>
    </w:p>
    <w:p>
      <w:pPr>
        <w:pStyle w:val="ListParagraph"/>
        <w:numPr>
          <w:ilvl w:val="0"/>
          <w:numId w:val="2"/>
        </w:numPr>
        <w:spacing w:after="60" w:line="264"/>
      </w:pPr>
      <w:r>
        <w:rPr>
          <w:rFonts w:ascii="Calibri" w:cs="Calibri" w:eastAsia="Calibri" w:hAnsi="Calibri"/>
        </w:rPr>
        <w:t xml:space="preserve">Quarterly user access review report for each institution.</w:t>
      </w:r>
    </w:p>
    <w:p>
      <w:pPr>
        <w:pStyle w:val="Heading2"/>
      </w:pPr>
      <w:bookmarkStart w:id="12" w:name="_TocV11_12"/>
      <w:r>
        <w:rPr>
          <w:rFonts w:ascii="Calibri" w:cs="Calibri" w:eastAsia="Calibri" w:hAnsi="Calibri"/>
        </w:rPr>
        <w:t xml:space="preserve">6.2 Data protection</w:t>
      </w:r>
      <w:bookmarkEnd w:id="12"/>
    </w:p>
    <w:p>
      <w:pPr>
        <w:spacing w:after="300"/>
      </w:pPr>
      <w:r>
        <w:rPr>
          <w:i/>
          <w:rFonts w:ascii="Calibri" w:cs="Calibri" w:eastAsia="Calibri" w:hAnsi="Calibri"/>
          <w:color w:val="595959"/>
          <w:sz w:val="22"/>
          <w:szCs w:val="22"/>
        </w:rPr>
        <w:t xml:space="preserve">This sub-section explains how data is protected in transit and at rest, including encryption of the most sensitive fields.</w:t>
      </w:r>
    </w:p>
    <w:p>
      <w:pPr>
        <w:pStyle w:val="ListParagraph"/>
        <w:numPr>
          <w:ilvl w:val="0"/>
          <w:numId w:val="2"/>
        </w:numPr>
        <w:spacing w:after="60" w:line="264"/>
      </w:pPr>
      <w:r>
        <w:rPr>
          <w:rFonts w:ascii="Calibri" w:cs="Calibri" w:eastAsia="Calibri" w:hAnsi="Calibri"/>
        </w:rPr>
        <w:t xml:space="preserve">TLS 1.2+ externally and between internal services; HSTS on all portals.</w:t>
      </w:r>
    </w:p>
    <w:p>
      <w:pPr>
        <w:pStyle w:val="ListParagraph"/>
        <w:numPr>
          <w:ilvl w:val="0"/>
          <w:numId w:val="2"/>
        </w:numPr>
        <w:spacing w:after="60" w:line="264"/>
      </w:pPr>
      <w:r>
        <w:rPr>
          <w:rFonts w:ascii="Calibri" w:cs="Calibri" w:eastAsia="Calibri" w:hAnsi="Calibri"/>
        </w:rPr>
        <w:t xml:space="preserve">Encryption at rest for database volumes, backups and object storage; application-level encryption for restricted fields (e.g. NIN).</w:t>
      </w:r>
    </w:p>
    <w:p>
      <w:pPr>
        <w:pStyle w:val="ListParagraph"/>
        <w:numPr>
          <w:ilvl w:val="0"/>
          <w:numId w:val="2"/>
        </w:numPr>
        <w:spacing w:after="60" w:line="264"/>
      </w:pPr>
      <w:r>
        <w:rPr>
          <w:rFonts w:ascii="Calibri" w:cs="Calibri" w:eastAsia="Calibri" w:hAnsi="Calibri"/>
        </w:rPr>
        <w:t xml:space="preserve">Secrets (database passwords, GePG certificates, API keys) held in HashiCorp Vault or Kubernetes sealed secrets; never in code.</w:t>
      </w:r>
    </w:p>
    <w:p>
      <w:pPr>
        <w:pStyle w:val="ListParagraph"/>
        <w:numPr>
          <w:ilvl w:val="0"/>
          <w:numId w:val="2"/>
        </w:numPr>
        <w:spacing w:after="60" w:line="264"/>
      </w:pPr>
      <w:r>
        <w:rPr>
          <w:rFonts w:ascii="Calibri" w:cs="Calibri" w:eastAsia="Calibri" w:hAnsi="Calibri"/>
        </w:rPr>
        <w:t xml:space="preserve">Personal data masked in logs; exports of personal data audited.</w:t>
      </w:r>
    </w:p>
    <w:p>
      <w:pPr>
        <w:pStyle w:val="Heading2"/>
      </w:pPr>
      <w:bookmarkStart w:id="13" w:name="_TocV11_13"/>
      <w:r>
        <w:rPr>
          <w:rFonts w:ascii="Calibri" w:cs="Calibri" w:eastAsia="Calibri" w:hAnsi="Calibri"/>
        </w:rPr>
        <w:t xml:space="preserve">6.3 Application and infrastructure security</w:t>
      </w:r>
      <w:bookmarkEnd w:id="13"/>
    </w:p>
    <w:p>
      <w:pPr>
        <w:spacing w:after="300"/>
      </w:pPr>
      <w:r>
        <w:rPr>
          <w:i/>
          <w:rFonts w:ascii="Calibri" w:cs="Calibri" w:eastAsia="Calibri" w:hAnsi="Calibri"/>
          <w:color w:val="595959"/>
          <w:sz w:val="22"/>
          <w:szCs w:val="22"/>
        </w:rPr>
        <w:t xml:space="preserve">This sub-section explains how the software and servers are protected against attack, from secure coding practice to monitoring.</w:t>
      </w:r>
    </w:p>
    <w:p>
      <w:pPr>
        <w:pStyle w:val="ListParagraph"/>
        <w:numPr>
          <w:ilvl w:val="0"/>
          <w:numId w:val="2"/>
        </w:numPr>
        <w:spacing w:after="60" w:line="264"/>
      </w:pPr>
      <w:r>
        <w:rPr>
          <w:rFonts w:ascii="Calibri" w:cs="Calibri" w:eastAsia="Calibri" w:hAnsi="Calibri"/>
        </w:rPr>
        <w:t xml:space="preserve">Secure development lifecycle: threat modelling per module, code review, static analysis, dependency and container scanning in CI.</w:t>
      </w:r>
    </w:p>
    <w:p>
      <w:pPr>
        <w:pStyle w:val="ListParagraph"/>
        <w:numPr>
          <w:ilvl w:val="0"/>
          <w:numId w:val="2"/>
        </w:numPr>
        <w:spacing w:after="60" w:line="264"/>
      </w:pPr>
      <w:r>
        <w:rPr>
          <w:rFonts w:ascii="Calibri" w:cs="Calibri" w:eastAsia="Calibri" w:hAnsi="Calibri"/>
        </w:rPr>
        <w:t xml:space="preserve">Protection against OWASP Top 10: parameterised queries, output encoding, CSRF protection, strict content security policy, file upload scanning (ClamAV) and type checks.</w:t>
      </w:r>
    </w:p>
    <w:p>
      <w:pPr>
        <w:pStyle w:val="ListParagraph"/>
        <w:numPr>
          <w:ilvl w:val="0"/>
          <w:numId w:val="2"/>
        </w:numPr>
        <w:spacing w:after="60" w:line="264"/>
      </w:pPr>
      <w:r>
        <w:rPr>
          <w:rFonts w:ascii="Calibri" w:cs="Calibri" w:eastAsia="Calibri" w:hAnsi="Calibri"/>
        </w:rPr>
        <w:t xml:space="preserve">Rate limiting and bot protection on public endpoints (application, OTP, verification).</w:t>
      </w:r>
    </w:p>
    <w:p>
      <w:pPr>
        <w:pStyle w:val="ListParagraph"/>
        <w:numPr>
          <w:ilvl w:val="0"/>
          <w:numId w:val="2"/>
        </w:numPr>
        <w:spacing w:after="60" w:line="264"/>
      </w:pPr>
      <w:r>
        <w:rPr>
          <w:rFonts w:ascii="Calibri" w:cs="Calibri" w:eastAsia="Calibri" w:hAnsi="Calibri"/>
        </w:rPr>
        <w:t xml:space="preserve">Network segmentation: only the ingress is public; databases and queues on private networks; administrative access via VPN and bastion with MFA.</w:t>
      </w:r>
    </w:p>
    <w:p>
      <w:pPr>
        <w:pStyle w:val="ListParagraph"/>
        <w:numPr>
          <w:ilvl w:val="0"/>
          <w:numId w:val="2"/>
        </w:numPr>
        <w:spacing w:after="60" w:line="264"/>
      </w:pPr>
      <w:r>
        <w:rPr>
          <w:rFonts w:ascii="Calibri" w:cs="Calibri" w:eastAsia="Calibri" w:hAnsi="Calibri"/>
        </w:rPr>
        <w:t xml:space="preserve">Independent penetration test before each major release; vulnerability remediation SLAs (critical 72 hours, high 14 days).</w:t>
      </w:r>
    </w:p>
    <w:p>
      <w:pPr>
        <w:pStyle w:val="ListParagraph"/>
        <w:numPr>
          <w:ilvl w:val="0"/>
          <w:numId w:val="2"/>
        </w:numPr>
        <w:spacing w:after="60" w:line="264"/>
      </w:pPr>
      <w:r>
        <w:rPr>
          <w:rFonts w:ascii="Calibri" w:cs="Calibri" w:eastAsia="Calibri" w:hAnsi="Calibri"/>
        </w:rPr>
        <w:t xml:space="preserve">Security event logging and alerting (failed logins, privilege changes, unusual exports).</w:t>
      </w:r>
    </w:p>
    <w:p>
      <w:pPr>
        <w:pStyle w:val="Heading2"/>
      </w:pPr>
      <w:bookmarkStart w:id="14" w:name="_TocV11_14"/>
      <w:r>
        <w:rPr>
          <w:rFonts w:ascii="Calibri" w:cs="Calibri" w:eastAsia="Calibri" w:hAnsi="Calibri"/>
        </w:rPr>
        <w:t xml:space="preserve">6.4 Compliance</w:t>
      </w:r>
      <w:bookmarkEnd w:id="14"/>
    </w:p>
    <w:p>
      <w:pPr>
        <w:spacing w:after="300"/>
      </w:pPr>
      <w:r>
        <w:rPr>
          <w:i/>
          <w:rFonts w:ascii="Calibri" w:cs="Calibri" w:eastAsia="Calibri" w:hAnsi="Calibri"/>
          <w:color w:val="595959"/>
          <w:sz w:val="22"/>
          <w:szCs w:val="22"/>
        </w:rPr>
        <w:t xml:space="preserve">This sub-section shows how CIMS meets each legal and policy framework that applies to it, such as the Personal Data Protection Act.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Framework</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How CIMS complies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Privacy by design, consent, retention, data subject requests, processor agreements, breach response procedure, hosting in Tanzania.</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e-Government Authority standards (public institutions)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Alignment with e-GA security and system development standards; GovESB integration where mandated; hosting at the government data centre on request.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ASVS Level 2</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checklist used in design reviews and penetration tests.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finance controls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 integration per specification; immutable financial records; reconciliation and audit reports.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 (security):</w:t>
      </w:r>
      <w:r>
        <w:rPr>
          <w:rFonts w:ascii="Calibri" w:cs="Calibri" w:eastAsia="Calibri" w:hAnsi="Calibri"/>
        </w:rPr>
        <w:t xml:space="preserve"> role and scope checks on every request; segregation of duties in the software; account lock-out after 5 failed sign-ins; strong password rules; forced change of temporary passwords; sessions ended when roles change or an account is disabled; rate limits on public look-ups, OTP and verification; HSTS and a strict content security policy; personal data masked in logs and exports audited; a start-up guard that refuses a database role able to bypass row-level security. Not yet in place: MFA, secrets vault, file upload scanning (there are no uploads besides images checked by content), penetration test, network segmentation (comes with hosting).</w:t>
      </w:r>
    </w:p>
    <w:p>
      <w:pPr>
        <w:pStyle w:val="Heading1"/>
      </w:pPr>
      <w:bookmarkStart w:id="15" w:name="_TocV11_15"/>
      <w:r>
        <w:rPr>
          <w:rFonts w:ascii="Calibri" w:cs="Calibri" w:eastAsia="Calibri" w:hAnsi="Calibri"/>
        </w:rPr>
        <w:t xml:space="preserve">7. Integration Architecture</w:t>
      </w:r>
      <w:bookmarkEnd w:id="15"/>
    </w:p>
    <w:p>
      <w:pPr>
        <w:spacing w:after="300"/>
      </w:pPr>
      <w:r>
        <w:rPr>
          <w:i/>
          <w:rFonts w:ascii="Calibri" w:cs="Calibri" w:eastAsia="Calibri" w:hAnsi="Calibri"/>
          <w:color w:val="595959"/>
          <w:sz w:val="22"/>
          <w:szCs w:val="22"/>
        </w:rPr>
        <w:t xml:space="preserve">CIMS exchanges data with NACTVET, NECTA, GePG, HESLB and other systems. This section explains how those connections are built so that a failure in an outside system never loses data or blocks the institution's work.</w:t>
      </w:r>
    </w:p>
    <w:p>
      <w:pPr>
        <w:spacing w:after="120" w:line="276"/>
        <w:jc w:val="both"/>
      </w:pPr>
      <w:r>
        <w:rPr>
          <w:rFonts w:ascii="Calibri" w:cs="Calibri" w:eastAsia="Calibri" w:hAnsi="Calibri"/>
        </w:rPr>
        <w:t xml:space="preserve">All external communication goes through the Integration Hub module. Each external system has an adapter that hides protocol details from business modules. Business modules write an event to the transactional outbox in the same database transaction as the business change; a relay publishes it to RabbitMQ and the adapter calls the external system with retries and circuit breakers. Every request and response is logged with a correlation ID.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068"/>
        <w:gridCol w:w="2710"/>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System</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Mode</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 exchanged</w:t>
            </w:r>
          </w:p>
        </w:tc>
        <w:tc>
          <w:tcPr>
            <w:tcW w:type="dxa" w:w="27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Resilience / fallback</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(synchronous with timeout)</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CSEE/ACSEE results by index number.</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Cache results; background retry; manual verification path.</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where provided; otherwise generated files in NACTVET templates + outcome import</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student registration, results, graduands, AVN verification.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Pre-validation before submission; versioned templates; outcome reconciliation.</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Signed XML/JSON messages over HTTPS per GePG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Bills, control numbers, payment notifications, reconciliation.</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Idempotent notification handling; daily reconciliation catches missed callbacks.</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File/API as provided</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Beneficiary lists, disbursements, registration confirmation.</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validation and exception reports.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API via approved channel</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Identity verification (optional).</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Non-blocking; manual verification.</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 API (local aggregators)</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SMS, delivery reports.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Failover to secondary provider.</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Email</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SMTP / API</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Notifications, letters.</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Queue and retry.</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File export or API</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Summarised fee postings.</w:t>
            </w:r>
          </w:p>
        </w:tc>
        <w:tc>
          <w:tcPr>
            <w:tcW w:type="dxa" w:w="27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batches with control totals.</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GovESB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 e-GA specification</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Government-to-government exchanges where mandated.</w:t>
            </w:r>
          </w:p>
        </w:tc>
        <w:tc>
          <w:tcPr>
            <w:tcW w:type="dxa" w:w="27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Adapter isolates changes.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external system is a Java port with a simulated and a live adapter chosen by configuration; every call is recorded (operation, outcome, duration, reference only) in the integration call log shown in the platform console and to each institution's Auditor. Section 12.3 lists the adapters.</w:t>
      </w:r>
    </w:p>
    <w:p>
      <w:pPr>
        <w:pStyle w:val="Heading1"/>
      </w:pPr>
      <w:bookmarkStart w:id="16" w:name="_TocV11_16"/>
      <w:r>
        <w:rPr>
          <w:rFonts w:ascii="Calibri" w:cs="Calibri" w:eastAsia="Calibri" w:hAnsi="Calibri"/>
        </w:rPr>
        <w:t xml:space="preserve">8. Deployment Architecture</w:t>
      </w:r>
      <w:bookmarkEnd w:id="16"/>
    </w:p>
    <w:p>
      <w:pPr>
        <w:spacing w:after="300"/>
      </w:pPr>
      <w:r>
        <w:rPr>
          <w:i/>
          <w:rFonts w:ascii="Calibri" w:cs="Calibri" w:eastAsia="Calibri" w:hAnsi="Calibri"/>
          <w:color w:val="595959"/>
          <w:sz w:val="22"/>
          <w:szCs w:val="22"/>
        </w:rPr>
        <w:t xml:space="preserve">This section explains where and how CIMS runs: as a shared cloud service or installed for one institution, the environments used from development to production, and how new versions are delivered.</w:t>
      </w:r>
    </w:p>
    <w:p>
      <w:pPr>
        <w:pStyle w:val="Heading2"/>
      </w:pPr>
      <w:bookmarkStart w:id="17" w:name="_TocV11_17"/>
      <w:r>
        <w:rPr>
          <w:rFonts w:ascii="Calibri" w:cs="Calibri" w:eastAsia="Calibri" w:hAnsi="Calibri"/>
        </w:rPr>
        <w:t xml:space="preserve">8.1 Cloud service (Option A)</w:t>
      </w:r>
      <w:bookmarkEnd w:id="17"/>
    </w:p>
    <w:p>
      <w:pPr>
        <w:spacing w:after="300"/>
      </w:pPr>
      <w:r>
        <w:rPr>
          <w:i/>
          <w:rFonts w:ascii="Calibri" w:cs="Calibri" w:eastAsia="Calibri" w:hAnsi="Calibri"/>
          <w:color w:val="595959"/>
          <w:sz w:val="22"/>
          <w:szCs w:val="22"/>
        </w:rPr>
        <w:t xml:space="preserve">This sub-section describes the shared cloud service hosted in Tanzania, the default way institutions use CIMS.</w:t>
      </w:r>
    </w:p>
    <w:p>
      <w:pPr>
        <w:spacing w:after="60" w:before="120"/>
        <w:jc w:val="center"/>
      </w:pPr>
      <w:r>
        <w:drawing>
          <wp:inline distT="0" distB="0" distL="0" distR="0">
            <wp:extent cx="409575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562927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Cloud deployment topology</w:t>
      </w:r>
    </w:p>
    <w:p>
      <w:pPr>
        <w:spacing w:after="120" w:line="276"/>
        <w:jc w:val="both"/>
      </w:pPr>
      <w:r>
        <w:rPr>
          <w:rFonts w:ascii="Calibri" w:cs="Calibri" w:eastAsia="Calibri" w:hAnsi="Calibri"/>
        </w:rPr>
        <w:t xml:space="preserve">The production platform runs in a Tier III data centre in Tanzania on a Kubernetes cluster with at least three worker nodes. Application and worker pods scale horizontally; PostgreSQL runs as a primary with a synchronous replica, and a standby at a separate disaster-recovery site receives streamed changes and archived WAL.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2707"/>
        <w:gridCol w:w="3612"/>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Component (initial production)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Sizing</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Notes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Kubernetes worker nodes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 × 8 vCPU / 32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workers, Keycloak, Redis, RabbitMQ.</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PostgreSQL</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 × 8 vCPU / 32 GB RAM, 1 TB NVMe</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Primary + synchronous replica.</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Object storage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4 TB usable (MinIO, erasure coded)</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Grows with tenants.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 site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DB standby, backup storage 6 TB</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Warm standby.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Monitoring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 × 4 vCPU / 16 GB RAM</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Prometheus, Grafana, Loki.</w:t>
            </w:r>
          </w:p>
        </w:tc>
      </w:tr>
    </w:tbl>
    <w:p>
      <w:pPr>
        <w:spacing w:after="120"/>
      </w:pPr>
    </w:p>
    <w:p>
      <w:pPr>
        <w:spacing w:after="120" w:line="276"/>
        <w:jc w:val="both"/>
      </w:pPr>
      <w:r>
        <w:rPr>
          <w:rFonts w:ascii="Calibri" w:cs="Calibri" w:eastAsia="Calibri" w:hAnsi="Calibri"/>
        </w:rPr>
        <w:t xml:space="preserve">This initial footprint serves approximately 30–50 institutions; capacity is added node by node as tenants grow.</w:t>
      </w:r>
    </w:p>
    <w:p>
      <w:pPr>
        <w:pStyle w:val="Heading2"/>
      </w:pPr>
      <w:bookmarkStart w:id="18" w:name="_TocV11_18"/>
      <w:r>
        <w:rPr>
          <w:rFonts w:ascii="Calibri" w:cs="Calibri" w:eastAsia="Calibri" w:hAnsi="Calibri"/>
        </w:rPr>
        <w:t xml:space="preserve">8.2 Dedicated installation (Option B)</w:t>
      </w:r>
      <w:bookmarkEnd w:id="18"/>
    </w:p>
    <w:p>
      <w:pPr>
        <w:spacing w:after="300"/>
      </w:pPr>
      <w:r>
        <w:rPr>
          <w:i/>
          <w:rFonts w:ascii="Calibri" w:cs="Calibri" w:eastAsia="Calibri" w:hAnsi="Calibri"/>
          <w:color w:val="595959"/>
          <w:sz w:val="22"/>
          <w:szCs w:val="22"/>
        </w:rPr>
        <w:t xml:space="preserve">Some institutions may need CIMS on their own servers. This sub-section gives the minimum infrastructure for such an installation.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Profile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Minimum infrastructure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Small (up to 2,000 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VMs: application (8 vCPU / 16 GB) and database (4 vCPU / 16 GB, 500 GB SSD); Docker Compose; off-site backup.</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Large (above 2,000 students)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4–5 VMs: 2 application, 1 database primary + 1 replica, 1 monitoring/backup; or a small Kubernetes cluster.</w:t>
            </w:r>
          </w:p>
        </w:tc>
      </w:tr>
    </w:tbl>
    <w:p>
      <w:pPr>
        <w:spacing w:after="120"/>
      </w:pPr>
    </w:p>
    <w:p>
      <w:pPr>
        <w:pStyle w:val="Heading2"/>
      </w:pPr>
      <w:bookmarkStart w:id="19" w:name="_TocV11_19"/>
      <w:r>
        <w:rPr>
          <w:rFonts w:ascii="Calibri" w:cs="Calibri" w:eastAsia="Calibri" w:hAnsi="Calibri"/>
        </w:rPr>
        <w:t xml:space="preserve">8.3 Environments</w:t>
      </w:r>
      <w:bookmarkEnd w:id="19"/>
    </w:p>
    <w:p>
      <w:pPr>
        <w:spacing w:after="300"/>
      </w:pPr>
      <w:r>
        <w:rPr>
          <w:i/>
          <w:rFonts w:ascii="Calibri" w:cs="Calibri" w:eastAsia="Calibri" w:hAnsi="Calibri"/>
          <w:color w:val="595959"/>
          <w:sz w:val="22"/>
          <w:szCs w:val="22"/>
        </w:rPr>
        <w:t xml:space="preserve">Software passes through several environments before it reaches institutions. The table explains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7402"/>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Environment</w:t>
            </w:r>
          </w:p>
        </w:tc>
        <w:tc>
          <w:tcPr>
            <w:tcW w:type="dxa" w:w="74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Developer integration; ephemeral preview environments per merge request.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Test (SIT)</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integration testing with simulators for GePG, NECTA and NACTVET.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Staging / UAT</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Production-like; user acceptance testing with external test environments; migration rehearsals.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Production</w:t>
            </w:r>
          </w:p>
        </w:tc>
        <w:tc>
          <w:tcPr>
            <w:tcW w:type="dxa" w:w="74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Live service.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74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Standby at separate site; tested twice a year.</w:t>
            </w:r>
          </w:p>
        </w:tc>
      </w:tr>
    </w:tbl>
    <w:p>
      <w:pPr>
        <w:spacing w:after="120"/>
      </w:pPr>
    </w:p>
    <w:p>
      <w:pPr>
        <w:pStyle w:val="Heading2"/>
      </w:pPr>
      <w:bookmarkStart w:id="20" w:name="_TocV11_20"/>
      <w:r>
        <w:rPr>
          <w:rFonts w:ascii="Calibri" w:cs="Calibri" w:eastAsia="Calibri" w:hAnsi="Calibri"/>
        </w:rPr>
        <w:t xml:space="preserve">8.4 Delivery pipeline</w:t>
      </w:r>
      <w:bookmarkEnd w:id="20"/>
    </w:p>
    <w:p>
      <w:pPr>
        <w:spacing w:after="300"/>
      </w:pPr>
      <w:r>
        <w:rPr>
          <w:i/>
          <w:rFonts w:ascii="Calibri" w:cs="Calibri" w:eastAsia="Calibri" w:hAnsi="Calibri"/>
          <w:color w:val="595959"/>
          <w:sz w:val="22"/>
          <w:szCs w:val="22"/>
        </w:rPr>
        <w:t xml:space="preserve">The delivery pipeline is the automated sequence of checks every change passes before release. It keeps quality high and releases predictable.</w:t>
      </w:r>
    </w:p>
    <w:p>
      <w:pPr>
        <w:pStyle w:val="ListParagraph"/>
        <w:numPr>
          <w:ilvl w:val="0"/>
          <w:numId w:val="3"/>
        </w:numPr>
        <w:spacing w:after="60" w:line="264"/>
      </w:pPr>
      <w:r>
        <w:rPr>
          <w:rFonts w:ascii="Calibri" w:cs="Calibri" w:eastAsia="Calibri" w:hAnsi="Calibri"/>
        </w:rPr>
        <w:t xml:space="preserve">Commit → build, unit tests, static analysis (SonarQube), dependency scan.</w:t>
      </w:r>
    </w:p>
    <w:p>
      <w:pPr>
        <w:pStyle w:val="ListParagraph"/>
        <w:numPr>
          <w:ilvl w:val="0"/>
          <w:numId w:val="3"/>
        </w:numPr>
        <w:spacing w:after="60" w:line="264"/>
      </w:pPr>
      <w:r>
        <w:rPr>
          <w:rFonts w:ascii="Calibri" w:cs="Calibri" w:eastAsia="Calibri" w:hAnsi="Calibri"/>
        </w:rPr>
        <w:t xml:space="preserve">Integration tests with Testcontainers; architecture (module boundary) tests; tenant isolation tests.</w:t>
      </w:r>
    </w:p>
    <w:p>
      <w:pPr>
        <w:pStyle w:val="ListParagraph"/>
        <w:numPr>
          <w:ilvl w:val="0"/>
          <w:numId w:val="3"/>
        </w:numPr>
        <w:spacing w:after="60" w:line="264"/>
      </w:pPr>
      <w:r>
        <w:rPr>
          <w:rFonts w:ascii="Calibri" w:cs="Calibri" w:eastAsia="Calibri" w:hAnsi="Calibri"/>
        </w:rPr>
        <w:t xml:space="preserve">Container image build, vulnerability scan (Trivy), signing.</w:t>
      </w:r>
    </w:p>
    <w:p>
      <w:pPr>
        <w:pStyle w:val="ListParagraph"/>
        <w:numPr>
          <w:ilvl w:val="0"/>
          <w:numId w:val="3"/>
        </w:numPr>
        <w:spacing w:after="60" w:line="264"/>
      </w:pPr>
      <w:r>
        <w:rPr>
          <w:rFonts w:ascii="Calibri" w:cs="Calibri" w:eastAsia="Calibri" w:hAnsi="Calibri"/>
        </w:rPr>
        <w:t xml:space="preserve">Automatic deploy to Test; end-to-end tests (Playwright); DAST scan (OWASP ZAP).</w:t>
      </w:r>
    </w:p>
    <w:p>
      <w:pPr>
        <w:pStyle w:val="ListParagraph"/>
        <w:numPr>
          <w:ilvl w:val="0"/>
          <w:numId w:val="3"/>
        </w:numPr>
        <w:spacing w:after="60" w:line="264"/>
      </w:pPr>
      <w:r>
        <w:rPr>
          <w:rFonts w:ascii="Calibri" w:cs="Calibri" w:eastAsia="Calibri" w:hAnsi="Calibri"/>
        </w:rPr>
        <w:t xml:space="preserve">Approved promotion to Staging; performance tests (k6) before releases.</w:t>
      </w:r>
    </w:p>
    <w:p>
      <w:pPr>
        <w:pStyle w:val="ListParagraph"/>
        <w:numPr>
          <w:ilvl w:val="0"/>
          <w:numId w:val="3"/>
        </w:numPr>
        <w:spacing w:after="60" w:line="264"/>
      </w:pPr>
      <w:r>
        <w:rPr>
          <w:rFonts w:ascii="Calibri" w:cs="Calibri" w:eastAsia="Calibri" w:hAnsi="Calibri"/>
        </w:rPr>
        <w:t xml:space="preserve">Production deploy by rolling update (zero downtime); database migrations backward compatible; automatic rollback on failed health checks.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GitHub Actions runs the backend tests against PostgreSQL and the frontend type check, unit tests and build on every change, with a separate load-test workflow (k6). A production Docker Compose stack runs PostgreSQL with WAL archiving, the backend, and the frontend behind an Nginx TLS proxy, with an encrypted backup service (daily backups kept 35 days, monthly for 12 months) whose restore is tested; the backend refuses to start in production with development settings. Kubernetes, image signing and scanning, and the test and staging environments are set up with production hosting.</w:t>
      </w:r>
    </w:p>
    <w:p>
      <w:pPr>
        <w:pStyle w:val="Heading1"/>
      </w:pPr>
      <w:bookmarkStart w:id="21" w:name="_TocV11_21"/>
      <w:r>
        <w:rPr>
          <w:rFonts w:ascii="Calibri" w:cs="Calibri" w:eastAsia="Calibri" w:hAnsi="Calibri"/>
        </w:rPr>
        <w:t xml:space="preserve">9. Performance, Scalability and Availability</w:t>
      </w:r>
      <w:bookmarkEnd w:id="21"/>
    </w:p>
    <w:p>
      <w:pPr>
        <w:spacing w:after="300"/>
      </w:pPr>
      <w:r>
        <w:rPr>
          <w:i/>
          <w:rFonts w:ascii="Calibri" w:cs="Calibri" w:eastAsia="Calibri" w:hAnsi="Calibri"/>
          <w:color w:val="595959"/>
          <w:sz w:val="22"/>
          <w:szCs w:val="22"/>
        </w:rPr>
        <w:t xml:space="preserve">This section explains how CIMS stays fast during peaks such as application deadlines and results publication, how it grows with more institutions, and how it stays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Concern</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Approach</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Peak events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deadlines and results publication can multiply traffic many times. Mitigation: horizontal autoscaling, Redis caching of read-heavy data (programme catalogue, published results), CDN/static caching of portal assets, queue-based processing of submissions and notifications, and a load test at 2× expected peak before each admission window.</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Bulk processing</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Batch jobs chunked and parallelised in workers; progress tracking; no long-running HTTP requests.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Connection pooling (HikariCP/PgBouncer); read replica for reports; partitioned large tables; query performance budgets in CI.</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 availability</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 single point of failure in production: multiple application replicas across nodes, database replication with automated failover (Patroni), redundant ingress.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Disaster recovery</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15 minutes, RTO 4 hours; documented and rehearsed runbooks.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Maintenance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Rolling upgrades without downtime; announced maintenance windows outside 07:00–22:00 EAT for infrastructure work.</w:t>
            </w:r>
          </w:p>
        </w:tc>
      </w:tr>
    </w:tbl>
    <w:p>
      <w:pPr>
        <w:spacing w:after="120"/>
      </w:pPr>
    </w:p>
    <w:p>
      <w:pPr>
        <w:pStyle w:val="Heading1"/>
      </w:pPr>
      <w:bookmarkStart w:id="22" w:name="_TocV11_22"/>
      <w:r>
        <w:rPr>
          <w:rFonts w:ascii="Calibri" w:cs="Calibri" w:eastAsia="Calibri" w:hAnsi="Calibri"/>
        </w:rPr>
        <w:t xml:space="preserve">10. Operations and Support</w:t>
      </w:r>
      <w:bookmarkEnd w:id="22"/>
    </w:p>
    <w:p>
      <w:pPr>
        <w:spacing w:after="300"/>
      </w:pPr>
      <w:r>
        <w:rPr>
          <w:i/>
          <w:rFonts w:ascii="Calibri" w:cs="Calibri" w:eastAsia="Calibri" w:hAnsi="Calibri"/>
          <w:color w:val="595959"/>
          <w:sz w:val="22"/>
          <w:szCs w:val="22"/>
        </w:rPr>
        <w:t xml:space="preserve">This section describes how the running system is watched, supported and kept healthy after go-live.</w:t>
      </w:r>
    </w:p>
    <w:p>
      <w:pPr>
        <w:pStyle w:val="ListParagraph"/>
        <w:numPr>
          <w:ilvl w:val="0"/>
          <w:numId w:val="2"/>
        </w:numPr>
        <w:spacing w:after="60" w:line="264"/>
      </w:pPr>
      <w:r>
        <w:rPr>
          <w:rFonts w:ascii="Calibri" w:cs="Calibri" w:eastAsia="Calibri" w:hAnsi="Calibri"/>
          <w:b/>
          <w:bCs/>
        </w:rPr>
        <w:t xml:space="preserve">Monitoring:</w:t>
      </w:r>
      <w:r>
        <w:rPr>
          <w:rFonts w:ascii="Calibri" w:cs="Calibri" w:eastAsia="Calibri" w:hAnsi="Calibri"/>
        </w:rPr>
        <w:t xml:space="preserve"> service health, latency, error rates, queue depth, integration success rates, certificate expiry and disk usage per environment, with alerts to the on-call engineer.</w:t>
      </w:r>
    </w:p>
    <w:p>
      <w:pPr>
        <w:pStyle w:val="ListParagraph"/>
        <w:numPr>
          <w:ilvl w:val="0"/>
          <w:numId w:val="2"/>
        </w:numPr>
        <w:spacing w:after="60" w:line="264"/>
      </w:pPr>
      <w:r>
        <w:rPr>
          <w:rFonts w:ascii="Calibri" w:cs="Calibri" w:eastAsia="Calibri" w:hAnsi="Calibri"/>
          <w:b/>
          <w:bCs/>
        </w:rPr>
        <w:t xml:space="preserve">Logging and tracing:</w:t>
      </w:r>
      <w:r>
        <w:rPr>
          <w:rFonts w:ascii="Calibri" w:cs="Calibri" w:eastAsia="Calibri" w:hAnsi="Calibri"/>
        </w:rPr>
        <w:t xml:space="preserve"> structured JSON logs with tenant and correlation IDs; distributed tracing across modules and integrations.</w:t>
      </w:r>
    </w:p>
    <w:p>
      <w:pPr>
        <w:pStyle w:val="ListParagraph"/>
        <w:numPr>
          <w:ilvl w:val="0"/>
          <w:numId w:val="2"/>
        </w:numPr>
        <w:spacing w:after="60" w:line="264"/>
      </w:pPr>
      <w:r>
        <w:rPr>
          <w:rFonts w:ascii="Calibri" w:cs="Calibri" w:eastAsia="Calibri" w:hAnsi="Calibri"/>
          <w:b/>
          <w:bCs/>
        </w:rPr>
        <w:t xml:space="preserve">Status page:</w:t>
      </w:r>
      <w:r>
        <w:rPr>
          <w:rFonts w:ascii="Calibri" w:cs="Calibri" w:eastAsia="Calibri" w:hAnsi="Calibri"/>
        </w:rPr>
        <w:t xml:space="preserve"> public service status and incident communication for institutions.</w:t>
      </w:r>
    </w:p>
    <w:p>
      <w:pPr>
        <w:pStyle w:val="ListParagraph"/>
        <w:numPr>
          <w:ilvl w:val="0"/>
          <w:numId w:val="2"/>
        </w:numPr>
        <w:spacing w:after="60" w:line="264"/>
      </w:pPr>
      <w:r>
        <w:rPr>
          <w:rFonts w:ascii="Calibri" w:cs="Calibri" w:eastAsia="Calibri" w:hAnsi="Calibri"/>
          <w:b/>
          <w:bCs/>
        </w:rPr>
        <w:t xml:space="preserve">Support model:</w:t>
      </w:r>
      <w:r>
        <w:rPr>
          <w:rFonts w:ascii="Calibri" w:cs="Calibri" w:eastAsia="Calibri" w:hAnsi="Calibri"/>
        </w:rPr>
        <w:t xml:space="preserve"> tiered support (institution super-users → Msingi Technologies service desk → Msingi engineering team) with severity-based response targets defined in Document 07.</w:t>
      </w:r>
    </w:p>
    <w:p>
      <w:pPr>
        <w:pStyle w:val="ListParagraph"/>
        <w:numPr>
          <w:ilvl w:val="0"/>
          <w:numId w:val="2"/>
        </w:numPr>
        <w:spacing w:after="60" w:line="264"/>
      </w:pPr>
      <w:r>
        <w:rPr>
          <w:rFonts w:ascii="Calibri" w:cs="Calibri" w:eastAsia="Calibri" w:hAnsi="Calibri"/>
          <w:b/>
          <w:bCs/>
        </w:rPr>
        <w:t xml:space="preserve">Capacity management:</w:t>
      </w:r>
      <w:r>
        <w:rPr>
          <w:rFonts w:ascii="Calibri" w:cs="Calibri" w:eastAsia="Calibri" w:hAnsi="Calibri"/>
        </w:rPr>
        <w:t xml:space="preserve"> monthly review of usage trends ahead of admission and examination peaks.</w:t>
      </w:r>
    </w:p>
    <w:p>
      <w:pPr>
        <w:pStyle w:val="Heading1"/>
      </w:pPr>
      <w:bookmarkStart w:id="23" w:name="_TocV11_23"/>
      <w:r>
        <w:rPr>
          <w:rFonts w:ascii="Calibri" w:cs="Calibri" w:eastAsia="Calibri" w:hAnsi="Calibri"/>
        </w:rPr>
        <w:t xml:space="preserve">11. Architecture Decision Records (Summary)</w:t>
      </w:r>
      <w:bookmarkEnd w:id="23"/>
    </w:p>
    <w:p>
      <w:pPr>
        <w:spacing w:after="300"/>
      </w:pPr>
      <w:r>
        <w:rPr>
          <w:i/>
          <w:rFonts w:ascii="Calibri" w:cs="Calibri" w:eastAsia="Calibri" w:hAnsi="Calibri"/>
          <w:color w:val="595959"/>
          <w:sz w:val="22"/>
          <w:szCs w:val="22"/>
        </w:rPr>
        <w:t xml:space="preserve">An architecture decision record captures an important design choice, the alternatives considered and why the choice was made. This summary lets future teams understand and revisit those decisions.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12"/>
        <w:gridCol w:w="2707"/>
        <w:gridCol w:w="2707"/>
        <w:gridCol w:w="2800"/>
      </w:tblGrid>
      <w:tr>
        <w:trPr>
          <w:tblHeader/>
        </w:trPr>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ADR</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Decision</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Alternatives considered</w:t>
            </w:r>
          </w:p>
        </w:tc>
        <w:tc>
          <w:tcPr>
            <w:tcW w:type="dxa" w:w="280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Reason</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01</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Modular monolith (Spring Modulith)</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Microservices from day one</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Lower operational complexity and cost for the expected scale; clean boundaries keep the option to split later.</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02</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schema multi-tenancy with RLS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Schema-per-tenant; database-per-tenant</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Lowest cost and simplest upgrades for many small tenants; RLS gives strong isolation; database-per-tenant still possible for large clients.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03</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 Spring Boot 3 backend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Laravel (PHP), Node.js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Strong typing and transaction management for financial and examination data; team experience on national systems.</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04</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 TypeScript frontend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Angular</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Single framework across portals; PWA support; team alignment.</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05</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for identity</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Custom JWT authentication</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Standards-based MFA, SSO and password policies without custom security code.</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06</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rules (JSON) for entry requirements and regulations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Hard-coded rules</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differ by institution and change over time; configuration avoids code releases.</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07</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integrations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Direct synchronous calls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Guarantees no lost or duplicate external messages when systems fail.</w:t>
            </w:r>
          </w:p>
        </w:tc>
      </w:tr>
      <w:tr>
        <w:trPr>
          <w:cantSplit/>
        </w:trPr>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08</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File-based fallback for NACTVET interfaces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API-only</w:t>
            </w:r>
          </w:p>
        </w:tc>
        <w:tc>
          <w:tcPr>
            <w:tcW w:type="dxa" w:w="280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every regulator interface offers an API; the business process stays the same when an API becomes available.</w:t>
            </w:r>
          </w:p>
        </w:tc>
      </w:tr>
      <w:tr>
        <w:trPr>
          <w:cantSplit/>
        </w:trPr>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09</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Hosting in Tanzania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International cloud regions</w:t>
            </w:r>
          </w:p>
        </w:tc>
        <w:tc>
          <w:tcPr>
            <w:tcW w:type="dxa" w:w="280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residency expectations for public data, PDPA compliance and latency.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ADRs 01–04, 06, 08 and 09 hold as decided. ADR-05 is deferred: the build uses its own token issuer (custom JWT authentication, with two-step sign-in) behind a standard OAuth2 resource server, so Keycloak can be introduced without changing the modules. ADR-07 is applied to SMS and email (outboxes); calls to NECTA, NACTVET, GePG, HESLB, NIDA, MUSE and TAMISEMI are made directly with timeouts and logged, and GePG callbacks are idempotent.</w:t>
      </w:r>
    </w:p>
    <w:p>
      <w:pPr>
        <w:pStyle w:val="Heading1"/>
      </w:pPr>
      <w:bookmarkStart w:id="24" w:name="_TocV11_24"/>
      <w:r>
        <w:rPr>
          <w:rFonts w:ascii="Calibri" w:cs="Calibri" w:eastAsia="Calibri" w:hAnsi="Calibri"/>
        </w:rPr>
        <w:t xml:space="preserve">12. Architecture As Built (October 2026)</w:t>
      </w:r>
      <w:bookmarkEnd w:id="24"/>
    </w:p>
    <w:p>
      <w:pPr>
        <w:spacing w:after="300"/>
      </w:pPr>
      <w:r>
        <w:rPr>
          <w:i/>
          <w:rFonts w:ascii="Calibri" w:cs="Calibri" w:eastAsia="Calibri" w:hAnsi="Calibri"/>
          <w:color w:val="595959"/>
          <w:sz w:val="22"/>
          <w:szCs w:val="22"/>
        </w:rPr>
        <w:t xml:space="preserve">This section describes the architecture as actually built by October 2026 and where it deliberately differs from the target design above, so that stakeholders can see both the present state and the way forward.</w:t>
      </w:r>
    </w:p>
    <w:p>
      <w:pPr>
        <w:spacing w:after="120" w:line="276"/>
        <w:jc w:val="both"/>
      </w:pPr>
      <w:r>
        <w:rPr>
          <w:rFonts w:ascii="Calibri" w:cs="Calibri" w:eastAsia="Calibri" w:hAnsi="Calibri"/>
        </w:rPr>
        <w:t xml:space="preserve">This section records the architecture of the development build for version 3.1. The design above remains the target; the differences are deliberate simplifications for the build and pilot phase, each with a path to the target.</w:t>
      </w:r>
    </w:p>
    <w:p>
      <w:pPr>
        <w:pStyle w:val="Heading2"/>
      </w:pPr>
      <w:bookmarkStart w:id="25" w:name="_TocV11_25"/>
      <w:r>
        <w:rPr>
          <w:rFonts w:ascii="Calibri" w:cs="Calibri" w:eastAsia="Calibri" w:hAnsi="Calibri"/>
        </w:rPr>
        <w:t xml:space="preserve">12.1 Technology stack as built</w:t>
      </w:r>
      <w:bookmarkEnd w:id="25"/>
    </w:p>
    <w:p>
      <w:pPr>
        <w:spacing w:after="300"/>
      </w:pPr>
      <w:r>
        <w:rPr>
          <w:i/>
          <w:rFonts w:ascii="Calibri" w:cs="Calibri" w:eastAsia="Calibri" w:hAnsi="Calibri"/>
          <w:color w:val="595959"/>
          <w:sz w:val="22"/>
          <w:szCs w:val="22"/>
        </w:rPr>
        <w:t xml:space="preserve">The table compares the technologies planned in section 4 with those used in the built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2437"/>
        <w:gridCol w:w="5236"/>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Layer</w:t>
            </w:r>
          </w:p>
        </w:tc>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Planned (section 4)</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Frontend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 TypeScript, Vite, MUI, React Query, i18next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React 18.3, TypeScript 5, Vite 8, MUI 6, TanStack Query 5, React Router 7, i18next. The admission and student portals use i18next; the staff back-office is translated as it renders by a JSX runtime of its own with a dictionary of about 4,000 entries, so every screen is in English and Kiswahili. One application serves the admission portal, student portal, staff back-office, platform console and verification page; served by Nginx. Installable, with a service worker that keeps the app shell (never personal data) available offline. Each part (admission portal, student portal, back-office, platform console) is a separate bundle fetched when first opened, and the Kiswahili dictionary only when Kiswahili is chosen, so the admission portal starts with about 200 kB compressed.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Backend</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 Spring Modulith, Spring Security, Spring Data JPA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Java 21, Spring Boot 3.3.4, Spring Security (OAuth2 resource server), Spring Data JPA and JdbcTemplate, Bean Validation, Actuator. Modules are Java packages talking through services and Spring application events; Spring Modulith is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Database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RLS, pg_trgm; Flyway</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PostgreSQL 16 with forced row-level security; Flyway V1–V51. pg_trgm is not used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Identity</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Keycloak (OIDC, MFA)</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 issues its own signed JWT access tokens (60 minutes, configurable) for staff, applicants, students and platform staff; Keycloak-ready because the backend is a standard OAuth2 resource server. Two-step sign-in with an authenticator app (recovery codes, SMS fall-back) for the roles each institution chooses; idle sign-out per user type; connected systems receive OAuth2 client-credential tokens.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Caching</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Redis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Rate limits and OTP state are held in the application and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 and jobs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RabbitMQ, ShedLock</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SMS and email go through transactional outbox tables sent after commit with retries; eleven scheduled jobs run inside the application (check-in closing, SMS retries, email retries, window closing, offer expiry, hostel release, status changes, fee reminders and penalties, scheduled reports, retention, integration log clean-up). Each job takes a database lock first (job_locks, as ShedLock does), so it runs once when several instances run.</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File storage</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MinIO (S3)</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used. Generated documents are rendered on request from stored data; photos and uploaded application documents (size-limited, checked by content) are kept in the database.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Documents and reports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JasperReports, Apache POI, ZXing</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openhtmltopdf (HTML templates to PDF) for letters, receipts, statements, certificates, ID cards and class lists; Apache POI for Excel; ZXing for QR codes.</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Rules</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 rule documents and internal engine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planned for entry requirements (JSON on window programmes); regulations are relational (grade and classification bands).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Resilience</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Resilience4j, transactional outbox</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Outboxes for SMS and email; timeouts on outside calls; simulated and live adapters per integration, each call logged. Resilience4j not used.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OpenAPI 3, OAuth2 client credentials</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(springdoc, Swagger UI); RFC 7807 error responses. Connected systems use OAuth2 client credentials with scopes on a read-only integration API (programmes, students, results, payments).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Containers</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 Kubernetes; Docker Compose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Dockerfiles for the backend, the frontend and the two simulators (nactvet-mock, gov-mocks); a development Compose stack and a production Compose stack with TLS proxy, WAL archiving and backups. Kubernetes manifests not written yet.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Ingress, observability, CI/CD</w:t>
            </w:r>
          </w:p>
        </w:tc>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Nginx Ingress, cert-manager; Prometheus, Grafana, Loki; GitLab CI or GitHub Actions; SonarQube, Trivy, ZAP</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GitHub Actions for continuous integration, end-to-end and accessibility tests in three browsers, Trivy and OWASP ZAP baseline scans, and load tests; Nginx TLS proxy in the production stack; Actuator health and Prometheus metrics, reachable inside the network only. Grafana, Loki and SonarQube come with production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Testing</w:t>
            </w:r>
          </w:p>
        </w:tc>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Testcontainers, Playwright, k6</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JUnit 5 with Spring Boot tests against a real PostgreSQL database (248 tests) and Vitest unit tests for the frontend; Playwright end-to-end and axe accessibility tests in Chromium, Firefox and WebKit; simulators of NACTVET (nactvet-mock) and of GePG, HESLB, NIDA, MUSE and TAMISEMI (gov-mocks); k6 and Locust load tests (100 users on the development machine: no errors, p95 37 ms, p99 1.0 s).</w:t>
            </w:r>
          </w:p>
        </w:tc>
      </w:tr>
    </w:tbl>
    <w:p>
      <w:pPr>
        <w:spacing w:after="120"/>
      </w:pPr>
    </w:p>
    <w:p>
      <w:pPr>
        <w:pStyle w:val="Heading2"/>
      </w:pPr>
      <w:bookmarkStart w:id="26" w:name="_TocV11_26"/>
      <w:r>
        <w:rPr>
          <w:rFonts w:ascii="Calibri" w:cs="Calibri" w:eastAsia="Calibri" w:hAnsi="Calibri"/>
        </w:rPr>
        <w:t xml:space="preserve">12.2 Modules</w:t>
      </w:r>
      <w:bookmarkEnd w:id="26"/>
    </w:p>
    <w:p>
      <w:pPr>
        <w:spacing w:after="300"/>
      </w:pPr>
      <w:r>
        <w:rPr>
          <w:i/>
          <w:rFonts w:ascii="Calibri" w:cs="Calibri" w:eastAsia="Calibri" w:hAnsi="Calibri"/>
          <w:color w:val="595959"/>
          <w:sz w:val="22"/>
          <w:szCs w:val="22"/>
        </w:rPr>
        <w:t xml:space="preserve">This sub-section lists the modules (code packages) of the built system and what each is responsible for.</w:t>
      </w:r>
    </w:p>
    <w:p>
      <w:pPr>
        <w:spacing w:after="120" w:line="276"/>
        <w:jc w:val="both"/>
      </w:pPr>
      <w:r>
        <w:rPr>
          <w:rFonts w:ascii="Calibri" w:cs="Calibri" w:eastAsia="Calibri" w:hAnsi="Calibri"/>
        </w:rPr>
        <w:t xml:space="preserve">The backend has 507 Java source files (about 55,000 lines) in these packages; the frontend has 106 TypeScript files (about 26,000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Package</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Responsibility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Tenancy (host or X-Tenant header), security and sign-in, users and roles, branding, audit trail, numbering; two-step sign-in, API clients, personal-data requests and retention, letter templates.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console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institutions, NACTVET catalogue, platform users, integration health.</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Years, intakes, departments, programmes, modules, curricula, calendar; campuses, faculties, student categories.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applications, eligibility, selection, NACTVET verification, offers, letters; document uploads, external selections.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students, first and semester registration, status changes, ID cards; programme and campus transfers, National Identification Numbers, NACTVET registration, data import.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attendance, self check-in, eligibility, My teaching.</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marks, moderation, result sheets, resits, amendments, appeals, transcripts, NVA competence; approval stages, results from before CIMS.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 billing, GePG, payments, reconciliation, accounts and clearance, sponsors, adjustments, finance overview; instalment reminders and penalties, discount schemes, HESLB, MUSE postings.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graduation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and repairs; industrial practical training; clearance, graduations and certificates; alumni and tracer surveys.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portal</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 services, notices, change requests, next steps.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notification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 templates, outbox, dispatcher, bulk campaigns, SMS bundles; email outbox.</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reporting, approvals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 catalogue and exports, dashboards and overviews; the approvals list; scheduled reports.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 reference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NACTVET, HESLB, NIDA, MUSE and TAMISEMI clients, the institution's integration settings, integration call log; administrative areas and school lists.</w:t>
            </w:r>
          </w:p>
        </w:tc>
      </w:tr>
    </w:tbl>
    <w:p>
      <w:pPr>
        <w:spacing w:after="120"/>
      </w:pPr>
    </w:p>
    <w:p>
      <w:pPr>
        <w:pStyle w:val="Heading2"/>
      </w:pPr>
      <w:bookmarkStart w:id="27" w:name="_TocV11_27"/>
      <w:r>
        <w:rPr>
          <w:rFonts w:ascii="Calibri" w:cs="Calibri" w:eastAsia="Calibri" w:hAnsi="Calibri"/>
        </w:rPr>
        <w:t xml:space="preserve">12.3 Integration adapters</w:t>
      </w:r>
      <w:bookmarkEnd w:id="27"/>
    </w:p>
    <w:p>
      <w:pPr>
        <w:spacing w:after="300"/>
      </w:pPr>
      <w:r>
        <w:rPr>
          <w:i/>
          <w:rFonts w:ascii="Calibri" w:cs="Calibri" w:eastAsia="Calibri" w:hAnsi="Calibri"/>
          <w:color w:val="595959"/>
          <w:sz w:val="22"/>
          <w:szCs w:val="22"/>
        </w:rPr>
        <w:t xml:space="preserve">This sub-section lists each connection to an outside system as built, the setting that switches it between test and live, and its current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2707"/>
        <w:gridCol w:w="4695"/>
      </w:tblGrid>
      <w:tr>
        <w:trPr>
          <w:tblHeader/>
          <w:cantSplit/>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System</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Mode setting</w:t>
            </w:r>
          </w:p>
        </w:tc>
        <w:tc>
          <w:tcPr>
            <w:tcW w:type="dxa" w:w="46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Adapter</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NECTA</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CIMS_NECTA_MODE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SimulatedNectaClient / LiveNectaClient (NECTA results API, key NECTA_API_KEY).</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awards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CIMS_NACTVET_AWARDS_MODE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Particulars service as in NOAS (NACTE_AUTHORIZATION, NACTE_API_CODE).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catalogue</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CIMS_NACTVET_CATALOGUE_MODE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institutionprogrammeall service for the platform console.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verification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CIMS_NACTVET_MODE = simulated | live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SimulatedNactvetGateway / LiveNactvetGateway (NOAS-style JSON POST; endpoint paths configurable; tested against nactvet-mock). File channel always available.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CIMS_GEPG_MODE = simulated | live</w:t>
            </w:r>
          </w:p>
        </w:tc>
        <w:tc>
          <w:tcPr>
            <w:tcW w:type="dxa" w:w="46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SimulatedGepgGateway / live adapter with GePG's signed XML (bills, control numbers by callback, payments, reconciliation requests), tested against the gov-mocks GePG simulator with test keys; reconciliation files can still be imported. Each institution's SP code, sub SP code, system id and GFS code are on its Integrations page.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CIMS_SMS_MODE = simulated</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SimulatedSmsGateway behind the SmsGateway port; outbox, retries, signed delivery reports.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registration and results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CIMS_NACTVET_SUBMISSION_MODE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and results submission with status follow-up; endpoint paths configurable until NACTVET issues them; tested against nactvet-mock.</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CIMS_HESLB_MODE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data out, beneficiaries in as capped sponsorships, disbursements recorded; placeholder endpoints until HESLB issues its interface.</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NIDA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CIMS_NIDA_MODE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checked against name and date of birth; the number is stored encrypted.</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CIMS_MUSE_MODE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per period by GFS code, each period once; postings CSV for other systems.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TAMISEMI</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CIMS_TAMISEMI_MODE</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Selections fetched into the checked import, then verified and offered like other applicants.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Collections outside GePG</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CIMS_COLLECTION_MODE = simulated | statement</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references for private and faith-based institutions, confirmed by a signed collector callback or by importing the day's mobile money or bank statement.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CIMS_EMAIL_MODE = simulated | smtp</w:t>
            </w:r>
          </w:p>
        </w:tc>
        <w:tc>
          <w:tcPr>
            <w:tcW w:type="dxa" w:w="46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 with retries and attachments, sent by SMTP (Mailpit in development).</w:t>
            </w:r>
          </w:p>
        </w:tc>
      </w:tr>
    </w:tbl>
    <w:p>
      <w:pPr>
        <w:spacing w:after="120"/>
      </w:pPr>
    </w:p>
    <w:p>
      <w:pPr>
        <w:pStyle w:val="Heading2"/>
      </w:pPr>
      <w:bookmarkStart w:id="28" w:name="_TocV11_28"/>
      <w:r>
        <w:rPr>
          <w:rFonts w:ascii="Calibri" w:cs="Calibri" w:eastAsia="Calibri" w:hAnsi="Calibri"/>
        </w:rPr>
        <w:t xml:space="preserve">12.4 Path to the target architecture</w:t>
      </w:r>
      <w:bookmarkEnd w:id="28"/>
    </w:p>
    <w:p>
      <w:pPr>
        <w:spacing w:after="300"/>
      </w:pPr>
      <w:r>
        <w:rPr>
          <w:i/>
          <w:rFonts w:ascii="Calibri" w:cs="Calibri" w:eastAsia="Calibri" w:hAnsi="Calibri"/>
          <w:color w:val="595959"/>
          <w:sz w:val="22"/>
          <w:szCs w:val="22"/>
        </w:rPr>
        <w:t xml:space="preserve">This sub-section sets out the steps that will take the built system to the full target architecture as the number of institutions grows.</w:t>
      </w:r>
    </w:p>
    <w:p>
      <w:pPr>
        <w:pStyle w:val="ListParagraph"/>
        <w:numPr>
          <w:ilvl w:val="0"/>
          <w:numId w:val="2"/>
        </w:numPr>
        <w:spacing w:after="60" w:line="264"/>
      </w:pPr>
      <w:r>
        <w:rPr>
          <w:rFonts w:ascii="Calibri" w:cs="Calibri" w:eastAsia="Calibri" w:hAnsi="Calibri"/>
          <w:b/>
          <w:bCs/>
        </w:rPr>
        <w:t xml:space="preserve">Identity: introduce Keycloak (one realm per institution) if single sign-on is needed; two-step sign-in is already built into CIMS's own issuer and the backend validates standard OAuth2 tokens.</w:t>
      </w:r>
    </w:p>
    <w:p>
      <w:pPr>
        <w:pStyle w:val="ListParagraph"/>
        <w:numPr>
          <w:ilvl w:val="0"/>
          <w:numId w:val="2"/>
        </w:numPr>
        <w:spacing w:after="60" w:line="264"/>
      </w:pPr>
      <w:r>
        <w:rPr>
          <w:rFonts w:ascii="Calibri" w:cs="Calibri" w:eastAsia="Calibri" w:hAnsi="Calibri"/>
          <w:b/>
          <w:bCs/>
        </w:rPr>
        <w:t xml:space="preserve">Scale-out: run several backend instances behind the ingress (scheduled jobs already take a database lock); move bulk work to workers with a broker when volumes require.</w:t>
      </w:r>
    </w:p>
    <w:p>
      <w:pPr>
        <w:pStyle w:val="ListParagraph"/>
        <w:numPr>
          <w:ilvl w:val="0"/>
          <w:numId w:val="2"/>
        </w:numPr>
        <w:spacing w:after="60" w:line="264"/>
      </w:pPr>
      <w:r>
        <w:rPr>
          <w:rFonts w:ascii="Calibri" w:cs="Calibri" w:eastAsia="Calibri" w:hAnsi="Calibri"/>
          <w:b/>
          <w:bCs/>
        </w:rPr>
        <w:t xml:space="preserve">Integrations: switch GePG to live with each institution's certificates; wire the live HESLB, NIDA, MUSE, TAMISEMI and NACTVET registration and results endpoints as each body issues them; add the SMS aggregator adapter; connect to GovESB where mandated.</w:t>
      </w:r>
    </w:p>
    <w:p>
      <w:pPr>
        <w:pStyle w:val="ListParagraph"/>
        <w:numPr>
          <w:ilvl w:val="0"/>
          <w:numId w:val="2"/>
        </w:numPr>
        <w:spacing w:after="60" w:line="264"/>
      </w:pPr>
      <w:r>
        <w:rPr>
          <w:rFonts w:ascii="Calibri" w:cs="Calibri" w:eastAsia="Calibri" w:hAnsi="Calibri"/>
          <w:b/>
          <w:bCs/>
        </w:rPr>
        <w:t xml:space="preserve">Operations: Kubernetes manifests, ingress with automatic certificates, Grafana and Loki on the existing metrics and logs, the peak load test on staging hardware and an independent penetration test before go-live. Continuous integration with dependency, secret and Dockerfile scanning, a ZAP baseline and browser tests, backups with point-in-time recovery and load-test scripts are in place.</w:t>
      </w:r>
    </w:p>
    <w:p>
      <w:pPr>
        <w:pStyle w:val="ListParagraph"/>
        <w:numPr>
          <w:ilvl w:val="0"/>
          <w:numId w:val="2"/>
        </w:numPr>
        <w:spacing w:after="60" w:line="264"/>
      </w:pPr>
      <w:r>
        <w:rPr>
          <w:rFonts w:ascii="Calibri" w:cs="Calibri" w:eastAsia="Calibri" w:hAnsi="Calibri"/>
          <w:b/>
          <w:bCs/>
        </w:rPr>
        <w:t xml:space="preserve">Documents: move uploaded documents to object storage if volumes require; today they are kept in the database, size-limited.</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06: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9ef48691f7510ddbec9da201bf487838edaccea2.png"/><Relationship Id="rId12" Type="http://schemas.openxmlformats.org/officeDocument/2006/relationships/image" Target="media/e58e273a7cc5c35f7042e38b665c54d63a0c7780.png"/><Relationship Id="rId13" Type="http://schemas.openxmlformats.org/officeDocument/2006/relationships/image" Target="media/924597428803b8dc5cb621eeae0ec79e63dc748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06: System Architecture</dc:title>
  <dc:creator>Msingi Technologies Ltd</dc:creator>
  <cp:lastModifiedBy>Un-named</cp:lastModifiedBy>
  <cp:revision>1</cp:revision>
  <dcterms:created xsi:type="dcterms:W3CDTF">2026-10-06T09:59:03.778Z</dcterms:created>
  <dcterms:modified xsi:type="dcterms:W3CDTF">2026-10-06T09:59:03.778Z</dcterms:modified>
</cp:coreProperties>
</file>

<file path=docProps/custom.xml><?xml version="1.0" encoding="utf-8"?>
<Properties xmlns="http://schemas.openxmlformats.org/officeDocument/2006/custom-properties" xmlns:vt="http://schemas.openxmlformats.org/officeDocument/2006/docPropsVTypes"/>
</file>