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Development Plan and Cost Estimate,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1.1).</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Development Plan and Cost Estimate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30" w:history="1">
            <w:r>
              <w:rPr>
                <w:rFonts w:ascii="Calibri" w:cs="Calibri" w:eastAsia="Calibri" w:hAnsi="Calibri"/>
                <w:sz w:val="20"/>
                <w:szCs w:val="20"/>
              </w:rPr>
              <w:t xml:space="preserve">1.1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Delivery Strategy</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3. Release Plan and Timeline</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3.1 Milestones and acceptance</w:t>
            </w:r>
            <w:r>
              <w:rPr>
                <w:rFonts w:ascii="Calibri" w:cs="Calibri" w:eastAsia="Calibri" w:hAnsi="Calibri"/>
                <w:sz w:val="20"/>
                <w:szCs w:val="20"/>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3.2 Progress and remaining work (October 2026)</w:t>
            </w:r>
            <w:r>
              <w:rPr>
                <w:rFonts w:ascii="Calibri" w:cs="Calibri" w:eastAsia="Calibri" w:hAnsi="Calibri"/>
                <w:sz w:val="20"/>
                <w:szCs w:val="20"/>
              </w:rPr>
              <w:tab/>
              <w:t>8</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Team and Governance</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4.1 Delivery team</w:t>
            </w:r>
            <w:r>
              <w:rPr>
                <w:rFonts w:ascii="Calibri" w:cs="Calibri" w:eastAsia="Calibri" w:hAnsi="Calibri"/>
                <w:sz w:val="20"/>
                <w:szCs w:val="20"/>
              </w:rPr>
              <w:tab/>
              <w:t>10</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4.2 Institution roles</w:t>
            </w:r>
            <w:r>
              <w:rPr>
                <w:rFonts w:ascii="Calibri" w:cs="Calibri" w:eastAsia="Calibri" w:hAnsi="Calibri"/>
                <w:sz w:val="20"/>
                <w:szCs w:val="20"/>
              </w:rPr>
              <w:tab/>
              <w:t>10</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4.3 Governance structure</w:t>
            </w:r>
            <w:r>
              <w:rPr>
                <w:rFonts w:ascii="Calibri" w:cs="Calibri" w:eastAsia="Calibri" w:hAnsi="Calibri"/>
                <w:sz w:val="20"/>
                <w:szCs w:val="20"/>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5. Cost Estimate — Platform Development</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5.1 Labour (effort-based)</w:t>
            </w:r>
            <w:r>
              <w:rPr>
                <w:rFonts w:ascii="Calibri" w:cs="Calibri" w:eastAsia="Calibri" w:hAnsi="Calibri"/>
                <w:sz w:val="20"/>
                <w:szCs w:val="20"/>
              </w:rPr>
              <w:tab/>
              <w:t>11</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5.2 Non-labour costs</w:t>
            </w:r>
            <w:r>
              <w:rPr>
                <w:rFonts w:ascii="Calibri" w:cs="Calibri" w:eastAsia="Calibri" w:hAnsi="Calibri"/>
                <w:sz w:val="20"/>
                <w:szCs w:val="20"/>
              </w:rPr>
              <w:tab/>
              <w:t>11</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5.3 Budget summary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5.4 Cost by release</w:t>
            </w:r>
            <w:r>
              <w:rPr>
                <w:rFonts w:ascii="Calibri" w:cs="Calibri" w:eastAsia="Calibri" w:hAnsi="Calibri"/>
                <w:sz w:val="20"/>
                <w:szCs w:val="20"/>
              </w:rPr>
              <w:tab/>
              <w:t>12</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6. Commercial Model for Institutions</w:t>
            </w:r>
            <w:r>
              <w:rPr>
                <w:rFonts w:ascii="Calibri" w:cs="Calibri" w:eastAsia="Calibri" w:hAnsi="Calibri"/>
                <w:b/>
                <w:bCs/>
                <w:color w:val="1F3864"/>
                <w:sz w:val="21"/>
                <w:szCs w:val="21"/>
              </w:rPr>
              <w:tab/>
              <w:t>13</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6.1 Cloud subscription (Option A)</w:t>
            </w:r>
            <w:r>
              <w:rPr>
                <w:rFonts w:ascii="Calibri" w:cs="Calibri" w:eastAsia="Calibri" w:hAnsi="Calibri"/>
                <w:sz w:val="20"/>
                <w:szCs w:val="20"/>
              </w:rPr>
              <w:tab/>
              <w:t>13</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6.2 Dedicated installation (Option B)</w:t>
            </w:r>
            <w:r>
              <w:rPr>
                <w:rFonts w:ascii="Calibri" w:cs="Calibri" w:eastAsia="Calibri" w:hAnsi="Calibri"/>
                <w:sz w:val="20"/>
                <w:szCs w:val="20"/>
              </w:rPr>
              <w:tab/>
              <w:t>13</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6.3 Payment milestones (onboarding and implementation)</w:t>
            </w:r>
            <w:r>
              <w:rPr>
                <w:rFonts w:ascii="Calibri" w:cs="Calibri" w:eastAsia="Calibri" w:hAnsi="Calibri"/>
                <w:sz w:val="20"/>
                <w:szCs w:val="20"/>
              </w:rPr>
              <w:tab/>
              <w:t>13</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Investment Case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Platform running cost (steady state)</w:t>
            </w:r>
            <w:r>
              <w:rPr>
                <w:rFonts w:ascii="Calibri" w:cs="Calibri" w:eastAsia="Calibri" w:hAnsi="Calibri"/>
                <w:sz w:val="20"/>
                <w:szCs w:val="20"/>
              </w:rPr>
              <w:tab/>
              <w:t>14</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7.2 Illustrative three-year scenario</w:t>
            </w:r>
            <w:r>
              <w:rPr>
                <w:rFonts w:ascii="Calibri" w:cs="Calibri" w:eastAsia="Calibri" w:hAnsi="Calibri"/>
                <w:sz w:val="20"/>
                <w:szCs w:val="20"/>
              </w:rPr>
              <w:tab/>
              <w:t>14</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7.3 Value to an individual institution</w:t>
            </w:r>
            <w:r>
              <w:rPr>
                <w:rFonts w:ascii="Calibri" w:cs="Calibri" w:eastAsia="Calibri" w:hAnsi="Calibri"/>
                <w:sz w:val="20"/>
                <w:szCs w:val="20"/>
              </w:rPr>
              <w:tab/>
              <w:t>15</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8. Institution-Side Budget and Contributions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9. Quality Assurance and Testing</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10. Training and Change Management</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11. Support and Service Levels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12. Risk Register</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13. Change Control</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14. Next Steps</w:t>
            </w:r>
            <w:r>
              <w:rPr>
                <w:rFonts w:ascii="Calibri" w:cs="Calibri" w:eastAsia="Calibri" w:hAnsi="Calibri"/>
                <w:b/>
                <w:bCs/>
                <w:color w:val="1F3864"/>
                <w:sz w:val="21"/>
                <w:szCs w:val="21"/>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plan covers: how CIMS is delivered, by whom, at what cost and how the investment is recovered. It is written for sponsors and decision makers who approve funding and timelines.</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version 3.0):</w:t>
      </w:r>
      <w:r>
        <w:rPr>
          <w:rFonts w:ascii="Calibri" w:cs="Calibri" w:eastAsia="Calibri" w:hAnsi="Calibri"/>
        </w:rP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pPr>
        <w:pStyle w:val="Heading2"/>
      </w:pPr>
      <w:bookmarkStart w:id="30" w:name="_TocV11_30"/>
      <w:r>
        <w:rPr>
          <w:rFonts w:ascii="Calibri" w:cs="Calibri" w:eastAsia="Calibri" w:hAnsi="Calibri"/>
        </w:rPr>
        <w:t xml:space="preserve">1.1 Abbreviations and glossary</w:t>
      </w:r>
      <w:bookmarkEnd w:id="30"/>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Full-time equivalent: one person working full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Value added tax.</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2" w:name="_TocV11_2"/>
      <w:r>
        <w:rPr>
          <w:rFonts w:ascii="Calibri" w:cs="Calibri" w:eastAsia="Calibri" w:hAnsi="Calibri"/>
        </w:rPr>
        <w:t xml:space="preserve">2. Delivery Strategy</w:t>
      </w:r>
      <w:bookmarkEnd w:id="2"/>
    </w:p>
    <w:p>
      <w:pPr>
        <w:spacing w:after="300"/>
      </w:pPr>
      <w:r>
        <w:rPr>
          <w:i/>
          <w:rFonts w:ascii="Calibri" w:cs="Calibri" w:eastAsia="Calibri" w:hAnsi="Calibri"/>
          <w:color w:val="595959"/>
          <w:sz w:val="22"/>
          <w:szCs w:val="22"/>
        </w:rPr>
        <w:t xml:space="preserve">The delivery strategy sets the overall approach: releases fixed to the academic calendar, short development cycles with regular demonstrations, and pilots before wider roll-out.</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bookmarkStart w:id="3" w:name="_TocV11_3"/>
      <w:r>
        <w:rPr>
          <w:rFonts w:ascii="Calibri" w:cs="Calibri" w:eastAsia="Calibri" w:hAnsi="Calibri"/>
        </w:rPr>
        <w:t xml:space="preserve">3. Release Plan and Timeline</w:t>
      </w:r>
      <w:bookmarkEnd w:id="3"/>
    </w:p>
    <w:p>
      <w:pPr>
        <w:spacing w:after="300"/>
      </w:pPr>
      <w:r>
        <w:rPr>
          <w:i/>
          <w:rFonts w:ascii="Calibri" w:cs="Calibri" w:eastAsia="Calibri" w:hAnsi="Calibri"/>
          <w:color w:val="595959"/>
          <w:sz w:val="22"/>
          <w:szCs w:val="22"/>
        </w:rPr>
        <w:t xml:space="preserve">This section shows the phases and releases on a timeline, with the main deliverables of each, so that stakeholders know what arrives when.</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bookmarkStart w:id="4" w:name="_TocV11_4"/>
      <w:r>
        <w:rPr>
          <w:rFonts w:ascii="Calibri" w:cs="Calibri" w:eastAsia="Calibri" w:hAnsi="Calibri"/>
        </w:rPr>
        <w:t xml:space="preserve">3.1 Milestones and acceptance</w:t>
      </w:r>
      <w:bookmarkEnd w:id="4"/>
    </w:p>
    <w:p>
      <w:pPr>
        <w:spacing w:after="300"/>
      </w:pPr>
      <w:r>
        <w:rPr>
          <w:i/>
          <w:rFonts w:ascii="Calibri" w:cs="Calibri" w:eastAsia="Calibri" w:hAnsi="Calibri"/>
          <w:color w:val="595959"/>
          <w:sz w:val="22"/>
          <w:szCs w:val="22"/>
        </w:rPr>
        <w:t xml:space="preserve">Milestones are the points where progress is formally checked and accepted. The table gives each milestone, its target week and the evidence required for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2"/>
      </w:pPr>
      <w:bookmarkStart w:id="5" w:name="_TocV11_5"/>
      <w:r>
        <w:rPr>
          <w:rFonts w:ascii="Calibri" w:cs="Calibri" w:eastAsia="Calibri" w:hAnsi="Calibri"/>
        </w:rPr>
        <w:t xml:space="preserve">3.2 Progress and remaining work (October 2026)</w:t>
      </w:r>
      <w:bookmarkEnd w:id="5"/>
    </w:p>
    <w:p>
      <w:pPr>
        <w:spacing w:after="300"/>
      </w:pPr>
      <w:r>
        <w:rPr>
          <w:i/>
          <w:rFonts w:ascii="Calibri" w:cs="Calibri" w:eastAsia="Calibri" w:hAnsi="Calibri"/>
          <w:color w:val="595959"/>
          <w:sz w:val="22"/>
          <w:szCs w:val="22"/>
        </w:rPr>
        <w:t xml:space="preserve">This sub-section reports where the work actually stands in October 2026 against the plan and lists what remains to be done before go-live.</w:t>
      </w:r>
    </w:p>
    <w:p>
      <w:pPr>
        <w:spacing w:after="120" w:line="276"/>
        <w:jc w:val="both"/>
      </w:pPr>
      <w:r>
        <w:rPr>
          <w:rFonts w:ascii="Calibri" w:cs="Calibri" w:eastAsia="Calibri" w:hAnsi="Calibri"/>
        </w:rPr>
        <w:t xml:space="preserve">The build was done ahead of the 2 November 2026 start assumed above. The system has 159 database tables from 51 migrations, about 55,000 lines of backend and 26,000 lines of frontend code, 248 automated backend tests and frontend unit tests, 35 standard reports and 20 roles, with every screen in English and Kiswahili. Its status against the planned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083"/>
        <w:gridCol w:w="1173"/>
        <w:gridCol w:w="4785"/>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weeks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7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0: Inception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W1–W3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Requirements validated through the build; pilot validation and integration access requests still to do.</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1: Solution design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W3–W7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Done</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model, security model, integration ports and UI built directly in the system; this version 3.1 suite records them.</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1 — Admission-ready</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W6–W21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admission portal with document uploads, NECTA and NACTVET look-ups, selection, NACTVET verification, letters (editable wording, emailed), registry, fees and GePG (live adapter built), SMS and email, reports, student portal.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2 — Academic</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W19–W36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and attendance, NTA examinations and NVA competence, configurable approval stages, GPA and decisions, publication, resits, appeals, transcripts and verification, NACTVET results by API and file, comparisons across years.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3 — Campus</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W34–W49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IPT (with workplace assessment by link), clearance and graduation, alumni and tracer surveys, sponsors, waivers and refunds, instalment reminders and penalties, discount schemes, HESLB, NIDA and MUSE exchanges (simulated until access), dashboards.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W4–W35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Tools 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with templates, row-by-row validation and sign-off by a second person. Trial loads with the pilot institutions' data still to do.</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 security, hosting, pilots, hypercare</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W18–W56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Continuous integration, load tests on the development machine (100 users: no errors, p95 37 ms) and the production deployment stack with tested backups are done; see the remaining work below.</w:t>
            </w:r>
          </w:p>
        </w:tc>
      </w:tr>
    </w:tbl>
    <w:p>
      <w:pPr>
        <w:spacing w:after="120"/>
      </w:pPr>
    </w:p>
    <w:p>
      <w:pPr>
        <w:spacing w:after="120" w:line="276"/>
        <w:jc w:val="both"/>
      </w:pPr>
      <w:r>
        <w:rPr>
          <w:rFonts w:ascii="Calibri" w:cs="Calibri" w:eastAsia="Calibri" w:hAnsi="Calibri"/>
        </w:rPr>
        <w:t xml:space="preserve">Work remaining before the first institutions go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5235"/>
        <w:gridCol w:w="1986"/>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Work</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covers</w:t>
            </w:r>
          </w:p>
        </w:tc>
        <w:tc>
          <w:tcPr>
            <w:tcW w:type="dxa" w:w="198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Depends 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Live integrations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NACTVET, HESLB, NIDA, MUSE, TAMISEMI and aggregator access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 hardening</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Secrets management; ASVS review; independent penetration test. Two-step sign-in, idle sign-out, common-password checks and 10-character passwords are built; dependency, secret and Dockerfile scanning and a ZAP baseline run in CI.</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Trial loads of programmes, curricula, students, results and balances with the import tools, reconciliation and sign-off by the data owners.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data</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Gaps in scope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campus-level role scopes; room swaps between two students in hostels; offline caching in the student portal; regulator returns beyond the NACTVET files. (Hostel bed changes with the fee difference are built.)</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Priorities from pilots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Performance and scale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test at 2× expected peak on staging hardware (scripts ready); tuning. Scheduled jobs already run once across several instances.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Production hosting and operations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a Tanzanian data centre with the production Compose stack (or Kubernetes), certificates, monitoring dashboards and alerting, and the service desk. Backups with point-in-time recovery and continuous integration are in place.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Deployment option decision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Pilot onboarding and acceptance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of regulations, fees and entry rules with two pilot institutions; training; user acceptance testing against Document 03; go-live and hypercare.</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institutions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 documentation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Manuals and short videos in English and Kiswahili; Kiswahili for the staff back-office.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bl>
    <w:p>
      <w:pPr>
        <w:spacing w:after="120"/>
      </w:pPr>
    </w:p>
    <w:p>
      <w:pPr>
        <w:spacing w:after="120" w:line="276"/>
        <w:jc w:val="both"/>
      </w:pPr>
      <w:r>
        <w:rPr>
          <w:rFonts w:ascii="Calibri" w:cs="Calibri" w:eastAsia="Calibri" w:hAnsi="Calibri"/>
          <w:b/>
          <w:bCs/>
        </w:rPr>
        <w:t xml:space="preserve">Proposed sequence</w:t>
      </w:r>
      <w:r>
        <w:rPr>
          <w:rFonts w:ascii="Calibri" w:cs="Calibri" w:eastAsia="Calibri" w:hAnsi="Calibri"/>
        </w:rP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pPr>
        <w:pStyle w:val="Heading1"/>
      </w:pPr>
      <w:bookmarkStart w:id="6" w:name="_TocV11_6"/>
      <w:r>
        <w:rPr>
          <w:rFonts w:ascii="Calibri" w:cs="Calibri" w:eastAsia="Calibri" w:hAnsi="Calibri"/>
        </w:rPr>
        <w:t xml:space="preserve">4. Team and Governance</w:t>
      </w:r>
      <w:bookmarkEnd w:id="6"/>
    </w:p>
    <w:p>
      <w:pPr>
        <w:spacing w:after="300"/>
      </w:pPr>
      <w:r>
        <w:rPr>
          <w:i/>
          <w:rFonts w:ascii="Calibri" w:cs="Calibri" w:eastAsia="Calibri" w:hAnsi="Calibri"/>
          <w:color w:val="595959"/>
          <w:sz w:val="22"/>
          <w:szCs w:val="22"/>
        </w:rPr>
        <w:t xml:space="preserve">This section names the people who deliver CIMS, on both the Msingi and the institution side, and the bodies that steer the project and take decisions.</w:t>
      </w:r>
    </w:p>
    <w:p>
      <w:pPr>
        <w:pStyle w:val="Heading2"/>
      </w:pPr>
      <w:bookmarkStart w:id="7" w:name="_TocV11_7"/>
      <w:r>
        <w:rPr>
          <w:rFonts w:ascii="Calibri" w:cs="Calibri" w:eastAsia="Calibri" w:hAnsi="Calibri"/>
        </w:rPr>
        <w:t xml:space="preserve">4.1 Delivery team</w:t>
      </w:r>
      <w:bookmarkEnd w:id="7"/>
    </w:p>
    <w:p>
      <w:pPr>
        <w:spacing w:after="300"/>
      </w:pPr>
      <w:r>
        <w:rPr>
          <w:i/>
          <w:rFonts w:ascii="Calibri" w:cs="Calibri" w:eastAsia="Calibri" w:hAnsi="Calibri"/>
          <w:color w:val="595959"/>
          <w:sz w:val="22"/>
          <w:szCs w:val="22"/>
        </w:rPr>
        <w:t xml:space="preserve">The table lists the roles in Msingi's delivery team and what each is responsible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bookmarkStart w:id="8" w:name="_TocV11_8"/>
      <w:r>
        <w:rPr>
          <w:rFonts w:ascii="Calibri" w:cs="Calibri" w:eastAsia="Calibri" w:hAnsi="Calibri"/>
        </w:rPr>
        <w:t xml:space="preserve">4.2 Institution roles</w:t>
      </w:r>
      <w:bookmarkEnd w:id="8"/>
    </w:p>
    <w:p>
      <w:pPr>
        <w:spacing w:after="300"/>
      </w:pPr>
      <w:r>
        <w:rPr>
          <w:i/>
          <w:rFonts w:ascii="Calibri" w:cs="Calibri" w:eastAsia="Calibri" w:hAnsi="Calibri"/>
          <w:color w:val="595959"/>
          <w:sz w:val="22"/>
          <w:szCs w:val="22"/>
        </w:rPr>
        <w:t xml:space="preserve">A system succeeds only with the institution's active participation. The table lists the roles the institution must provide and their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bookmarkStart w:id="9" w:name="_TocV11_9"/>
      <w:r>
        <w:rPr>
          <w:rFonts w:ascii="Calibri" w:cs="Calibri" w:eastAsia="Calibri" w:hAnsi="Calibri"/>
        </w:rPr>
        <w:t xml:space="preserve">4.3 Governance structure</w:t>
      </w:r>
      <w:bookmarkEnd w:id="9"/>
    </w:p>
    <w:p>
      <w:pPr>
        <w:spacing w:after="300"/>
      </w:pPr>
      <w:r>
        <w:rPr>
          <w:i/>
          <w:rFonts w:ascii="Calibri" w:cs="Calibri" w:eastAsia="Calibri" w:hAnsi="Calibri"/>
          <w:color w:val="595959"/>
          <w:sz w:val="22"/>
          <w:szCs w:val="22"/>
        </w:rPr>
        <w:t xml:space="preserve">The governance structure sets out the committees that oversee the project, who sits on them and how often they meet, so that decisions are taken at the right level and on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bookmarkStart w:id="10" w:name="_TocV11_10"/>
      <w:r>
        <w:rPr>
          <w:rFonts w:ascii="Calibri" w:cs="Calibri" w:eastAsia="Calibri" w:hAnsi="Calibri"/>
        </w:rPr>
        <w:t xml:space="preserve">5. Cost Estimate — Platform Development</w:t>
      </w:r>
      <w:bookmarkEnd w:id="10"/>
    </w:p>
    <w:p>
      <w:pPr>
        <w:spacing w:after="300"/>
      </w:pPr>
      <w:r>
        <w:rPr>
          <w:i/>
          <w:rFonts w:ascii="Calibri" w:cs="Calibri" w:eastAsia="Calibri" w:hAnsi="Calibri"/>
          <w:color w:val="595959"/>
          <w:sz w:val="22"/>
          <w:szCs w:val="22"/>
        </w:rPr>
        <w:t xml:space="preserve">This section estimates the cost of building the CIMS platform, in labour and other costs, and how that cost is spread across the releases.</w:t>
      </w:r>
    </w:p>
    <w:p>
      <w:pPr>
        <w:pStyle w:val="Heading2"/>
      </w:pPr>
      <w:bookmarkStart w:id="11" w:name="_TocV11_11"/>
      <w:r>
        <w:rPr>
          <w:rFonts w:ascii="Calibri" w:cs="Calibri" w:eastAsia="Calibri" w:hAnsi="Calibri"/>
        </w:rPr>
        <w:t xml:space="preserve">5.1 Labour (effort-based)</w:t>
      </w:r>
      <w:bookmarkEnd w:id="11"/>
    </w:p>
    <w:p>
      <w:pPr>
        <w:spacing w:after="300"/>
      </w:pPr>
      <w:r>
        <w:rPr>
          <w:i/>
          <w:rFonts w:ascii="Calibri" w:cs="Calibri" w:eastAsia="Calibri" w:hAnsi="Calibri"/>
          <w:color w:val="595959"/>
          <w:sz w:val="22"/>
          <w:szCs w:val="22"/>
        </w:rPr>
        <w:t xml:space="preserve">Labour is the largest cost. This sub-section estimates the effort of each role from the scope of work and applies typical Tanzanian market rates.</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bookmarkStart w:id="12" w:name="_TocV11_12"/>
      <w:r>
        <w:rPr>
          <w:rFonts w:ascii="Calibri" w:cs="Calibri" w:eastAsia="Calibri" w:hAnsi="Calibri"/>
        </w:rPr>
        <w:t xml:space="preserve">5.2 Non-labour costs</w:t>
      </w:r>
      <w:bookmarkEnd w:id="12"/>
    </w:p>
    <w:p>
      <w:pPr>
        <w:spacing w:after="300"/>
      </w:pPr>
      <w:r>
        <w:rPr>
          <w:i/>
          <w:rFonts w:ascii="Calibri" w:cs="Calibri" w:eastAsia="Calibri" w:hAnsi="Calibri"/>
          <w:color w:val="595959"/>
          <w:sz w:val="22"/>
          <w:szCs w:val="22"/>
        </w:rPr>
        <w:t xml:space="preserve">Non-labour costs are items other than staff time, such as workshops, infrastructure, the security test and training. The table lists each with its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bookmarkStart w:id="13" w:name="_TocV11_13"/>
      <w:r>
        <w:rPr>
          <w:rFonts w:ascii="Calibri" w:cs="Calibri" w:eastAsia="Calibri" w:hAnsi="Calibri"/>
        </w:rPr>
        <w:t xml:space="preserve">5.3 Budget summary</w:t>
      </w:r>
      <w:bookmarkEnd w:id="13"/>
    </w:p>
    <w:p>
      <w:pPr>
        <w:spacing w:after="300"/>
      </w:pPr>
      <w:r>
        <w:rPr>
          <w:i/>
          <w:rFonts w:ascii="Calibri" w:cs="Calibri" w:eastAsia="Calibri" w:hAnsi="Calibri"/>
          <w:color w:val="595959"/>
          <w:sz w:val="22"/>
          <w:szCs w:val="22"/>
        </w:rPr>
        <w:t xml:space="preserve">The budget summary brings labour and non-labour costs together with contingency and VAT to give the total development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bookmarkStart w:id="14" w:name="_TocV11_14"/>
      <w:r>
        <w:rPr>
          <w:rFonts w:ascii="Calibri" w:cs="Calibri" w:eastAsia="Calibri" w:hAnsi="Calibri"/>
        </w:rPr>
        <w:t xml:space="preserve">5.4 Cost by release</w:t>
      </w:r>
      <w:bookmarkEnd w:id="14"/>
    </w:p>
    <w:p>
      <w:pPr>
        <w:spacing w:after="300"/>
      </w:pPr>
      <w:r>
        <w:rPr>
          <w:i/>
          <w:rFonts w:ascii="Calibri" w:cs="Calibri" w:eastAsia="Calibri" w:hAnsi="Calibri"/>
          <w:color w:val="595959"/>
          <w:sz w:val="22"/>
          <w:szCs w:val="22"/>
        </w:rPr>
        <w:t xml:space="preserve">For approval in stages, this sub-section divides the budget by release in proportion to the effort each requires.</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pPr>
        <w:pStyle w:val="Heading1"/>
      </w:pPr>
      <w:bookmarkStart w:id="15" w:name="_TocV11_15"/>
      <w:r>
        <w:rPr>
          <w:rFonts w:ascii="Calibri" w:cs="Calibri" w:eastAsia="Calibri" w:hAnsi="Calibri"/>
        </w:rPr>
        <w:t xml:space="preserve">6. Commercial Model for Institutions</w:t>
      </w:r>
      <w:bookmarkEnd w:id="15"/>
    </w:p>
    <w:p>
      <w:pPr>
        <w:spacing w:after="300"/>
      </w:pPr>
      <w:r>
        <w:rPr>
          <w:i/>
          <w:rFonts w:ascii="Calibri" w:cs="Calibri" w:eastAsia="Calibri" w:hAnsi="Calibri"/>
          <w:color w:val="595959"/>
          <w:sz w:val="22"/>
          <w:szCs w:val="22"/>
        </w:rPr>
        <w:t xml:space="preserve">This section sets out what institutions pay to use CIMS, either as a cloud subscription or as their own installation, and when payments fall due.</w:t>
      </w:r>
    </w:p>
    <w:p>
      <w:pPr>
        <w:pStyle w:val="Heading2"/>
      </w:pPr>
      <w:bookmarkStart w:id="16" w:name="_TocV11_16"/>
      <w:r>
        <w:rPr>
          <w:rFonts w:ascii="Calibri" w:cs="Calibri" w:eastAsia="Calibri" w:hAnsi="Calibri"/>
        </w:rPr>
        <w:t xml:space="preserve">6.1 Cloud subscription (Option A)</w:t>
      </w:r>
      <w:bookmarkEnd w:id="16"/>
    </w:p>
    <w:p>
      <w:pPr>
        <w:spacing w:after="300"/>
      </w:pPr>
      <w:r>
        <w:rPr>
          <w:i/>
          <w:rFonts w:ascii="Calibri" w:cs="Calibri" w:eastAsia="Calibri" w:hAnsi="Calibri"/>
          <w:color w:val="595959"/>
          <w:sz w:val="22"/>
          <w:szCs w:val="22"/>
        </w:rPr>
        <w:t xml:space="preserve">The cloud subscription is the default offer. The table gives the onboarding fee and the annual subscription per active student for each size of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bookmarkStart w:id="17" w:name="_TocV11_17"/>
      <w:r>
        <w:rPr>
          <w:rFonts w:ascii="Calibri" w:cs="Calibri" w:eastAsia="Calibri" w:hAnsi="Calibri"/>
        </w:rPr>
        <w:t xml:space="preserve">6.2 Dedicated installation (Option B)</w:t>
      </w:r>
      <w:bookmarkEnd w:id="17"/>
    </w:p>
    <w:p>
      <w:pPr>
        <w:spacing w:after="300"/>
      </w:pPr>
      <w:r>
        <w:rPr>
          <w:i/>
          <w:rFonts w:ascii="Calibri" w:cs="Calibri" w:eastAsia="Calibri" w:hAnsi="Calibri"/>
          <w:color w:val="595959"/>
          <w:sz w:val="22"/>
          <w:szCs w:val="22"/>
        </w:rPr>
        <w:t xml:space="preserve">For an institution that requires CIMS on its own servers, this sub-section gives indicative prices for the licence, implementation and annual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bookmarkStart w:id="18" w:name="_TocV11_18"/>
      <w:r>
        <w:rPr>
          <w:rFonts w:ascii="Calibri" w:cs="Calibri" w:eastAsia="Calibri" w:hAnsi="Calibri"/>
        </w:rPr>
        <w:t xml:space="preserve">6.3 Payment milestones (onboarding and implementation)</w:t>
      </w:r>
      <w:bookmarkEnd w:id="18"/>
    </w:p>
    <w:p>
      <w:pPr>
        <w:spacing w:after="300"/>
      </w:pPr>
      <w:r>
        <w:rPr>
          <w:i/>
          <w:rFonts w:ascii="Calibri" w:cs="Calibri" w:eastAsia="Calibri" w:hAnsi="Calibri"/>
          <w:color w:val="595959"/>
          <w:sz w:val="22"/>
          <w:szCs w:val="22"/>
        </w:rPr>
        <w:t xml:space="preserve">Onboarding and implementation fees are paid in stages linked to results. The table shows each milestone and its share of the fee.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bookmarkStart w:id="19" w:name="_TocV11_19"/>
      <w:r>
        <w:rPr>
          <w:rFonts w:ascii="Calibri" w:cs="Calibri" w:eastAsia="Calibri" w:hAnsi="Calibri"/>
        </w:rPr>
        <w:t xml:space="preserve">7. Investment Case</w:t>
      </w:r>
      <w:bookmarkEnd w:id="19"/>
    </w:p>
    <w:p>
      <w:pPr>
        <w:spacing w:after="300"/>
      </w:pPr>
      <w:r>
        <w:rPr>
          <w:i/>
          <w:rFonts w:ascii="Calibri" w:cs="Calibri" w:eastAsia="Calibri" w:hAnsi="Calibri"/>
          <w:color w:val="595959"/>
          <w:sz w:val="22"/>
          <w:szCs w:val="22"/>
        </w:rPr>
        <w:t xml:space="preserve">This section explains how the platform investment is recovered: the cost of running the service, an illustrative three-year scenario and the value each institution gains.</w:t>
      </w:r>
    </w:p>
    <w:p>
      <w:pPr>
        <w:pStyle w:val="Heading2"/>
      </w:pPr>
      <w:bookmarkStart w:id="20" w:name="_TocV11_20"/>
      <w:r>
        <w:rPr>
          <w:rFonts w:ascii="Calibri" w:cs="Calibri" w:eastAsia="Calibri" w:hAnsi="Calibri"/>
        </w:rPr>
        <w:t xml:space="preserve">7.1 Platform running cost (steady state)</w:t>
      </w:r>
      <w:bookmarkEnd w:id="20"/>
    </w:p>
    <w:p>
      <w:pPr>
        <w:spacing w:after="300"/>
      </w:pPr>
      <w:r>
        <w:rPr>
          <w:i/>
          <w:rFonts w:ascii="Calibri" w:cs="Calibri" w:eastAsia="Calibri" w:hAnsi="Calibri"/>
          <w:color w:val="595959"/>
          <w:sz w:val="22"/>
          <w:szCs w:val="22"/>
        </w:rPr>
        <w:t xml:space="preserve">This sub-section estimates the yearly cost of running the platform once it is live: support team, hosting, software services and other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bookmarkStart w:id="21" w:name="_TocV11_21"/>
      <w:r>
        <w:rPr>
          <w:rFonts w:ascii="Calibri" w:cs="Calibri" w:eastAsia="Calibri" w:hAnsi="Calibri"/>
        </w:rPr>
        <w:t xml:space="preserve">7.2 Illustrative three-year scenario</w:t>
      </w:r>
      <w:bookmarkEnd w:id="21"/>
    </w:p>
    <w:p>
      <w:pPr>
        <w:spacing w:after="300"/>
      </w:pPr>
      <w:r>
        <w:rPr>
          <w:i/>
          <w:rFonts w:ascii="Calibri" w:cs="Calibri" w:eastAsia="Calibri" w:hAnsi="Calibri"/>
          <w:color w:val="595959"/>
          <w:sz w:val="22"/>
          <w:szCs w:val="22"/>
        </w:rPr>
        <w:t xml:space="preserve">This illustrative scenario combines subscriptions and running costs over three years to show when the platform covers its costs. It is a sample calculation, not a forecast.</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bookmarkStart w:id="22" w:name="_TocV11_22"/>
      <w:r>
        <w:rPr>
          <w:rFonts w:ascii="Calibri" w:cs="Calibri" w:eastAsia="Calibri" w:hAnsi="Calibri"/>
        </w:rPr>
        <w:t xml:space="preserve">7.3 Value to an individual institution</w:t>
      </w:r>
      <w:bookmarkEnd w:id="22"/>
    </w:p>
    <w:p>
      <w:pPr>
        <w:spacing w:after="300"/>
      </w:pPr>
      <w:r>
        <w:rPr>
          <w:i/>
          <w:rFonts w:ascii="Calibri" w:cs="Calibri" w:eastAsia="Calibri" w:hAnsi="Calibri"/>
          <w:color w:val="595959"/>
          <w:sz w:val="22"/>
          <w:szCs w:val="22"/>
        </w:rPr>
        <w:t xml:space="preserve">Beyond the financial case for Msingi, each institution gains directly. This sub-section lists the main benefits to an institution that adopts CIMS.</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bookmarkStart w:id="23" w:name="_TocV11_23"/>
      <w:r>
        <w:rPr>
          <w:rFonts w:ascii="Calibri" w:cs="Calibri" w:eastAsia="Calibri" w:hAnsi="Calibri"/>
        </w:rPr>
        <w:t xml:space="preserve">8. Institution-Side Budget and Contributions</w:t>
      </w:r>
      <w:bookmarkEnd w:id="23"/>
    </w:p>
    <w:p>
      <w:pPr>
        <w:spacing w:after="300"/>
      </w:pPr>
      <w:r>
        <w:rPr>
          <w:i/>
          <w:rFonts w:ascii="Calibri" w:cs="Calibri" w:eastAsia="Calibri" w:hAnsi="Calibri"/>
          <w:color w:val="595959"/>
          <w:sz w:val="22"/>
          <w:szCs w:val="22"/>
        </w:rPr>
        <w:t xml:space="preserve">Institutions also carry some costs and duties of their own, such as internet connectivity, devices and staff time. This section lists what each institution should plan and budget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bookmarkStart w:id="24" w:name="_TocV11_24"/>
      <w:r>
        <w:rPr>
          <w:rFonts w:ascii="Calibri" w:cs="Calibri" w:eastAsia="Calibri" w:hAnsi="Calibri"/>
        </w:rPr>
        <w:t xml:space="preserve">9. Quality Assurance and Testing</w:t>
      </w:r>
      <w:bookmarkEnd w:id="24"/>
    </w:p>
    <w:p>
      <w:pPr>
        <w:spacing w:after="300"/>
      </w:pPr>
      <w:r>
        <w:rPr>
          <w:i/>
          <w:rFonts w:ascii="Calibri" w:cs="Calibri" w:eastAsia="Calibri" w:hAnsi="Calibri"/>
          <w:color w:val="595959"/>
          <w:sz w:val="22"/>
          <w:szCs w:val="22"/>
        </w:rPr>
        <w:t xml:space="preserve">This section describes how CIMS is tested at every level, from automated checks of each part to acceptance testing by the institution, so that it is accurate and reliable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248 automated backend tests in 72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pPr>
        <w:pStyle w:val="Heading1"/>
      </w:pPr>
      <w:bookmarkStart w:id="25" w:name="_TocV11_25"/>
      <w:r>
        <w:rPr>
          <w:rFonts w:ascii="Calibri" w:cs="Calibri" w:eastAsia="Calibri" w:hAnsi="Calibri"/>
        </w:rPr>
        <w:t xml:space="preserve">10. Training and Change Management</w:t>
      </w:r>
      <w:bookmarkEnd w:id="25"/>
    </w:p>
    <w:p>
      <w:pPr>
        <w:spacing w:after="300"/>
      </w:pPr>
      <w:r>
        <w:rPr>
          <w:i/>
          <w:rFonts w:ascii="Calibri" w:cs="Calibri" w:eastAsia="Calibri" w:hAnsi="Calibri"/>
          <w:color w:val="595959"/>
          <w:sz w:val="22"/>
          <w:szCs w:val="22"/>
        </w:rPr>
        <w:t xml:space="preserve">New systems change how people work. This section sets out the training for each group of users and how the change is managed so that staff adopt the system confidently.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bookmarkStart w:id="26" w:name="_TocV11_26"/>
      <w:r>
        <w:rPr>
          <w:rFonts w:ascii="Calibri" w:cs="Calibri" w:eastAsia="Calibri" w:hAnsi="Calibri"/>
        </w:rPr>
        <w:t xml:space="preserve">11. Support and Service Levels</w:t>
      </w:r>
      <w:bookmarkEnd w:id="26"/>
    </w:p>
    <w:p>
      <w:pPr>
        <w:spacing w:after="300"/>
      </w:pPr>
      <w:r>
        <w:rPr>
          <w:i/>
          <w:rFonts w:ascii="Calibri" w:cs="Calibri" w:eastAsia="Calibri" w:hAnsi="Calibri"/>
          <w:color w:val="595959"/>
          <w:sz w:val="22"/>
          <w:szCs w:val="22"/>
        </w:rPr>
        <w:t xml:space="preserve">This section defines the support institutions receive after go-live: how problems are graded by severity and how quickly each is answered and fixed.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bookmarkStart w:id="27" w:name="_TocV11_27"/>
      <w:r>
        <w:rPr>
          <w:rFonts w:ascii="Calibri" w:cs="Calibri" w:eastAsia="Calibri" w:hAnsi="Calibri"/>
        </w:rPr>
        <w:t xml:space="preserve">12. Risk Register</w:t>
      </w:r>
      <w:bookmarkEnd w:id="27"/>
    </w:p>
    <w:p>
      <w:pPr>
        <w:spacing w:after="300"/>
      </w:pPr>
      <w:r>
        <w:rPr>
          <w:i/>
          <w:rFonts w:ascii="Calibri" w:cs="Calibri" w:eastAsia="Calibri" w:hAnsi="Calibri"/>
          <w:color w:val="595959"/>
          <w:sz w:val="22"/>
          <w:szCs w:val="22"/>
        </w:rPr>
        <w:t xml:space="preserve">The risk register lists the main risks to the project, how likely and how serious each is, and what is done to reduce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pPr>
        <w:pStyle w:val="Heading1"/>
      </w:pPr>
      <w:bookmarkStart w:id="28" w:name="_TocV11_28"/>
      <w:r>
        <w:rPr>
          <w:rFonts w:ascii="Calibri" w:cs="Calibri" w:eastAsia="Calibri" w:hAnsi="Calibri"/>
        </w:rPr>
        <w:t xml:space="preserve">13. Change Control</w:t>
      </w:r>
      <w:bookmarkEnd w:id="28"/>
    </w:p>
    <w:p>
      <w:pPr>
        <w:spacing w:after="300"/>
      </w:pPr>
      <w:r>
        <w:rPr>
          <w:i/>
          <w:rFonts w:ascii="Calibri" w:cs="Calibri" w:eastAsia="Calibri" w:hAnsi="Calibri"/>
          <w:color w:val="595959"/>
          <w:sz w:val="22"/>
          <w:szCs w:val="22"/>
        </w:rPr>
        <w:t xml:space="preserve">Requests to change the agreed scope are inevitable. This section sets out how each change is requested, assessed and approved, so that scope, time and cost stay under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bookmarkStart w:id="29" w:name="_TocV11_29"/>
      <w:r>
        <w:rPr>
          <w:rFonts w:ascii="Calibri" w:cs="Calibri" w:eastAsia="Calibri" w:hAnsi="Calibri"/>
        </w:rPr>
        <w:t xml:space="preserve">14. Next Steps</w:t>
      </w:r>
      <w:bookmarkEnd w:id="29"/>
    </w:p>
    <w:p>
      <w:pPr>
        <w:spacing w:after="300"/>
      </w:pPr>
      <w:r>
        <w:rPr>
          <w:i/>
          <w:rFonts w:ascii="Calibri" w:cs="Calibri" w:eastAsia="Calibri" w:hAnsi="Calibri"/>
          <w:color w:val="595959"/>
          <w:sz w:val="22"/>
          <w:szCs w:val="22"/>
        </w:rPr>
        <w:t xml:space="preserve">This final section lists the decisions and actions needed from stakeholders to move the project forward.</w:t>
      </w:r>
    </w:p>
    <w:p>
      <w:pPr>
        <w:pStyle w:val="ListParagraph"/>
        <w:numPr>
          <w:ilvl w:val="0"/>
          <w:numId w:val="4"/>
        </w:numPr>
        <w:spacing w:after="60" w:line="264"/>
      </w:pPr>
      <w:r>
        <w:rPr>
          <w:rFonts w:ascii="Calibri" w:cs="Calibri" w:eastAsia="Calibri" w:hAnsi="Calibri"/>
        </w:rPr>
        <w:t xml:space="preserve">Approve the version 3.0 document suite (Documents 01–07) as the as-built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Re-baseline the budget against the remaining work in section 3.2 and approve it.</w:t>
      </w:r>
    </w:p>
    <w:p>
      <w:pPr>
        <w:pStyle w:val="ListParagraph"/>
        <w:numPr>
          <w:ilvl w:val="0"/>
          <w:numId w:val="4"/>
        </w:numPr>
        <w:spacing w:after="60" w:line="264"/>
      </w:pPr>
      <w:r>
        <w:rPr>
          <w:rFonts w:ascii="Calibri" w:cs="Calibri" w:eastAsia="Calibri" w:hAnsi="Calibri"/>
        </w:rPr>
        <w:t xml:space="preserve">Submit integration access requests to GePG, NACTVET, NECTA, the SMS aggregator and HESLB.</w:t>
      </w:r>
    </w:p>
    <w:p>
      <w:pPr>
        <w:pStyle w:val="ListParagraph"/>
        <w:numPr>
          <w:ilvl w:val="0"/>
          <w:numId w:val="4"/>
        </w:numPr>
        <w:spacing w:after="60" w:line="264"/>
      </w:pPr>
      <w:r>
        <w:rPr>
          <w:rFonts w:ascii="Calibri" w:cs="Calibri" w:eastAsia="Calibri" w:hAnsi="Calibri"/>
        </w:rPr>
        <w:t xml:space="preserve">Start pilot preparation (hosting, hardening, migration tools and live integrations)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