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488E"/>
          <w:sz w:val="20"/>
          <w:szCs w:val="20"/>
        </w:rPr>
        <w:t xml:space="preserve">TANZANIA INDUSTRIAL RESEARCH AND DEVELOPMENT ORGANIZATION (TIRDO)</w:t>
      </w:r>
    </w:p>
    <w:p>
      <w:pPr>
        <w:spacing w:after="40"/>
      </w:pPr>
      <w:r>
        <w:rPr>
          <w:color w:val="007E93"/>
          <w:sz w:val="20"/>
          <w:szCs w:val="20"/>
        </w:rPr>
        <w:t xml:space="preserve">TIRDO Dynamic Corporate Website &amp; Digital Services Portal</w:t>
      </w:r>
    </w:p>
    <w:p>
      <w:pPr>
        <w:pBdr>
          <w:bottom w:val="single" w:color="007E93" w:sz="12" w:space="6"/>
        </w:pBdr>
        <w:spacing w:after="120"/>
      </w:pPr>
      <w:r>
        <w:rPr>
          <w:b/>
          <w:bCs/>
          <w:color w:val="092A45"/>
          <w:sz w:val="34"/>
          <w:szCs w:val="34"/>
        </w:rPr>
        <w:t xml:space="preserve">Implementation Status &amp; Gap Analysis</w:t>
      </w:r>
    </w:p>
    <w:p>
      <w:pPr>
        <w:spacing w:after="120" w:line="276"/>
      </w:pPr>
      <w:r>
        <w:rPr>
          <w:b/>
          <w:bCs/>
        </w:rPr>
        <w:t xml:space="preserve">Purpose: </w:t>
      </w:r>
      <w:r>
        <w:t xml:space="preserve">A comparison of the current implementation against the approved specification set, with prioritized recommendations to reach a production-ready, e-GA-compliant Phase I release.</w:t>
      </w:r>
    </w:p>
    <w:p>
      <w:pPr>
        <w:spacing w:after="120" w:line="276"/>
      </w:pPr>
      <w:r>
        <w:rPr>
          <w:i/>
          <w:iCs/>
          <w:color w:val="6B7280"/>
        </w:rPr>
        <w:t xml:space="preserve">Prepared by ICTT · Version 1.0 · September 2026</w:t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1. Executive summary</w:t>
      </w:r>
    </w:p>
    <w:p>
      <w:pPr>
        <w:spacing w:after="120" w:line="276"/>
      </w:pPr>
      <w:r>
        <w:t xml:space="preserve">A working technical foundation for the platform has been built and is running end-to-end on a local Docker environment. The full specified stack is stood up and integrated: a responsive Next.js + TypeScript public website, a headless CMS (Strapi), PostgreSQL, Keycloak identity, MinIO object storage, OpenSearch, an Nginx reverse proxy, and a self-hosted Matomo analytics platform — all on GitHub with the beginnings of CI/CD. The public corporate website (Home, About/Governance/Management, Organization Structure, Departments, Services, News, Events, Gallery, Publications, Documents, COMSATS, T-Hub, Contact) is populated with real TIRDO content and imagery, staff sign-in runs through Keycloak, the contact form delivers email, and a first-party, ad-blocker-resistant analytics layer with a public BI dashboard is live.</w:t>
      </w:r>
    </w:p>
    <w:p>
      <w:pPr>
        <w:spacing w:after="120" w:line="276"/>
      </w:pPr>
      <w:r>
        <w:t xml:space="preserve">In specification terms, this represents a strong first slice of the corporate-website and CMS scope plus most of the platform architecture — but it is a foundation, not yet a complete Phase I. The larger specialized modules (Technology &amp; Innovation catalogue, Laboratory Services and the LIMS gateway, Consultancy, Training, Researcher directory and the structured Research repository) are not yet built; and several cross-cutting 'Must have' requirements — bilingual English/Kiswahili, editorial approval workflow, global search, audit logging, security hardening (WAF, admin MFA, rate limiting, VAPT), automated backups and disaster recovery, formal testing/UAT, production hosting, and the documentation set — remain outstanding. The sections below map each requirement to its current status and set out a prioritized route to a compliant production launch.</w:t>
      </w:r>
    </w:p>
    <w:p>
      <w:pPr>
        <w:spacing w:after="120" w:line="276"/>
      </w:pPr>
      <w:r>
        <w:rPr>
          <w:b/>
          <w:bCs/>
        </w:rPr>
        <w:t xml:space="preserve">Status legend: </w:t>
      </w:r>
      <w:r>
        <w:t xml:space="preserve"> Done </w:t>
      </w:r>
      <w:r>
        <w:t xml:space="preserve">= built and working;  </w:t>
      </w:r>
      <w:r>
        <w:t xml:space="preserve">Partial </w:t>
      </w:r>
      <w:r>
        <w:t xml:space="preserve">= foundation present, work remaining;  </w:t>
      </w:r>
      <w:r>
        <w:t xml:space="preserve">Not started </w:t>
      </w:r>
      <w:r>
        <w:t xml:space="preserve">= specified but not yet implemented.</w:t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2. Basis of comparison</w:t>
      </w:r>
    </w:p>
    <w:p>
      <w:pPr>
        <w:spacing w:after="120" w:line="276"/>
      </w:pPr>
      <w:r>
        <w:t xml:space="preserve">This analysis compares the running implementation against the 14 approved project documents: the Project Concept Note; Final Project Proposal; Business &amp; Functional Requirements Specification (BFRS); Information Architecture &amp; Detailed Sitemap; UI/UX Design Specification; Technical Architecture Specification; Database &amp; Content-Model Specification; API &amp; Integration Architecture Specification; Security Architecture &amp; Cybersecurity Specification; Hosting Infrastructure &amp; DevOps Architecture Specification; e-GA Government ICT Compliance &amp; Governance Specification; Testing, QA &amp; UAT Plan; Deployment, Backup, DR &amp; Business Continuity Plan; and the Cost Estimate / BoQ / Five-Year TCO.</w:t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3. Functional modules — status</w:t>
      </w:r>
    </w:p>
    <w:p>
      <w:pPr>
        <w:spacing w:after="120" w:line="276"/>
      </w:pPr>
      <w:r>
        <w:t xml:space="preserve">Mapped to the BFRS functional requirement (FR-*) groups and the Information Architecture.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DCE3EA" w:sz="2"/>
          <w:insideV w:val="single" w:color="DCE3EA" w:sz="2"/>
        </w:tblBorders>
      </w:tblPr>
      <w:tblGrid>
        <w:gridCol w:w="3050"/>
        <w:gridCol w:w="1350"/>
        <w:gridCol w:w="4960"/>
      </w:tblGrid>
      <w:tr>
        <w:trPr>
          <w:tblHeader/>
        </w:trPr>
        <w:tc>
          <w:tcPr>
            <w:tcW w:type="dxa" w:w="305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 / capability (spec ref)</w:t>
            </w:r>
          </w:p>
        </w:tc>
        <w:tc>
          <w:tcPr>
            <w:tcW w:type="dxa" w:w="135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exists / what remains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Corporate website &amp; navigation (FR-WEB, IA)</w:t>
            </w:r>
          </w:p>
        </w:tc>
        <w:tc>
          <w:tcPr>
            <w:tcW w:type="dxa" w:w="1350"/>
            <w:shd w:fill="D7EB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Dynamic home page, sticky mega-menu, breadcrumbs, footer, fully responsive (Next.js + TypeScript, Tailwind).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About TIRDO (FR-ABOUT)</w:t>
            </w:r>
          </w:p>
        </w:tc>
        <w:tc>
          <w:tcPr>
            <w:tcW w:type="dxa" w:w="1350"/>
            <w:shd w:fill="D7EB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Mandate, vision/mission, governance, Board &amp; Management profiles (portrait org-tree), organization structure, directorates/departments, supporting units, COMSATS.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Contact &amp; enquiry management (FR-CONTACT)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Contact form stores messages and emails a recipient; unique reference numbers, status lifecycle (Received→Closed) and per-unit routing to be formalized.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Content Management System (FR-CMS)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Strapi headless CMS with several content types, roles and email lifecycle. Editorial approval workflow (draft→review→approve), revision history, scheduling and review dates still to be configured to spec.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Analytics &amp; dashboards (FR-ANA)</w:t>
            </w:r>
          </w:p>
        </w:tc>
        <w:tc>
          <w:tcPr>
            <w:tcW w:type="dxa" w:w="1350"/>
            <w:shd w:fill="D7EBD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Matomo installed and first-party (ad-blocker-resistant) via Nginx; footer visitor counter and a public BI dashboard (Today/Month/Total, trend, top pages, countries, devices, sources).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News &amp; Events (FR-NEWS, FR-EVT)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News and Events pages are live; calendar view, press releases and richer event records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Media gallery (FR-MEDIA)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Photo gallery in place; video gallery and press releases pending; systematic image optimization to confirm.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Publications repository (FR-PUB)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Publications listing with downloadable PDFs; full metadata (abstract, authors, DOI, keywords, citation), faceted search and view/download tracking still needed.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Research &amp; Development (FR-RD)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Basic projects exist; structured research-project records, research areas and filter/search (area, year, status, directorate, funder) not yet built.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Projects (FR-PRJ)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Ongoing projects shown; completed/planned states and rich cross-links (funders, outputs, technologies)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Downloads / Resources (FR-DOC)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Documents page live; structured metadata (category, version, file type/size) to complete.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Online Services gateway (FR-OS)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e-Services area with Keycloak sign-in; no service integrations wired yet.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Authentication &amp; accounts (FR-AUTH)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Keycloak SSO for staff and e-Services (PKCE). Public self-registration + email verification and MFA for privileged users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Global search (FR-SRCH)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OpenSearch provisioned and a search page exists; end-to-end indexing across all content types with relevance, filters and suggestions to complete.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Notifications (FR-NOT)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Contact-form email only; approval/registration/review-reminder notifications and optional SMS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APIs (FR-API)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Strapi REST/GraphQL available; versioned public API (/api/v1/...), OpenAPI/Swagger docs, gateway pattern, API auth and rate limiting to implement.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Researcher / Expert directory (FR-EXP)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researcher profiles or search by specialization.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Technology &amp; Innovation catalogue (FR-TECH)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technology catalogue (readiness level, IP/commercialization status, sector filters, transfer enquiries with officer routing).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Laboratory Services (FR-LAB)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laboratory directory, service catalogue, equipment/accreditation, service-request or LIMS gateway — a core specified module.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Consultancy (FR-CON)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consultancy enquiry with reference numbers or staff management view.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Training (FR-TRN)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training programmes or interest/registration.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Careers / Vacancies (FR-CAR)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Structured vacancy records with auto-archive on closing date not yet built (link/stub only).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Tenders / Procurement notices (FR-TEN)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Structured tender records with auto-archive not yet built (link/stub only).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Audit trails (FR-AUD)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tamper-evident audit log of administrative actions.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External integrations — LIMS / SMS / gov shared services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Only email; LIMS gateway, SMS and government shared-service integrations pending.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4. Non-functional &amp; cross-cutting requirements — status</w:t>
      </w:r>
    </w:p>
    <w:p>
      <w:pPr>
        <w:spacing w:after="120" w:line="276"/>
      </w:pPr>
      <w:r>
        <w:t xml:space="preserve">Mapped to the BFRS non-functional requirements (NFR-*) and the specialized architecture, security, hosting, testing and DR documents.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DCE3EA" w:sz="2"/>
          <w:insideV w:val="single" w:color="DCE3EA" w:sz="2"/>
        </w:tblBorders>
      </w:tblPr>
      <w:tblGrid>
        <w:gridCol w:w="3050"/>
        <w:gridCol w:w="1350"/>
        <w:gridCol w:w="4960"/>
      </w:tblGrid>
      <w:tr>
        <w:trPr>
          <w:tblHeader/>
        </w:trPr>
        <w:tc>
          <w:tcPr>
            <w:tcW w:type="dxa" w:w="305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 (spec ref)</w:t>
            </w:r>
          </w:p>
        </w:tc>
        <w:tc>
          <w:tcPr>
            <w:tcW w:type="dxa" w:w="135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exists / what remains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Bilingual — English &amp; Kiswahili (FR-LANG)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Site is English-only. i18n (Strapi i18n + Next.js locale routing) and translated content required — a MoSCoW 'Must have'.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Security controls (NFR-SEC, Security Spec)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HTTPS-ready Nginx, Keycloak RBAC, secrets kept out of Git; missing WAF, security-header policy, admin MFA, rate limiting, input-validation review, upload malware scanning, and a pre-launch VAPT.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Privacy &amp; data protection (NFR-PRIV)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Minimal data collected; purpose notices, retention periods and a data-protection review still needed.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Accessibility — WCAG (NFR-ACC)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Semantic HTML, alt text and keyboard-navigable menu; a formal WCAG 2.1 AA audit (automated + manual) and remediation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Performance (NFR-PERF)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SSR/static rendering and local assets; caching/optimization, load testing and agreed targets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Availability &amp; monitoring (NFR-AVL)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high availability, health monitoring or alerting.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Backups (NFR-BKP)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automated backups (DB, CMS, uploads, config) or tested restores.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Disaster recovery &amp; business continuity (NFR-DR)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Documented in the plan but not implemented; RTO/RPO undefined; no off-site copies.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Environments — dev / test / staging / prod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Local Docker (development) only; QA, staging/UAT and production environments to be stood up.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Production hosting (Hosting/DevOps Spec)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Runs on a local Windows Docker host; approved government hosting, load balancer, real TLS certificate and DNS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SEO (NFR-SEO)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Readable URLs, per-page metadata and favicon; XML sitemap, robots.txt, structured data, canonical and social metadata to complete.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CI/CD &amp; source control (NFR-SCM, CI/CD)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 repository and branching in use; full build/test/lint/security-scan/deploy pipeline to complete.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Testing &amp; UAT (Testing/QA Plan)</w:t>
            </w:r>
          </w:p>
        </w:tc>
        <w:tc>
          <w:tcPr>
            <w:tcW w:type="dxa" w:w="1350"/>
            <w:shd w:fill="EC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formal unit/integration/functional/accessibility/security/UAT testing or requirements-traceability matrix yet.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Documentation deliverables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14 specification documents exist; admin &amp; user manuals, deployment/security/backup guides, API docs and test/UAT reports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Content migration &amp; governance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Real TIRDO content and media migrated for built sections; full migration, assigned content owners and review schedules pending.</w:t>
            </w:r>
          </w:p>
        </w:tc>
      </w:tr>
      <w:tr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e-GA compliance &amp; governance</w:t>
            </w:r>
          </w:p>
        </w:tc>
        <w:tc>
          <w:tcPr>
            <w:tcW w:type="dxa" w:w="1350"/>
            <w:shd w:fill="FCEF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92A45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Governance structure documented; audit trail, interoperability/integration register, traceability and standards conformance to complete.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7488E"/>
        </w:rPr>
        <w:t xml:space="preserve">5. Technology stack alignment</w:t>
      </w:r>
    </w:p>
    <w:p>
      <w:pPr>
        <w:spacing w:after="120" w:line="276"/>
      </w:pPr>
      <w:r>
        <w:t xml:space="preserve">The implemented stack matches the specified baseline closely. The two deviations are the CMS (Strapi in place of the baseline Directus) and the absence, so far, of a separate NestJS backend-services layer. Both are defensible — the BFRS states technology selection remains subject to architecture review — but the CMS choice should be recorded as a governance-approved variation.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DCE3EA" w:sz="2"/>
          <w:insideV w:val="single" w:color="DCE3EA" w:sz="2"/>
        </w:tblBorders>
      </w:tblPr>
      <w:tblGrid>
        <w:gridCol w:w="1900"/>
        <w:gridCol w:w="2500"/>
        <w:gridCol w:w="2500"/>
        <w:gridCol w:w="2460"/>
      </w:tblGrid>
      <w:tr>
        <w:trPr>
          <w:tblHeader/>
        </w:trPr>
        <w:tc>
          <w:tcPr>
            <w:tcW w:type="dxa" w:w="190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 baseline</w:t>
            </w:r>
          </w:p>
        </w:tc>
        <w:tc>
          <w:tcPr>
            <w:tcW w:type="dxa" w:w="250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2460"/>
            <w:shd w:fill="1748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Next.js + TypeScript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Next.js 14 + TypeScript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UI / styling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Tailwind + shadcn-style components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CMS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Directus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Strapi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Variation — both are headless CMS; record a governance-approved deviation from the baseline.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NestJS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Next.js API routes / Strapi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No separate NestJS service yet; add when transactional logic / API-gateway needs arise.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Keycloak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Keycloak 26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MinIO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MinIO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Search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OpenSearch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OpenSearch 2.x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Provisioned; content indexing/search UX to complete.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Nginx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Nginx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 (also fronts first-party analytics).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Containers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Docker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Aligned; orchestration (Swarm/Kubernetes) for HA in production later.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Analytics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Matomo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Matomo 5 (self-hosted)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 and operational.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Aligned.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92A45"/>
                <w:sz w:val="19"/>
                <w:szCs w:val="19"/>
              </w:rPr>
              <w:t xml:space="preserve">CI/CD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 Actions (partial)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Pipeline to complete.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6. Key gaps &amp; risks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Bilingual delivery is absent. </w:t>
      </w:r>
      <w:r>
        <w:t xml:space="preserve">English/Kiswahili is a 'Must have'; retrofitting i18n after more content is authored is more costly than doing it now.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Production readiness (security, hosting, backups, DR) is not yet in place. </w:t>
      </w:r>
      <w:r>
        <w:t xml:space="preserve">The specifications mandate a WAF, admin MFA, security headers, rate limiting, a pre-launch VAPT, automated backups with tested restores, and a documented DR/BC posture with defined RTO/RPO — none of which can be skipped for a government platform.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Core service modules are outstanding. </w:t>
      </w:r>
      <w:r>
        <w:t xml:space="preserve">Technology catalogue, Laboratory Services + LIMS gateway, Consultancy, Training and the Researcher/Research repository are central to the platform's purpose (industrial visibility and service discovery) and remain to be built.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Governance evidence is thin. </w:t>
      </w:r>
      <w:r>
        <w:t xml:space="preserve">Audit logging, a requirements-traceability matrix, an integration register, and formal testing/UAT records are required for e-GA acceptance and are not yet produced.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The content model is narrower than specified. </w:t>
      </w:r>
      <w:r>
        <w:t xml:space="preserve">The CMS currently holds a handful of content types; the Database &amp; Content-Model spec defines ~20 entity domains (with translation tables), so the model must be extended before those modules can be populated.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Single environment. </w:t>
      </w:r>
      <w:r>
        <w:t xml:space="preserve">Everything runs on one local Docker host; the spec requires separate development, staging/UAT and production environments.</w:t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7. Recommendations — roadmap to a compliant Phase I</w:t>
      </w:r>
    </w:p>
    <w:p>
      <w:pPr>
        <w:pStyle w:val="Heading2"/>
        <w:spacing w:after="90" w:before="200"/>
      </w:pPr>
      <w:r>
        <w:rPr>
          <w:b/>
          <w:bCs/>
          <w:color w:val="007E93"/>
        </w:rPr>
        <w:t xml:space="preserve">7.1 Must-have before production launch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Stand up staging and production environments on approved government/institutional hosting; configure DNS, a real TLS certificate and HTTPS end-to-end.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Harden security to the Security Specification: security headers, rate limiting and a WAF (e.g. Nginx/ModSecurity or an edge WAF); enable MFA for Keycloak admin/privileged accounts; formalize secrets management and upload validation/malware scanning; then commission an independent vulnerability assessment and penetration test (VAPT) before go-live.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Implement automated backups (PostgreSQL, CMS data, MinIO uploads, configuration) with off-site copies and a tested restore; document the DR/BC plan with agreed RTO/RPO.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Add bilingual English/Kiswahili (Strapi i18n + Next.js locale routing, language switch, translation fallbacks) — do this before large-scale content authoring.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Configure the editorial workflow and content roles (Contributor → Editor → Approver → Publisher) with revision history, scheduling and review dates; add a tamper-evident audit log of administrative actions.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Complete global search: index all content types in OpenSearch and finish the search UI (relevance, filters, suggestions).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Finish the core content model in the CMS (research areas &amp; structured projects with filters, publications metadata, structured vacancies &amp; tenders with auto-archive, taxonomies) and migrate the remaining real content with assigned content owners.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Add SEO essentials: generated XML sitemap, robots.txt, canonical tags, structured data and social metadata.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Run a WCAG 2.1 AA accessibility audit and remediate; add accessibility to the test suite.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Execute the Testing/QA plan (unit, integration, functional, performance/load, security, accessibility) and conduct UAT with business representatives; maintain the requirements-traceability matrix and produce Test &amp; UAT reports.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Complete the CI/CD pipeline (build, lint, tests, security scan, container build, deploy to environments) and produce the required documentation set (admin &amp; user manuals, deployment guide, security-configuration guide, backup/recovery guide, API documentation).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Record the Strapi-for-Directus variation (and the deferred NestJS layer) as a governance-approved architecture decision.</w:t>
      </w:r>
    </w:p>
    <w:p>
      <w:pPr>
        <w:pStyle w:val="Heading2"/>
        <w:spacing w:after="90" w:before="200"/>
      </w:pPr>
      <w:r>
        <w:rPr>
          <w:b/>
          <w:bCs/>
          <w:color w:val="007E93"/>
        </w:rPr>
        <w:t xml:space="preserve">7.2 Should-have (next increment)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Technology &amp; Innovation catalogue with readiness/IP status, sector filters and transfer-enquiry routing to responsible officers.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Laboratory Services module (laboratory profiles, service catalogue, equipment/accreditation, service request) and the LIMS gateway — service discovery, client login entry point, request initiation, status and report-access via controlled APIs (LIMS keeps the operational processing).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Consultancy and Training modules with enquiry/registration, reference numbers and notifications.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Researcher/Expert directory linked to publications, projects and technologies.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Versioned public API (/api/v1/…) with OpenAPI/Swagger documentation and API authentication + rate limiting.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Notification service beyond the contact form (approvals, registrations, review reminders; optional SMS).</w:t>
      </w:r>
    </w:p>
    <w:p>
      <w:pPr>
        <w:pStyle w:val="Heading2"/>
        <w:spacing w:after="90" w:before="200"/>
      </w:pPr>
      <w:r>
        <w:rPr>
          <w:b/>
          <w:bCs/>
          <w:color w:val="007E93"/>
        </w:rPr>
        <w:t xml:space="preserve">7.3 Future phases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Full LIMS integration and other institutional systems (HR, Finance) via the API layer; government shared-services integration where applicable.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Online quotations/payments, registered-user dashboards, e-learning, digital certificates, and AI-assisted search/chatbot — each subject to separate requirements, security review and approval, as the specifications note.</w:t>
      </w:r>
    </w:p>
    <w:p>
      <w:pPr>
        <w:pStyle w:val="Heading1"/>
        <w:spacing w:after="120" w:before="260"/>
      </w:pPr>
      <w:r>
        <w:rPr>
          <w:b/>
          <w:bCs/>
          <w:color w:val="17488E"/>
        </w:rPr>
        <w:t xml:space="preserve">8. Immediate next steps</w:t>
      </w:r>
    </w:p>
    <w:p>
      <w:pPr>
        <w:spacing w:after="120" w:line="276"/>
      </w:pPr>
      <w:r>
        <w:t xml:space="preserve">A pragmatic near-term sequence that turns the current foundation into a launch candidate: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Agree and record the scope of Phase I production (which modules ship first) and the hosting decision (hosted VM vs. institutional data centre) with ICTT/governance.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Provision staging + production, DNS, TLS; get HTTPS and the existing site live on a real domain.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Land the four highest-risk 'Must haves' in parallel: bilingual, security hardening + VAPT booking, automated backups + DR, and the editorial workflow + audit log.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Extend the content model and finish global search, then migrate remaining content with owners.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Run the formal test cycle + UAT, close critical defects, complete documentation, and obtain UAT sign-off for go-live.</w:t>
      </w:r>
    </w:p>
    <w:p>
      <w:pPr>
        <w:spacing w:after="120" w:line="276"/>
      </w:pPr>
      <w:r>
        <w:rPr>
          <w:b/>
          <w:bCs/>
        </w:rPr>
        <w:t xml:space="preserve">Bottom line: </w:t>
      </w:r>
      <w:r>
        <w:t xml:space="preserve">the architecture and the public website are off to a strong, standards-aligned start — roughly the corporate-website/CMS/analytics/identity slice of Phase I. The path to acceptance now runs through production hardening (security, hosting, backups/DR), bilingual delivery, the remaining service modules, and the governance/testing/documentation evidence the e-GA framework requires.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— TIRDO ICTT — confidential working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6B7280"/>
        <w:sz w:val="16"/>
        <w:szCs w:val="16"/>
      </w:rPr>
      <w:t xml:space="preserve">TIRDO Website — Implementation Status &amp;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TIRDO Website — Implementation Status &amp; Gap Analysis</dc:title>
  <dc:creator>TIRDO ICTT</dc:creator>
  <cp:lastModifiedBy>Un-named</cp:lastModifiedBy>
  <cp:revision>1</cp:revision>
  <dcterms:created xsi:type="dcterms:W3CDTF">2026-09-06T10:57:30.337Z</dcterms:created>
  <dcterms:modified xsi:type="dcterms:W3CDTF">2026-09-06T10:57:30.337Z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