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17488E"/>
          <w:sz w:val="72"/>
          <w:szCs w:val="72"/>
        </w:rPr>
        <w:t xml:space="preserve">TIRDO</w:t>
      </w:r>
    </w:p>
    <w:p>
      <w:pPr>
        <w:spacing w:after="60"/>
        <w:jc w:val="center"/>
      </w:pPr>
      <w:r>
        <w:rPr>
          <w:b/>
          <w:bCs/>
          <w:color w:val="007E93"/>
          <w:sz w:val="22"/>
          <w:szCs w:val="22"/>
        </w:rPr>
        <w:t xml:space="preserve">Tanzania Industrial Research and Development Organization</w:t>
      </w:r>
    </w:p>
    <w:p>
      <w:pPr>
        <w:spacing w:before="500"/>
        <w:jc w:val="center"/>
      </w:pPr>
      <w:r>
        <w:rPr>
          <w:b/>
          <w:bCs/>
          <w:color w:val="1F2937"/>
          <w:sz w:val="46"/>
          <w:szCs w:val="46"/>
        </w:rPr>
        <w:t xml:space="preserve">Website Comprehensive User Manual</w:t>
      </w:r>
    </w:p>
    <w:p>
      <w:pPr>
        <w:spacing w:before="120"/>
        <w:jc w:val="center"/>
      </w:pPr>
      <w:r>
        <w:rPr>
          <w:color w:val="4B5563"/>
          <w:sz w:val="26"/>
          <w:szCs w:val="26"/>
        </w:rPr>
        <w:t xml:space="preserve">Public Website &amp; Content Administration Guide</w:t>
      </w:r>
    </w:p>
    <w:p>
      <w:pPr>
        <w:pBdr>
          <w:bottom w:val="single" w:color="F2C500" w:sz="24" w:space="12"/>
        </w:pBdr>
        <w:spacing w:after="360" w:before="360"/>
        <w:jc w:val="center"/>
      </w:pPr>
      <w:r>
        <w:rPr>
          <w:sz w:val="2"/>
          <w:szCs w:val="2"/>
        </w:rPr>
        <w:t xml:space="preserve"/>
      </w:r>
    </w:p>
    <w:p>
      <w:pPr>
        <w:jc w:val="center"/>
      </w:pPr>
      <w:r>
        <w:rPr>
          <w:color w:val="1F2937"/>
          <w:sz w:val="22"/>
          <w:szCs w:val="22"/>
        </w:rPr>
        <w:t xml:space="preserve">Version 1.1  ·  October 2026</w:t>
      </w:r>
    </w:p>
    <w:p>
      <w:pPr>
        <w:spacing w:before="40"/>
        <w:jc w:val="center"/>
      </w:pPr>
      <w:r>
        <w:rPr>
          <w:color w:val="4B5563"/>
          <w:sz w:val="20"/>
          <w:szCs w:val="20"/>
        </w:rPr>
        <w:t xml:space="preserve">For public website visitors and content administrators</w:t>
      </w:r>
    </w:p>
    <w:p>
      <w:r>
        <w:br w:type="page"/>
      </w:r>
    </w:p>
    <w:p>
      <w:pPr>
        <w:sectPr>
          <w:pgSz w:w="12240" w:h="15840" w:orient="portrait"/>
          <w:pgMar w:top="1440" w:right="1440" w:bottom="1440" w:left="1440" w:header="708" w:footer="708" w:gutter="0"/>
          <w:pgNumType/>
          <w:docGrid w:linePitch="360"/>
        </w:sectPr>
      </w:pPr>
    </w:p>
    <w:p>
      <w:pPr>
        <w:pStyle w:val="Heading1"/>
      </w:pPr>
      <w:r>
        <w:t xml:space="preserve">Contents</w:t>
      </w:r>
    </w:p>
    <w:p>
      <w:pPr>
        <w:pBdr>
          <w:left w:val="single" w:color="F2C500" w:sz="18" w:space="14"/>
        </w:pBdr>
        <w:spacing w:after="200" w:before="60"/>
        <w:ind w:left="240"/>
      </w:pPr>
      <w:r>
        <w:rPr>
          <w:i/>
          <w:iCs/>
          <w:color w:val="4B5563"/>
          <w:sz w:val="22"/>
          <w:szCs w:val="22"/>
        </w:rPr>
        <w:t xml:space="preserve">This manual is in four parts: an introduction, a guide for people using the public website, a guide for staff who administer content, and a reference section. Use the contents below to jump to a topic; in Word, press Ctrl+Click on an entry, or update the field (right-click → Update Field) if page numbers look stale.</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I — About This Manual</w:t>
      </w:r>
    </w:p>
    <w:p>
      <w:pPr>
        <w:pBdr>
          <w:left w:val="single" w:color="F2C500" w:sz="18" w:space="14"/>
        </w:pBdr>
        <w:spacing w:after="200" w:before="60"/>
        <w:ind w:left="240"/>
      </w:pPr>
      <w:r>
        <w:rPr>
          <w:i/>
          <w:iCs/>
          <w:color w:val="4B5563"/>
          <w:sz w:val="22"/>
          <w:szCs w:val="22"/>
        </w:rPr>
        <w:t xml:space="preserve">This opening part explains what the manual covers, who it is for, and the conventions used throughout so that every later section reads the same way. Read it once before you use the rest of the manual.</w:t>
      </w:r>
    </w:p>
    <w:p>
      <w:pPr>
        <w:pStyle w:val="Heading2"/>
      </w:pPr>
      <w:r>
        <w:t xml:space="preserve">Purpose</w:t>
      </w:r>
    </w:p>
    <w:p>
      <w:pPr>
        <w:pBdr>
          <w:left w:val="single" w:color="F2C500" w:sz="18" w:space="14"/>
        </w:pBdr>
        <w:spacing w:after="200" w:before="60"/>
        <w:ind w:left="240"/>
      </w:pPr>
      <w:r>
        <w:rPr>
          <w:i/>
          <w:iCs/>
          <w:color w:val="4B5563"/>
          <w:sz w:val="22"/>
          <w:szCs w:val="22"/>
        </w:rPr>
        <w:t xml:space="preserve">This section states what the document is for and what you should be able to do after using it.</w:t>
      </w:r>
    </w:p>
    <w:p>
      <w:pPr>
        <w:spacing w:after="140"/>
      </w:pPr>
      <w:r>
        <w:rPr>
          <w:color w:val="1F2937"/>
          <w:sz w:val="22"/>
          <w:szCs w:val="22"/>
        </w:rPr>
        <w:t xml:space="preserve">This manual explains how to use the TIRDO website — both the public site that anyone can visit and the content-management system (CMS) that TIRDO staff use to keep the site up to date. It is written so that a first-time visitor and a new staff editor can each find what they need without prior training. The screenshots throughout are taken from the live TIRDO site.</w:t>
      </w:r>
    </w:p>
    <w:p>
      <w:pPr>
        <w:pStyle w:val="Heading2"/>
      </w:pPr>
      <w:r>
        <w:t xml:space="preserve">Who this manual is for</w:t>
      </w:r>
    </w:p>
    <w:p>
      <w:pPr>
        <w:pBdr>
          <w:left w:val="single" w:color="F2C500" w:sz="18" w:space="14"/>
        </w:pBdr>
        <w:spacing w:after="200" w:before="60"/>
        <w:ind w:left="240"/>
      </w:pPr>
      <w:r>
        <w:rPr>
          <w:i/>
          <w:iCs/>
          <w:color w:val="4B5563"/>
          <w:sz w:val="22"/>
          <w:szCs w:val="22"/>
        </w:rPr>
        <w:t xml:space="preserve">This section describes the two audiences the manual serves and how the document is organised around them.</w:t>
      </w:r>
    </w:p>
    <w:p>
      <w:pPr>
        <w:spacing w:after="140"/>
      </w:pPr>
      <w:r>
        <w:rPr>
          <w:color w:val="1F2937"/>
          <w:sz w:val="22"/>
          <w:szCs w:val="22"/>
        </w:rPr>
        <w:t xml:space="preserve">The manual serves two audiences in one document:</w:t>
      </w:r>
    </w:p>
    <w:p>
      <w:pPr>
        <w:pStyle w:val="ListParagraph"/>
        <w:numPr>
          <w:ilvl w:val="0"/>
          <w:numId w:val="1"/>
        </w:numPr>
        <w:spacing w:after="60"/>
      </w:pPr>
      <w:r>
        <w:rPr>
          <w:b/>
          <w:bCs/>
          <w:color w:val="1F2937"/>
          <w:sz w:val="22"/>
          <w:szCs w:val="22"/>
        </w:rPr>
        <w:t xml:space="preserve">Public website visitors</w:t>
      </w:r>
      <w:r>
        <w:rPr>
          <w:color w:val="1F2937"/>
          <w:sz w:val="22"/>
          <w:szCs w:val="22"/>
        </w:rPr>
        <w:t xml:space="preserve"> — citizens, industry, researchers, students and partners who browse TIRDO's information and services. Part II is for you.</w:t>
      </w:r>
    </w:p>
    <w:p>
      <w:pPr>
        <w:pStyle w:val="ListParagraph"/>
        <w:numPr>
          <w:ilvl w:val="0"/>
          <w:numId w:val="1"/>
        </w:numPr>
        <w:spacing w:after="60"/>
      </w:pPr>
      <w:r>
        <w:rPr>
          <w:b/>
          <w:bCs/>
          <w:color w:val="1F2937"/>
          <w:sz w:val="22"/>
          <w:szCs w:val="22"/>
        </w:rPr>
        <w:t xml:space="preserve">Content administrators</w:t>
      </w:r>
      <w:r>
        <w:rPr>
          <w:color w:val="1F2937"/>
          <w:sz w:val="22"/>
          <w:szCs w:val="22"/>
        </w:rPr>
        <w:t xml:space="preserve"> — TIRDO staff who sign in to the CMS to publish news, manage services and handle enquiries. Part III is for you.</w:t>
      </w:r>
    </w:p>
    <w:p>
      <w:pPr>
        <w:spacing w:after="140"/>
      </w:pPr>
      <w:r>
        <w:rPr>
          <w:color w:val="1F2937"/>
          <w:sz w:val="22"/>
          <w:szCs w:val="22"/>
        </w:rPr>
        <w:t xml:space="preserve">Part IV is a shared reference (quick links, glossary, troubleshooting and support contacts) useful to both audiences.</w:t>
      </w:r>
    </w:p>
    <w:p>
      <w:pPr>
        <w:pStyle w:val="Heading2"/>
      </w:pPr>
      <w:r>
        <w:t xml:space="preserve">How to use this manual</w:t>
      </w:r>
    </w:p>
    <w:p>
      <w:pPr>
        <w:pBdr>
          <w:left w:val="single" w:color="F2C500" w:sz="18" w:space="14"/>
        </w:pBdr>
        <w:spacing w:after="200" w:before="60"/>
        <w:ind w:left="240"/>
      </w:pPr>
      <w:r>
        <w:rPr>
          <w:i/>
          <w:iCs/>
          <w:color w:val="4B5563"/>
          <w:sz w:val="22"/>
          <w:szCs w:val="22"/>
        </w:rPr>
        <w:t xml:space="preserve">This section tells you how to navigate the document and get to the right instructions quickly.</w:t>
      </w:r>
    </w:p>
    <w:p>
      <w:pPr>
        <w:spacing w:after="140"/>
      </w:pPr>
      <w:r>
        <w:rPr>
          <w:color w:val="1F2937"/>
          <w:sz w:val="22"/>
          <w:szCs w:val="22"/>
        </w:rPr>
        <w:t xml:space="preserve">Each section opens with a short preamble — the indented, italic paragraph marked with a gold bar — that tells you what the section covers before the detailed steps. Skim the preambles to locate what you need, then follow the numbered steps. Use the Contents page to jump directly to a topic.</w:t>
      </w:r>
    </w:p>
    <w:p>
      <w:pPr>
        <w:pStyle w:val="Heading2"/>
      </w:pPr>
      <w:r>
        <w:t xml:space="preserve">Conventions used</w:t>
      </w:r>
    </w:p>
    <w:p>
      <w:pPr>
        <w:pBdr>
          <w:left w:val="single" w:color="F2C500" w:sz="18" w:space="14"/>
        </w:pBdr>
        <w:spacing w:after="200" w:before="60"/>
        <w:ind w:left="240"/>
      </w:pPr>
      <w:r>
        <w:rPr>
          <w:i/>
          <w:iCs/>
          <w:color w:val="4B5563"/>
          <w:sz w:val="22"/>
          <w:szCs w:val="22"/>
        </w:rPr>
        <w:t xml:space="preserve">This section defines the visual cues and wording used consistently across the manual.</w:t>
      </w:r>
    </w:p>
    <w:p>
      <w:pPr>
        <w:pStyle w:val="ListParagraph"/>
        <w:numPr>
          <w:ilvl w:val="0"/>
          <w:numId w:val="1"/>
        </w:numPr>
        <w:spacing w:after="60"/>
      </w:pPr>
      <w:r>
        <w:rPr>
          <w:b/>
          <w:bCs/>
          <w:color w:val="1F2937"/>
          <w:sz w:val="22"/>
          <w:szCs w:val="22"/>
        </w:rPr>
        <w:t xml:space="preserve">Preamble</w:t>
      </w:r>
      <w:r>
        <w:rPr>
          <w:color w:val="1F2937"/>
          <w:sz w:val="22"/>
          <w:szCs w:val="22"/>
        </w:rPr>
        <w:t xml:space="preserve"> — an italic, gold-barred paragraph introducing each section.</w:t>
      </w:r>
    </w:p>
    <w:p>
      <w:pPr>
        <w:pStyle w:val="ListParagraph"/>
        <w:numPr>
          <w:ilvl w:val="0"/>
          <w:numId w:val="1"/>
        </w:numPr>
        <w:spacing w:after="60"/>
      </w:pPr>
      <w:r>
        <w:rPr>
          <w:b/>
          <w:bCs/>
          <w:color w:val="1F2937"/>
          <w:sz w:val="22"/>
          <w:szCs w:val="22"/>
        </w:rPr>
        <w:t xml:space="preserve">Bold</w:t>
      </w:r>
      <w:r>
        <w:rPr>
          <w:color w:val="1F2937"/>
          <w:sz w:val="22"/>
          <w:szCs w:val="22"/>
        </w:rPr>
        <w:t xml:space="preserve"> — on-screen labels, buttons and menu names, e.g. Publish.</w:t>
      </w:r>
    </w:p>
    <w:p>
      <w:pPr>
        <w:pStyle w:val="ListParagraph"/>
        <w:numPr>
          <w:ilvl w:val="0"/>
          <w:numId w:val="1"/>
        </w:numPr>
        <w:spacing w:after="60"/>
      </w:pPr>
      <w:r>
        <w:rPr>
          <w:b/>
          <w:bCs/>
          <w:color w:val="1F2937"/>
          <w:sz w:val="22"/>
          <w:szCs w:val="22"/>
        </w:rPr>
        <w:t xml:space="preserve">Paths</w:t>
      </w:r>
      <w:r>
        <w:rPr>
          <w:color w:val="1F2937"/>
          <w:sz w:val="22"/>
          <w:szCs w:val="22"/>
        </w:rPr>
        <w:t xml:space="preserve"> — page addresses are shown after the site domain, e.g. /technology means https://www.tirdo.or.tz/technology.</w:t>
      </w:r>
    </w:p>
    <w:p>
      <w:pPr>
        <w:pStyle w:val="ListParagraph"/>
        <w:numPr>
          <w:ilvl w:val="0"/>
          <w:numId w:val="1"/>
        </w:numPr>
        <w:spacing w:after="60"/>
      </w:pPr>
      <w:r>
        <w:rPr>
          <w:b/>
          <w:bCs/>
          <w:color w:val="1F2937"/>
          <w:sz w:val="22"/>
          <w:szCs w:val="22"/>
        </w:rPr>
        <w:t xml:space="preserve">Figures</w:t>
      </w:r>
      <w:r>
        <w:rPr>
          <w:color w:val="1F2937"/>
          <w:sz w:val="22"/>
          <w:szCs w:val="22"/>
        </w:rPr>
        <w:t xml:space="preserve"> — numbered screenshots of the live site illustrate key screens.</w:t>
      </w:r>
    </w:p>
    <w:p>
      <w:pPr>
        <w:pStyle w:val="ListParagraph"/>
        <w:numPr>
          <w:ilvl w:val="0"/>
          <w:numId w:val="1"/>
        </w:numPr>
        <w:spacing w:after="60"/>
      </w:pPr>
      <w:r>
        <w:rPr>
          <w:b/>
          <w:bCs/>
          <w:color w:val="1F2937"/>
          <w:sz w:val="22"/>
          <w:szCs w:val="22"/>
        </w:rPr>
        <w:t xml:space="preserve">Numbered steps</w:t>
      </w:r>
      <w:r>
        <w:rPr>
          <w:color w:val="1F2937"/>
          <w:sz w:val="22"/>
          <w:szCs w:val="22"/>
        </w:rPr>
        <w:t xml:space="preserve"> — an ordered procedure to follow in sequence.</w:t>
      </w:r>
    </w:p>
    <w:p>
      <w:pPr>
        <w:pStyle w:val="Heading2"/>
      </w:pPr>
      <w:r>
        <w:t xml:space="preserve">Quick reference: public pages</w:t>
      </w:r>
    </w:p>
    <w:p>
      <w:pPr>
        <w:pBdr>
          <w:left w:val="single" w:color="F2C500" w:sz="18" w:space="14"/>
        </w:pBdr>
        <w:spacing w:after="200" w:before="60"/>
        <w:ind w:left="240"/>
      </w:pPr>
      <w:r>
        <w:rPr>
          <w:i/>
          <w:iCs/>
          <w:color w:val="4B5563"/>
          <w:sz w:val="22"/>
          <w:szCs w:val="22"/>
        </w:rPr>
        <w:t xml:space="preserve">This section is a map of the whole public site so you can go straight to any page by its address.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000"/>
      </w:tblGrid>
      <w:tr>
        <w:trPr>
          <w:tblHeader/>
        </w:trPr>
        <w:tc>
          <w:tcPr>
            <w:tcW w:type="dxa" w:w="1900"/>
            <w:shd w:fill="17488E" w:val="clear"/>
            <w:tcMar>
              <w:top w:type="dxa" w:w="60"/>
              <w:left w:type="dxa" w:w="110"/>
              <w:bottom w:type="dxa" w:w="60"/>
              <w:right w:type="dxa" w:w="110"/>
            </w:tcMar>
          </w:tcPr>
          <w:p>
            <w:r>
              <w:rPr>
                <w:b/>
                <w:bCs/>
                <w:color w:val="FFFFFF"/>
                <w:sz w:val="20"/>
                <w:szCs w:val="20"/>
              </w:rPr>
              <w:t xml:space="preserve">Page</w:t>
            </w:r>
          </w:p>
        </w:tc>
        <w:tc>
          <w:tcPr>
            <w:tcW w:type="dxa" w:w="1900"/>
            <w:shd w:fill="17488E" w:val="clear"/>
            <w:tcMar>
              <w:top w:type="dxa" w:w="60"/>
              <w:left w:type="dxa" w:w="110"/>
              <w:bottom w:type="dxa" w:w="60"/>
              <w:right w:type="dxa" w:w="110"/>
            </w:tcMar>
          </w:tcPr>
          <w:p>
            <w:r>
              <w:rPr>
                <w:b/>
                <w:bCs/>
                <w:color w:val="FFFFFF"/>
                <w:sz w:val="20"/>
                <w:szCs w:val="20"/>
              </w:rPr>
              <w:t xml:space="preserve">Address</w:t>
            </w:r>
          </w:p>
        </w:tc>
        <w:tc>
          <w:tcPr>
            <w:tcW w:type="dxa" w:w="5000"/>
            <w:shd w:fill="17488E" w:val="clear"/>
            <w:tcMar>
              <w:top w:type="dxa" w:w="60"/>
              <w:left w:type="dxa" w:w="110"/>
              <w:bottom w:type="dxa" w:w="60"/>
              <w:right w:type="dxa" w:w="110"/>
            </w:tcMar>
          </w:tcPr>
          <w:p>
            <w:r>
              <w:rPr>
                <w:b/>
                <w:bCs/>
                <w:color w:val="FFFFFF"/>
                <w:sz w:val="20"/>
                <w:szCs w:val="20"/>
              </w:rPr>
              <w:t xml:space="preserve">What you'll find</w:t>
            </w:r>
          </w:p>
        </w:tc>
      </w:tr>
      <w:tr>
        <w:tc>
          <w:tcPr>
            <w:tcW w:type="dxa" w:w="1900"/>
            <w:tcMar>
              <w:top w:type="dxa" w:w="60"/>
              <w:left w:type="dxa" w:w="110"/>
              <w:bottom w:type="dxa" w:w="60"/>
              <w:right w:type="dxa" w:w="110"/>
            </w:tcMar>
          </w:tcPr>
          <w:p>
            <w:r>
              <w:rPr>
                <w:b w:val="false"/>
                <w:bCs w:val="false"/>
                <w:color w:val="1F2937"/>
                <w:sz w:val="20"/>
                <w:szCs w:val="20"/>
              </w:rPr>
              <w:t xml:space="preserve">Home</w:t>
            </w:r>
          </w:p>
        </w:tc>
        <w:tc>
          <w:tcPr>
            <w:tcW w:type="dxa" w:w="1900"/>
            <w:tcMar>
              <w:top w:type="dxa" w:w="60"/>
              <w:left w:type="dxa" w:w="110"/>
              <w:bottom w:type="dxa" w:w="60"/>
              <w:right w:type="dxa" w:w="110"/>
            </w:tcMar>
          </w:tcPr>
          <w:p>
            <w:r>
              <w:rPr>
                <w:b w:val="false"/>
                <w:bCs w:val="false"/>
                <w:color w:val="1F2937"/>
                <w:sz w:val="20"/>
                <w:szCs w:val="20"/>
              </w:rPr>
              <w:t xml:space="preserve">/</w:t>
            </w:r>
          </w:p>
        </w:tc>
        <w:tc>
          <w:tcPr>
            <w:tcW w:type="dxa" w:w="5000"/>
            <w:tcMar>
              <w:top w:type="dxa" w:w="60"/>
              <w:left w:type="dxa" w:w="110"/>
              <w:bottom w:type="dxa" w:w="60"/>
              <w:right w:type="dxa" w:w="110"/>
            </w:tcMar>
          </w:tcPr>
          <w:p>
            <w:r>
              <w:rPr>
                <w:b w:val="false"/>
                <w:bCs w:val="false"/>
                <w:color w:val="1F2937"/>
                <w:sz w:val="20"/>
                <w:szCs w:val="20"/>
              </w:rPr>
              <w:t xml:space="preserve">Highlights, quick links, latest news and key statistics</w:t>
            </w:r>
          </w:p>
        </w:tc>
      </w:tr>
      <w:tr>
        <w:tc>
          <w:tcPr>
            <w:tcW w:type="dxa" w:w="1900"/>
            <w:tcMar>
              <w:top w:type="dxa" w:w="60"/>
              <w:left w:type="dxa" w:w="110"/>
              <w:bottom w:type="dxa" w:w="60"/>
              <w:right w:type="dxa" w:w="110"/>
            </w:tcMar>
          </w:tcPr>
          <w:p>
            <w:r>
              <w:rPr>
                <w:b w:val="false"/>
                <w:bCs w:val="false"/>
                <w:color w:val="1F2937"/>
                <w:sz w:val="20"/>
                <w:szCs w:val="20"/>
              </w:rPr>
              <w:t xml:space="preserve">About Us</w:t>
            </w:r>
          </w:p>
        </w:tc>
        <w:tc>
          <w:tcPr>
            <w:tcW w:type="dxa" w:w="1900"/>
            <w:tcMar>
              <w:top w:type="dxa" w:w="60"/>
              <w:left w:type="dxa" w:w="110"/>
              <w:bottom w:type="dxa" w:w="60"/>
              <w:right w:type="dxa" w:w="110"/>
            </w:tcMar>
          </w:tcPr>
          <w:p>
            <w:r>
              <w:rPr>
                <w:b w:val="false"/>
                <w:bCs w:val="false"/>
                <w:color w:val="1F2937"/>
                <w:sz w:val="20"/>
                <w:szCs w:val="20"/>
              </w:rPr>
              <w:t xml:space="preserve">/about</w:t>
            </w:r>
          </w:p>
        </w:tc>
        <w:tc>
          <w:tcPr>
            <w:tcW w:type="dxa" w:w="5000"/>
            <w:tcMar>
              <w:top w:type="dxa" w:w="60"/>
              <w:left w:type="dxa" w:w="110"/>
              <w:bottom w:type="dxa" w:w="60"/>
              <w:right w:type="dxa" w:w="110"/>
            </w:tcMar>
          </w:tcPr>
          <w:p>
            <w:r>
              <w:rPr>
                <w:b w:val="false"/>
                <w:bCs w:val="false"/>
                <w:color w:val="1F2937"/>
                <w:sz w:val="20"/>
                <w:szCs w:val="20"/>
              </w:rPr>
              <w:t xml:space="preserve">Mandate, vision, structure, board, administration, COMSATS</w:t>
            </w:r>
          </w:p>
        </w:tc>
      </w:tr>
      <w:tr>
        <w:tc>
          <w:tcPr>
            <w:tcW w:type="dxa" w:w="1900"/>
            <w:tcMar>
              <w:top w:type="dxa" w:w="60"/>
              <w:left w:type="dxa" w:w="110"/>
              <w:bottom w:type="dxa" w:w="60"/>
              <w:right w:type="dxa" w:w="110"/>
            </w:tcMar>
          </w:tcPr>
          <w:p>
            <w:r>
              <w:rPr>
                <w:b w:val="false"/>
                <w:bCs w:val="false"/>
                <w:color w:val="1F2937"/>
                <w:sz w:val="20"/>
                <w:szCs w:val="20"/>
              </w:rPr>
              <w:t xml:space="preserve">Departments</w:t>
            </w:r>
          </w:p>
        </w:tc>
        <w:tc>
          <w:tcPr>
            <w:tcW w:type="dxa" w:w="1900"/>
            <w:tcMar>
              <w:top w:type="dxa" w:w="60"/>
              <w:left w:type="dxa" w:w="110"/>
              <w:bottom w:type="dxa" w:w="60"/>
              <w:right w:type="dxa" w:w="110"/>
            </w:tcMar>
          </w:tcPr>
          <w:p>
            <w:r>
              <w:rPr>
                <w:b w:val="false"/>
                <w:bCs w:val="false"/>
                <w:color w:val="1F2937"/>
                <w:sz w:val="20"/>
                <w:szCs w:val="20"/>
              </w:rPr>
              <w:t xml:space="preserve">/departments</w:t>
            </w:r>
          </w:p>
        </w:tc>
        <w:tc>
          <w:tcPr>
            <w:tcW w:type="dxa" w:w="5000"/>
            <w:tcMar>
              <w:top w:type="dxa" w:w="60"/>
              <w:left w:type="dxa" w:w="110"/>
              <w:bottom w:type="dxa" w:w="60"/>
              <w:right w:type="dxa" w:w="110"/>
            </w:tcMar>
          </w:tcPr>
          <w:p>
            <w:r>
              <w:rPr>
                <w:b w:val="false"/>
                <w:bCs w:val="false"/>
                <w:color w:val="1F2937"/>
                <w:sz w:val="20"/>
                <w:szCs w:val="20"/>
              </w:rPr>
              <w:t xml:space="preserve">Research, engineering and technology divisions</w:t>
            </w:r>
          </w:p>
        </w:tc>
      </w:tr>
      <w:tr>
        <w:tc>
          <w:tcPr>
            <w:tcW w:type="dxa" w:w="1900"/>
            <w:tcMar>
              <w:top w:type="dxa" w:w="60"/>
              <w:left w:type="dxa" w:w="110"/>
              <w:bottom w:type="dxa" w:w="60"/>
              <w:right w:type="dxa" w:w="110"/>
            </w:tcMar>
          </w:tcPr>
          <w:p>
            <w:r>
              <w:rPr>
                <w:b w:val="false"/>
                <w:bCs w:val="false"/>
                <w:color w:val="1F2937"/>
                <w:sz w:val="20"/>
                <w:szCs w:val="20"/>
              </w:rPr>
              <w:t xml:space="preserve">Services</w:t>
            </w:r>
          </w:p>
        </w:tc>
        <w:tc>
          <w:tcPr>
            <w:tcW w:type="dxa" w:w="1900"/>
            <w:tcMar>
              <w:top w:type="dxa" w:w="60"/>
              <w:left w:type="dxa" w:w="110"/>
              <w:bottom w:type="dxa" w:w="60"/>
              <w:right w:type="dxa" w:w="110"/>
            </w:tcMar>
          </w:tcPr>
          <w:p>
            <w:r>
              <w:rPr>
                <w:b w:val="false"/>
                <w:bCs w:val="false"/>
                <w:color w:val="1F2937"/>
                <w:sz w:val="20"/>
                <w:szCs w:val="20"/>
              </w:rPr>
              <w:t xml:space="preserve">/services</w:t>
            </w:r>
          </w:p>
        </w:tc>
        <w:tc>
          <w:tcPr>
            <w:tcW w:type="dxa" w:w="5000"/>
            <w:tcMar>
              <w:top w:type="dxa" w:w="60"/>
              <w:left w:type="dxa" w:w="110"/>
              <w:bottom w:type="dxa" w:w="60"/>
              <w:right w:type="dxa" w:w="110"/>
            </w:tcMar>
          </w:tcPr>
          <w:p>
            <w:r>
              <w:rPr>
                <w:b w:val="false"/>
                <w:bCs w:val="false"/>
                <w:color w:val="1F2937"/>
                <w:sz w:val="20"/>
                <w:szCs w:val="20"/>
              </w:rPr>
              <w:t xml:space="preserve">The catalogue of TIRDO services</w:t>
            </w:r>
          </w:p>
        </w:tc>
      </w:tr>
      <w:tr>
        <w:tc>
          <w:tcPr>
            <w:tcW w:type="dxa" w:w="1900"/>
            <w:tcMar>
              <w:top w:type="dxa" w:w="60"/>
              <w:left w:type="dxa" w:w="110"/>
              <w:bottom w:type="dxa" w:w="60"/>
              <w:right w:type="dxa" w:w="110"/>
            </w:tcMar>
          </w:tcPr>
          <w:p>
            <w:r>
              <w:rPr>
                <w:b w:val="false"/>
                <w:bCs w:val="false"/>
                <w:color w:val="1F2937"/>
                <w:sz w:val="20"/>
                <w:szCs w:val="20"/>
              </w:rPr>
              <w:t xml:space="preserve">Technology Catalogue</w:t>
            </w:r>
          </w:p>
        </w:tc>
        <w:tc>
          <w:tcPr>
            <w:tcW w:type="dxa" w:w="1900"/>
            <w:tcMar>
              <w:top w:type="dxa" w:w="60"/>
              <w:left w:type="dxa" w:w="110"/>
              <w:bottom w:type="dxa" w:w="60"/>
              <w:right w:type="dxa" w:w="110"/>
            </w:tcMar>
          </w:tcPr>
          <w:p>
            <w:r>
              <w:rPr>
                <w:b w:val="false"/>
                <w:bCs w:val="false"/>
                <w:color w:val="1F2937"/>
                <w:sz w:val="20"/>
                <w:szCs w:val="20"/>
              </w:rPr>
              <w:t xml:space="preserve">/technology</w:t>
            </w:r>
          </w:p>
        </w:tc>
        <w:tc>
          <w:tcPr>
            <w:tcW w:type="dxa" w:w="5000"/>
            <w:tcMar>
              <w:top w:type="dxa" w:w="60"/>
              <w:left w:type="dxa" w:w="110"/>
              <w:bottom w:type="dxa" w:w="60"/>
              <w:right w:type="dxa" w:w="110"/>
            </w:tcMar>
          </w:tcPr>
          <w:p>
            <w:r>
              <w:rPr>
                <w:b w:val="false"/>
                <w:bCs w:val="false"/>
                <w:color w:val="1F2937"/>
                <w:sz w:val="20"/>
                <w:szCs w:val="20"/>
              </w:rPr>
              <w:t xml:space="preserve">Proven technologies available for transfer</w:t>
            </w:r>
          </w:p>
        </w:tc>
      </w:tr>
      <w:tr>
        <w:tc>
          <w:tcPr>
            <w:tcW w:type="dxa" w:w="1900"/>
            <w:tcMar>
              <w:top w:type="dxa" w:w="60"/>
              <w:left w:type="dxa" w:w="110"/>
              <w:bottom w:type="dxa" w:w="60"/>
              <w:right w:type="dxa" w:w="110"/>
            </w:tcMar>
          </w:tcPr>
          <w:p>
            <w:r>
              <w:rPr>
                <w:b w:val="false"/>
                <w:bCs w:val="false"/>
                <w:color w:val="1F2937"/>
                <w:sz w:val="20"/>
                <w:szCs w:val="20"/>
              </w:rPr>
              <w:t xml:space="preserve">Laboratory Services</w:t>
            </w:r>
          </w:p>
        </w:tc>
        <w:tc>
          <w:tcPr>
            <w:tcW w:type="dxa" w:w="1900"/>
            <w:tcMar>
              <w:top w:type="dxa" w:w="60"/>
              <w:left w:type="dxa" w:w="110"/>
              <w:bottom w:type="dxa" w:w="60"/>
              <w:right w:type="dxa" w:w="110"/>
            </w:tcMar>
          </w:tcPr>
          <w:p>
            <w:r>
              <w:rPr>
                <w:b w:val="false"/>
                <w:bCs w:val="false"/>
                <w:color w:val="1F2937"/>
                <w:sz w:val="20"/>
                <w:szCs w:val="20"/>
              </w:rPr>
              <w:t xml:space="preserve">/laboratory</w:t>
            </w:r>
          </w:p>
        </w:tc>
        <w:tc>
          <w:tcPr>
            <w:tcW w:type="dxa" w:w="5000"/>
            <w:tcMar>
              <w:top w:type="dxa" w:w="60"/>
              <w:left w:type="dxa" w:w="110"/>
              <w:bottom w:type="dxa" w:w="60"/>
              <w:right w:type="dxa" w:w="110"/>
            </w:tcMar>
          </w:tcPr>
          <w:p>
            <w:r>
              <w:rPr>
                <w:b w:val="false"/>
                <w:bCs w:val="false"/>
                <w:color w:val="1F2937"/>
                <w:sz w:val="20"/>
                <w:szCs w:val="20"/>
              </w:rPr>
              <w:t xml:space="preserve">Accredited testing and the NILIMS gateway</w:t>
            </w:r>
          </w:p>
        </w:tc>
      </w:tr>
      <w:tr>
        <w:tc>
          <w:tcPr>
            <w:tcW w:type="dxa" w:w="1900"/>
            <w:tcMar>
              <w:top w:type="dxa" w:w="60"/>
              <w:left w:type="dxa" w:w="110"/>
              <w:bottom w:type="dxa" w:w="60"/>
              <w:right w:type="dxa" w:w="110"/>
            </w:tcMar>
          </w:tcPr>
          <w:p>
            <w:r>
              <w:rPr>
                <w:b w:val="false"/>
                <w:bCs w:val="false"/>
                <w:color w:val="1F2937"/>
                <w:sz w:val="20"/>
                <w:szCs w:val="20"/>
              </w:rPr>
              <w:t xml:space="preserve">Consultancy &amp; Advisory</w:t>
            </w:r>
          </w:p>
        </w:tc>
        <w:tc>
          <w:tcPr>
            <w:tcW w:type="dxa" w:w="1900"/>
            <w:tcMar>
              <w:top w:type="dxa" w:w="60"/>
              <w:left w:type="dxa" w:w="110"/>
              <w:bottom w:type="dxa" w:w="60"/>
              <w:right w:type="dxa" w:w="110"/>
            </w:tcMar>
          </w:tcPr>
          <w:p>
            <w:r>
              <w:rPr>
                <w:b w:val="false"/>
                <w:bCs w:val="false"/>
                <w:color w:val="1F2937"/>
                <w:sz w:val="20"/>
                <w:szCs w:val="20"/>
              </w:rPr>
              <w:t xml:space="preserve">/consultancy</w:t>
            </w:r>
          </w:p>
        </w:tc>
        <w:tc>
          <w:tcPr>
            <w:tcW w:type="dxa" w:w="5000"/>
            <w:tcMar>
              <w:top w:type="dxa" w:w="60"/>
              <w:left w:type="dxa" w:w="110"/>
              <w:bottom w:type="dxa" w:w="60"/>
              <w:right w:type="dxa" w:w="110"/>
            </w:tcMar>
          </w:tcPr>
          <w:p>
            <w:r>
              <w:rPr>
                <w:b w:val="false"/>
                <w:bCs w:val="false"/>
                <w:color w:val="1F2937"/>
                <w:sz w:val="20"/>
                <w:szCs w:val="20"/>
              </w:rPr>
              <w:t xml:space="preserve">Technical consultancy and the CIAP gateway</w:t>
            </w:r>
          </w:p>
        </w:tc>
      </w:tr>
      <w:tr>
        <w:tc>
          <w:tcPr>
            <w:tcW w:type="dxa" w:w="1900"/>
            <w:tcMar>
              <w:top w:type="dxa" w:w="60"/>
              <w:left w:type="dxa" w:w="110"/>
              <w:bottom w:type="dxa" w:w="60"/>
              <w:right w:type="dxa" w:w="110"/>
            </w:tcMar>
          </w:tcPr>
          <w:p>
            <w:r>
              <w:rPr>
                <w:b w:val="false"/>
                <w:bCs w:val="false"/>
                <w:color w:val="1F2937"/>
                <w:sz w:val="20"/>
                <w:szCs w:val="20"/>
              </w:rPr>
              <w:t xml:space="preserve">Training</w:t>
            </w:r>
          </w:p>
        </w:tc>
        <w:tc>
          <w:tcPr>
            <w:tcW w:type="dxa" w:w="1900"/>
            <w:tcMar>
              <w:top w:type="dxa" w:w="60"/>
              <w:left w:type="dxa" w:w="110"/>
              <w:bottom w:type="dxa" w:w="60"/>
              <w:right w:type="dxa" w:w="110"/>
            </w:tcMar>
          </w:tcPr>
          <w:p>
            <w:r>
              <w:rPr>
                <w:b w:val="false"/>
                <w:bCs w:val="false"/>
                <w:color w:val="1F2937"/>
                <w:sz w:val="20"/>
                <w:szCs w:val="20"/>
              </w:rPr>
              <w:t xml:space="preserve">/training</w:t>
            </w:r>
          </w:p>
        </w:tc>
        <w:tc>
          <w:tcPr>
            <w:tcW w:type="dxa" w:w="5000"/>
            <w:tcMar>
              <w:top w:type="dxa" w:w="60"/>
              <w:left w:type="dxa" w:w="110"/>
              <w:bottom w:type="dxa" w:w="60"/>
              <w:right w:type="dxa" w:w="110"/>
            </w:tcMar>
          </w:tcPr>
          <w:p>
            <w:r>
              <w:rPr>
                <w:b w:val="false"/>
                <w:bCs w:val="false"/>
                <w:color w:val="1F2937"/>
                <w:sz w:val="20"/>
                <w:szCs w:val="20"/>
              </w:rPr>
              <w:t xml:space="preserve">Short courses and the TeLTP gateway</w:t>
            </w:r>
          </w:p>
        </w:tc>
      </w:tr>
      <w:tr>
        <w:tc>
          <w:tcPr>
            <w:tcW w:type="dxa" w:w="1900"/>
            <w:tcMar>
              <w:top w:type="dxa" w:w="60"/>
              <w:left w:type="dxa" w:w="110"/>
              <w:bottom w:type="dxa" w:w="60"/>
              <w:right w:type="dxa" w:w="110"/>
            </w:tcMar>
          </w:tcPr>
          <w:p>
            <w:r>
              <w:rPr>
                <w:b w:val="false"/>
                <w:bCs w:val="false"/>
                <w:color w:val="1F2937"/>
                <w:sz w:val="20"/>
                <w:szCs w:val="20"/>
              </w:rPr>
              <w:t xml:space="preserve">Research &amp; Projects</w:t>
            </w:r>
          </w:p>
        </w:tc>
        <w:tc>
          <w:tcPr>
            <w:tcW w:type="dxa" w:w="1900"/>
            <w:tcMar>
              <w:top w:type="dxa" w:w="60"/>
              <w:left w:type="dxa" w:w="110"/>
              <w:bottom w:type="dxa" w:w="60"/>
              <w:right w:type="dxa" w:w="110"/>
            </w:tcMar>
          </w:tcPr>
          <w:p>
            <w:r>
              <w:rPr>
                <w:b w:val="false"/>
                <w:bCs w:val="false"/>
                <w:color w:val="1F2937"/>
                <w:sz w:val="20"/>
                <w:szCs w:val="20"/>
              </w:rPr>
              <w:t xml:space="preserve">/projects</w:t>
            </w:r>
          </w:p>
        </w:tc>
        <w:tc>
          <w:tcPr>
            <w:tcW w:type="dxa" w:w="5000"/>
            <w:tcMar>
              <w:top w:type="dxa" w:w="60"/>
              <w:left w:type="dxa" w:w="110"/>
              <w:bottom w:type="dxa" w:w="60"/>
              <w:right w:type="dxa" w:w="110"/>
            </w:tcMar>
          </w:tcPr>
          <w:p>
            <w:r>
              <w:rPr>
                <w:b w:val="false"/>
                <w:bCs w:val="false"/>
                <w:color w:val="1F2937"/>
                <w:sz w:val="20"/>
                <w:szCs w:val="20"/>
              </w:rPr>
              <w:t xml:space="preserve">Ongoing and featured research</w:t>
            </w:r>
          </w:p>
        </w:tc>
      </w:tr>
      <w:tr>
        <w:tc>
          <w:tcPr>
            <w:tcW w:type="dxa" w:w="1900"/>
            <w:tcMar>
              <w:top w:type="dxa" w:w="60"/>
              <w:left w:type="dxa" w:w="110"/>
              <w:bottom w:type="dxa" w:w="60"/>
              <w:right w:type="dxa" w:w="110"/>
            </w:tcMar>
          </w:tcPr>
          <w:p>
            <w:r>
              <w:rPr>
                <w:b w:val="false"/>
                <w:bCs w:val="false"/>
                <w:color w:val="1F2937"/>
                <w:sz w:val="20"/>
                <w:szCs w:val="20"/>
              </w:rPr>
              <w:t xml:space="preserve">Publications</w:t>
            </w:r>
          </w:p>
        </w:tc>
        <w:tc>
          <w:tcPr>
            <w:tcW w:type="dxa" w:w="1900"/>
            <w:tcMar>
              <w:top w:type="dxa" w:w="60"/>
              <w:left w:type="dxa" w:w="110"/>
              <w:bottom w:type="dxa" w:w="60"/>
              <w:right w:type="dxa" w:w="110"/>
            </w:tcMar>
          </w:tcPr>
          <w:p>
            <w:r>
              <w:rPr>
                <w:b w:val="false"/>
                <w:bCs w:val="false"/>
                <w:color w:val="1F2937"/>
                <w:sz w:val="20"/>
                <w:szCs w:val="20"/>
              </w:rPr>
              <w:t xml:space="preserve">/publications</w:t>
            </w:r>
          </w:p>
        </w:tc>
        <w:tc>
          <w:tcPr>
            <w:tcW w:type="dxa" w:w="5000"/>
            <w:tcMar>
              <w:top w:type="dxa" w:w="60"/>
              <w:left w:type="dxa" w:w="110"/>
              <w:bottom w:type="dxa" w:w="60"/>
              <w:right w:type="dxa" w:w="110"/>
            </w:tcMar>
          </w:tcPr>
          <w:p>
            <w:r>
              <w:rPr>
                <w:b w:val="false"/>
                <w:bCs w:val="false"/>
                <w:color w:val="1F2937"/>
                <w:sz w:val="20"/>
                <w:szCs w:val="20"/>
              </w:rPr>
              <w:t xml:space="preserve">Reports, papers and downloads</w:t>
            </w:r>
          </w:p>
        </w:tc>
      </w:tr>
      <w:tr>
        <w:tc>
          <w:tcPr>
            <w:tcW w:type="dxa" w:w="1900"/>
            <w:tcMar>
              <w:top w:type="dxa" w:w="60"/>
              <w:left w:type="dxa" w:w="110"/>
              <w:bottom w:type="dxa" w:w="60"/>
              <w:right w:type="dxa" w:w="110"/>
            </w:tcMar>
          </w:tcPr>
          <w:p>
            <w:r>
              <w:rPr>
                <w:b w:val="false"/>
                <w:bCs w:val="false"/>
                <w:color w:val="1F2937"/>
                <w:sz w:val="20"/>
                <w:szCs w:val="20"/>
              </w:rPr>
              <w:t xml:space="preserve">News / Events / Gallery / Documents</w:t>
            </w:r>
          </w:p>
        </w:tc>
        <w:tc>
          <w:tcPr>
            <w:tcW w:type="dxa" w:w="1900"/>
            <w:tcMar>
              <w:top w:type="dxa" w:w="60"/>
              <w:left w:type="dxa" w:w="110"/>
              <w:bottom w:type="dxa" w:w="60"/>
              <w:right w:type="dxa" w:w="110"/>
            </w:tcMar>
          </w:tcPr>
          <w:p>
            <w:r>
              <w:rPr>
                <w:b w:val="false"/>
                <w:bCs w:val="false"/>
                <w:color w:val="1F2937"/>
                <w:sz w:val="20"/>
                <w:szCs w:val="20"/>
              </w:rPr>
              <w:t xml:space="preserve">/news …</w:t>
            </w:r>
          </w:p>
        </w:tc>
        <w:tc>
          <w:tcPr>
            <w:tcW w:type="dxa" w:w="5000"/>
            <w:tcMar>
              <w:top w:type="dxa" w:w="60"/>
              <w:left w:type="dxa" w:w="110"/>
              <w:bottom w:type="dxa" w:w="60"/>
              <w:right w:type="dxa" w:w="110"/>
            </w:tcMar>
          </w:tcPr>
          <w:p>
            <w:r>
              <w:rPr>
                <w:b w:val="false"/>
                <w:bCs w:val="false"/>
                <w:color w:val="1F2937"/>
                <w:sz w:val="20"/>
                <w:szCs w:val="20"/>
              </w:rPr>
              <w:t xml:space="preserve">The Media Centre</w:t>
            </w:r>
          </w:p>
        </w:tc>
      </w:tr>
      <w:tr>
        <w:tc>
          <w:tcPr>
            <w:tcW w:type="dxa" w:w="1900"/>
            <w:tcMar>
              <w:top w:type="dxa" w:w="60"/>
              <w:left w:type="dxa" w:w="110"/>
              <w:bottom w:type="dxa" w:w="60"/>
              <w:right w:type="dxa" w:w="110"/>
            </w:tcMar>
          </w:tcPr>
          <w:p>
            <w:r>
              <w:rPr>
                <w:b w:val="false"/>
                <w:bCs w:val="false"/>
                <w:color w:val="1F2937"/>
                <w:sz w:val="20"/>
                <w:szCs w:val="20"/>
              </w:rPr>
              <w:t xml:space="preserve">Careers</w:t>
            </w:r>
          </w:p>
        </w:tc>
        <w:tc>
          <w:tcPr>
            <w:tcW w:type="dxa" w:w="1900"/>
            <w:tcMar>
              <w:top w:type="dxa" w:w="60"/>
              <w:left w:type="dxa" w:w="110"/>
              <w:bottom w:type="dxa" w:w="60"/>
              <w:right w:type="dxa" w:w="110"/>
            </w:tcMar>
          </w:tcPr>
          <w:p>
            <w:r>
              <w:rPr>
                <w:b w:val="false"/>
                <w:bCs w:val="false"/>
                <w:color w:val="1F2937"/>
                <w:sz w:val="20"/>
                <w:szCs w:val="20"/>
              </w:rPr>
              <w:t xml:space="preserve">/careers</w:t>
            </w:r>
          </w:p>
        </w:tc>
        <w:tc>
          <w:tcPr>
            <w:tcW w:type="dxa" w:w="5000"/>
            <w:tcMar>
              <w:top w:type="dxa" w:w="60"/>
              <w:left w:type="dxa" w:w="110"/>
              <w:bottom w:type="dxa" w:w="60"/>
              <w:right w:type="dxa" w:w="110"/>
            </w:tcMar>
          </w:tcPr>
          <w:p>
            <w:r>
              <w:rPr>
                <w:b w:val="false"/>
                <w:bCs w:val="false"/>
                <w:color w:val="1F2937"/>
                <w:sz w:val="20"/>
                <w:szCs w:val="20"/>
              </w:rPr>
              <w:t xml:space="preserve">Job vacancies</w:t>
            </w:r>
          </w:p>
        </w:tc>
      </w:tr>
      <w:tr>
        <w:tc>
          <w:tcPr>
            <w:tcW w:type="dxa" w:w="1900"/>
            <w:tcMar>
              <w:top w:type="dxa" w:w="60"/>
              <w:left w:type="dxa" w:w="110"/>
              <w:bottom w:type="dxa" w:w="60"/>
              <w:right w:type="dxa" w:w="110"/>
            </w:tcMar>
          </w:tcPr>
          <w:p>
            <w:r>
              <w:rPr>
                <w:b w:val="false"/>
                <w:bCs w:val="false"/>
                <w:color w:val="1F2937"/>
                <w:sz w:val="20"/>
                <w:szCs w:val="20"/>
              </w:rPr>
              <w:t xml:space="preserve">Tenders</w:t>
            </w:r>
          </w:p>
        </w:tc>
        <w:tc>
          <w:tcPr>
            <w:tcW w:type="dxa" w:w="1900"/>
            <w:tcMar>
              <w:top w:type="dxa" w:w="60"/>
              <w:left w:type="dxa" w:w="110"/>
              <w:bottom w:type="dxa" w:w="60"/>
              <w:right w:type="dxa" w:w="110"/>
            </w:tcMar>
          </w:tcPr>
          <w:p>
            <w:r>
              <w:rPr>
                <w:b w:val="false"/>
                <w:bCs w:val="false"/>
                <w:color w:val="1F2937"/>
                <w:sz w:val="20"/>
                <w:szCs w:val="20"/>
              </w:rPr>
              <w:t xml:space="preserve">/tenders</w:t>
            </w:r>
          </w:p>
        </w:tc>
        <w:tc>
          <w:tcPr>
            <w:tcW w:type="dxa" w:w="5000"/>
            <w:tcMar>
              <w:top w:type="dxa" w:w="60"/>
              <w:left w:type="dxa" w:w="110"/>
              <w:bottom w:type="dxa" w:w="60"/>
              <w:right w:type="dxa" w:w="110"/>
            </w:tcMar>
          </w:tcPr>
          <w:p>
            <w:r>
              <w:rPr>
                <w:b w:val="false"/>
                <w:bCs w:val="false"/>
                <w:color w:val="1F2937"/>
                <w:sz w:val="20"/>
                <w:szCs w:val="20"/>
              </w:rPr>
              <w:t xml:space="preserve">Procurement notices</w:t>
            </w:r>
          </w:p>
        </w:tc>
      </w:tr>
      <w:tr>
        <w:tc>
          <w:tcPr>
            <w:tcW w:type="dxa" w:w="1900"/>
            <w:tcMar>
              <w:top w:type="dxa" w:w="60"/>
              <w:left w:type="dxa" w:w="110"/>
              <w:bottom w:type="dxa" w:w="60"/>
              <w:right w:type="dxa" w:w="110"/>
            </w:tcMar>
          </w:tcPr>
          <w:p>
            <w:r>
              <w:rPr>
                <w:b w:val="false"/>
                <w:bCs w:val="false"/>
                <w:color w:val="1F2937"/>
                <w:sz w:val="20"/>
                <w:szCs w:val="20"/>
              </w:rPr>
              <w:t xml:space="preserve">e-Services</w:t>
            </w:r>
          </w:p>
        </w:tc>
        <w:tc>
          <w:tcPr>
            <w:tcW w:type="dxa" w:w="1900"/>
            <w:tcMar>
              <w:top w:type="dxa" w:w="60"/>
              <w:left w:type="dxa" w:w="110"/>
              <w:bottom w:type="dxa" w:w="60"/>
              <w:right w:type="dxa" w:w="110"/>
            </w:tcMar>
          </w:tcPr>
          <w:p>
            <w:r>
              <w:rPr>
                <w:b w:val="false"/>
                <w:bCs w:val="false"/>
                <w:color w:val="1F2937"/>
                <w:sz w:val="20"/>
                <w:szCs w:val="20"/>
              </w:rPr>
              <w:t xml:space="preserve">/e-services</w:t>
            </w:r>
          </w:p>
        </w:tc>
        <w:tc>
          <w:tcPr>
            <w:tcW w:type="dxa" w:w="5000"/>
            <w:tcMar>
              <w:top w:type="dxa" w:w="60"/>
              <w:left w:type="dxa" w:w="110"/>
              <w:bottom w:type="dxa" w:w="60"/>
              <w:right w:type="dxa" w:w="110"/>
            </w:tcMar>
          </w:tcPr>
          <w:p>
            <w:r>
              <w:rPr>
                <w:b w:val="false"/>
                <w:bCs w:val="false"/>
                <w:color w:val="1F2937"/>
                <w:sz w:val="20"/>
                <w:szCs w:val="20"/>
              </w:rPr>
              <w:t xml:space="preserve">Sign-in and the client portal</w:t>
            </w:r>
          </w:p>
        </w:tc>
      </w:tr>
      <w:tr>
        <w:tc>
          <w:tcPr>
            <w:tcW w:type="dxa" w:w="1900"/>
            <w:tcMar>
              <w:top w:type="dxa" w:w="60"/>
              <w:left w:type="dxa" w:w="110"/>
              <w:bottom w:type="dxa" w:w="60"/>
              <w:right w:type="dxa" w:w="110"/>
            </w:tcMar>
          </w:tcPr>
          <w:p>
            <w:r>
              <w:rPr>
                <w:b w:val="false"/>
                <w:bCs w:val="false"/>
                <w:color w:val="1F2937"/>
                <w:sz w:val="20"/>
                <w:szCs w:val="20"/>
              </w:rPr>
              <w:t xml:space="preserve">Search</w:t>
            </w:r>
          </w:p>
        </w:tc>
        <w:tc>
          <w:tcPr>
            <w:tcW w:type="dxa" w:w="1900"/>
            <w:tcMar>
              <w:top w:type="dxa" w:w="60"/>
              <w:left w:type="dxa" w:w="110"/>
              <w:bottom w:type="dxa" w:w="60"/>
              <w:right w:type="dxa" w:w="110"/>
            </w:tcMar>
          </w:tcPr>
          <w:p>
            <w:r>
              <w:rPr>
                <w:b w:val="false"/>
                <w:bCs w:val="false"/>
                <w:color w:val="1F2937"/>
                <w:sz w:val="20"/>
                <w:szCs w:val="20"/>
              </w:rPr>
              <w:t xml:space="preserve">/search</w:t>
            </w:r>
          </w:p>
        </w:tc>
        <w:tc>
          <w:tcPr>
            <w:tcW w:type="dxa" w:w="5000"/>
            <w:tcMar>
              <w:top w:type="dxa" w:w="60"/>
              <w:left w:type="dxa" w:w="110"/>
              <w:bottom w:type="dxa" w:w="60"/>
              <w:right w:type="dxa" w:w="110"/>
            </w:tcMar>
          </w:tcPr>
          <w:p>
            <w:r>
              <w:rPr>
                <w:b w:val="false"/>
                <w:bCs w:val="false"/>
                <w:color w:val="1F2937"/>
                <w:sz w:val="20"/>
                <w:szCs w:val="20"/>
              </w:rPr>
              <w:t xml:space="preserve">Site-wide search</w:t>
            </w:r>
          </w:p>
        </w:tc>
      </w:tr>
      <w:tr>
        <w:tc>
          <w:tcPr>
            <w:tcW w:type="dxa" w:w="1900"/>
            <w:tcMar>
              <w:top w:type="dxa" w:w="60"/>
              <w:left w:type="dxa" w:w="110"/>
              <w:bottom w:type="dxa" w:w="60"/>
              <w:right w:type="dxa" w:w="110"/>
            </w:tcMar>
          </w:tcPr>
          <w:p>
            <w:r>
              <w:rPr>
                <w:b w:val="false"/>
                <w:bCs w:val="false"/>
                <w:color w:val="1F2937"/>
                <w:sz w:val="20"/>
                <w:szCs w:val="20"/>
              </w:rPr>
              <w:t xml:space="preserve">Contact Us</w:t>
            </w:r>
          </w:p>
        </w:tc>
        <w:tc>
          <w:tcPr>
            <w:tcW w:type="dxa" w:w="1900"/>
            <w:tcMar>
              <w:top w:type="dxa" w:w="60"/>
              <w:left w:type="dxa" w:w="110"/>
              <w:bottom w:type="dxa" w:w="60"/>
              <w:right w:type="dxa" w:w="110"/>
            </w:tcMar>
          </w:tcPr>
          <w:p>
            <w:r>
              <w:rPr>
                <w:b w:val="false"/>
                <w:bCs w:val="false"/>
                <w:color w:val="1F2937"/>
                <w:sz w:val="20"/>
                <w:szCs w:val="20"/>
              </w:rPr>
              <w:t xml:space="preserve">/contact</w:t>
            </w:r>
          </w:p>
        </w:tc>
        <w:tc>
          <w:tcPr>
            <w:tcW w:type="dxa" w:w="5000"/>
            <w:tcMar>
              <w:top w:type="dxa" w:w="60"/>
              <w:left w:type="dxa" w:w="110"/>
              <w:bottom w:type="dxa" w:w="60"/>
              <w:right w:type="dxa" w:w="110"/>
            </w:tcMar>
          </w:tcPr>
          <w:p>
            <w:r>
              <w:rPr>
                <w:b w:val="false"/>
                <w:bCs w:val="false"/>
                <w:color w:val="1F2937"/>
                <w:sz w:val="20"/>
                <w:szCs w:val="20"/>
              </w:rPr>
              <w:t xml:space="preserve">Address, map and enquiry form</w:t>
            </w:r>
          </w:p>
        </w:tc>
      </w:tr>
    </w:tbl>
    <w:p>
      <w:r>
        <w:br w:type="page"/>
      </w:r>
    </w:p>
    <w:p>
      <w:pPr>
        <w:pStyle w:val="Heading1"/>
      </w:pPr>
      <w:r>
        <w:t xml:space="preserve">Part II — Using the Public Website</w:t>
      </w:r>
    </w:p>
    <w:p>
      <w:pPr>
        <w:pBdr>
          <w:left w:val="single" w:color="F2C500" w:sz="18" w:space="14"/>
        </w:pBdr>
        <w:spacing w:after="200" w:before="60"/>
        <w:ind w:left="240"/>
      </w:pPr>
      <w:r>
        <w:rPr>
          <w:i/>
          <w:iCs/>
          <w:color w:val="4B5563"/>
          <w:sz w:val="22"/>
          <w:szCs w:val="22"/>
        </w:rPr>
        <w:t xml:space="preserve">This part walks a visitor through the public TIRDO website from first arrival to every major area of content. Each section stands alone, so you can read only the parts you need.</w:t>
      </w:r>
    </w:p>
    <w:p>
      <w:pPr>
        <w:pStyle w:val="Heading2"/>
      </w:pPr>
      <w:r>
        <w:t xml:space="preserve">1. Getting started</w:t>
      </w:r>
    </w:p>
    <w:p>
      <w:pPr>
        <w:pBdr>
          <w:left w:val="single" w:color="F2C500" w:sz="18" w:space="14"/>
        </w:pBdr>
        <w:spacing w:after="200" w:before="60"/>
        <w:ind w:left="240"/>
      </w:pPr>
      <w:r>
        <w:rPr>
          <w:i/>
          <w:iCs/>
          <w:color w:val="4B5563"/>
          <w:sz w:val="22"/>
          <w:szCs w:val="22"/>
        </w:rPr>
        <w:t xml:space="preserve">This section helps you open the site and understand what you are looking at when the page loads.</w:t>
      </w:r>
    </w:p>
    <w:p>
      <w:pPr>
        <w:spacing w:after="140"/>
      </w:pPr>
      <w:r>
        <w:rPr>
          <w:color w:val="1F2937"/>
          <w:sz w:val="22"/>
          <w:szCs w:val="22"/>
        </w:rPr>
        <w:t xml:space="preserve">The TIRDO website works in any modern web browser (Chrome, Edge, Firefox or Safari) on a computer, tablet or phone — no app or account is needed to browse. Open your browser and go to the TIRDO web address. Every page shares the same layout:</w:t>
      </w:r>
    </w:p>
    <w:p>
      <w:pPr>
        <w:pStyle w:val="ListParagraph"/>
        <w:numPr>
          <w:ilvl w:val="0"/>
          <w:numId w:val="1"/>
        </w:numPr>
        <w:spacing w:after="60"/>
      </w:pPr>
      <w:r>
        <w:rPr>
          <w:b/>
          <w:bCs/>
          <w:color w:val="1F2937"/>
          <w:sz w:val="22"/>
          <w:szCs w:val="22"/>
        </w:rPr>
        <w:t xml:space="preserve">Utility bar (top)</w:t>
      </w:r>
      <w:r>
        <w:rPr>
          <w:color w:val="1F2937"/>
          <w:sz w:val="22"/>
          <w:szCs w:val="22"/>
        </w:rPr>
        <w:t xml:space="preserve"> — social links, contact shortcuts, the language switch and the sign-in button.</w:t>
      </w:r>
    </w:p>
    <w:p>
      <w:pPr>
        <w:pStyle w:val="ListParagraph"/>
        <w:numPr>
          <w:ilvl w:val="0"/>
          <w:numId w:val="1"/>
        </w:numPr>
        <w:spacing w:after="60"/>
      </w:pPr>
      <w:r>
        <w:rPr>
          <w:b/>
          <w:bCs/>
          <w:color w:val="1F2937"/>
          <w:sz w:val="22"/>
          <w:szCs w:val="22"/>
        </w:rPr>
        <w:t xml:space="preserve">Masthead</w:t>
      </w:r>
      <w:r>
        <w:rPr>
          <w:color w:val="1F2937"/>
          <w:sz w:val="22"/>
          <w:szCs w:val="22"/>
        </w:rPr>
        <w:t xml:space="preserve"> — the national emblem, TIRDO's name and the organisation logo.</w:t>
      </w:r>
    </w:p>
    <w:p>
      <w:pPr>
        <w:pStyle w:val="ListParagraph"/>
        <w:numPr>
          <w:ilvl w:val="0"/>
          <w:numId w:val="1"/>
        </w:numPr>
        <w:spacing w:after="60"/>
      </w:pPr>
      <w:r>
        <w:rPr>
          <w:b/>
          <w:bCs/>
          <w:color w:val="1F2937"/>
          <w:sz w:val="22"/>
          <w:szCs w:val="22"/>
        </w:rPr>
        <w:t xml:space="preserve">Main menu</w:t>
      </w:r>
      <w:r>
        <w:rPr>
          <w:color w:val="1F2937"/>
          <w:sz w:val="22"/>
          <w:szCs w:val="22"/>
        </w:rPr>
        <w:t xml:space="preserve"> — the teal navigation bar, which stays pinned to the top as you scroll.</w:t>
      </w:r>
    </w:p>
    <w:p>
      <w:pPr>
        <w:pStyle w:val="ListParagraph"/>
        <w:numPr>
          <w:ilvl w:val="0"/>
          <w:numId w:val="1"/>
        </w:numPr>
        <w:spacing w:after="60"/>
      </w:pPr>
      <w:r>
        <w:rPr>
          <w:b/>
          <w:bCs/>
          <w:color w:val="1F2937"/>
          <w:sz w:val="22"/>
          <w:szCs w:val="22"/>
        </w:rPr>
        <w:t xml:space="preserve">Footer (bottom)</w:t>
      </w:r>
      <w:r>
        <w:rPr>
          <w:color w:val="1F2937"/>
          <w:sz w:val="22"/>
          <w:szCs w:val="22"/>
        </w:rPr>
        <w:t xml:space="preserve"> — quick links, related institutions, contact details and legal pages.</w:t>
      </w:r>
    </w:p>
    <w:p>
      <w:pPr>
        <w:pStyle w:val="Heading2"/>
      </w:pPr>
      <w:r>
        <w:t xml:space="preserve">2. Navigating the site</w:t>
      </w:r>
    </w:p>
    <w:p>
      <w:pPr>
        <w:pBdr>
          <w:left w:val="single" w:color="F2C500" w:sz="18" w:space="14"/>
        </w:pBdr>
        <w:spacing w:after="200" w:before="60"/>
        <w:ind w:left="240"/>
      </w:pPr>
      <w:r>
        <w:rPr>
          <w:i/>
          <w:iCs/>
          <w:color w:val="4B5563"/>
          <w:sz w:val="22"/>
          <w:szCs w:val="22"/>
        </w:rPr>
        <w:t xml:space="preserve">This section explains how the main menu is organised so you can find any topic in a click or two.</w:t>
      </w:r>
    </w:p>
    <w:p>
      <w:pPr>
        <w:spacing w:after="140"/>
      </w:pPr>
      <w:r>
        <w:rPr>
          <w:color w:val="1F2937"/>
          <w:sz w:val="22"/>
          <w:szCs w:val="22"/>
        </w:rPr>
        <w:t xml:space="preserve">The main menu groups the site into themed areas. Hover (or tap on mobile) to open a menu and reveal its items:</w:t>
      </w:r>
    </w:p>
    <w:p>
      <w:pPr>
        <w:pStyle w:val="ListParagraph"/>
        <w:numPr>
          <w:ilvl w:val="0"/>
          <w:numId w:val="1"/>
        </w:numPr>
        <w:spacing w:after="60"/>
      </w:pPr>
      <w:r>
        <w:rPr>
          <w:b/>
          <w:bCs/>
          <w:color w:val="1F2937"/>
          <w:sz w:val="22"/>
          <w:szCs w:val="22"/>
        </w:rPr>
        <w:t xml:space="preserve">About Us</w:t>
      </w:r>
      <w:r>
        <w:rPr>
          <w:color w:val="1F2937"/>
          <w:sz w:val="22"/>
          <w:szCs w:val="22"/>
        </w:rPr>
        <w:t xml:space="preserve"> — mission &amp; vision, organisation structure, board of directors, administration, success stories and the COMSATS Centre.</w:t>
      </w:r>
    </w:p>
    <w:p>
      <w:pPr>
        <w:pStyle w:val="ListParagraph"/>
        <w:numPr>
          <w:ilvl w:val="0"/>
          <w:numId w:val="1"/>
        </w:numPr>
        <w:spacing w:after="60"/>
      </w:pPr>
      <w:r>
        <w:rPr>
          <w:b/>
          <w:bCs/>
          <w:color w:val="1F2937"/>
          <w:sz w:val="22"/>
          <w:szCs w:val="22"/>
        </w:rPr>
        <w:t xml:space="preserve">Our Work / Departments</w:t>
      </w:r>
      <w:r>
        <w:rPr>
          <w:color w:val="1F2937"/>
          <w:sz w:val="22"/>
          <w:szCs w:val="22"/>
        </w:rPr>
        <w:t xml:space="preserve"> — the research, engineering and technology-development divisions.</w:t>
      </w:r>
    </w:p>
    <w:p>
      <w:pPr>
        <w:pStyle w:val="ListParagraph"/>
        <w:numPr>
          <w:ilvl w:val="0"/>
          <w:numId w:val="1"/>
        </w:numPr>
        <w:spacing w:after="60"/>
      </w:pPr>
      <w:r>
        <w:rPr>
          <w:b/>
          <w:bCs/>
          <w:color w:val="1F2937"/>
          <w:sz w:val="22"/>
          <w:szCs w:val="22"/>
        </w:rPr>
        <w:t xml:space="preserve">Services</w:t>
      </w:r>
      <w:r>
        <w:rPr>
          <w:color w:val="1F2937"/>
          <w:sz w:val="22"/>
          <w:szCs w:val="22"/>
        </w:rPr>
        <w:t xml:space="preserve"> — research, energy auditing, feasibility studies, and the dedicated Consultancy, Laboratory and Training sections.</w:t>
      </w:r>
    </w:p>
    <w:p>
      <w:pPr>
        <w:pStyle w:val="ListParagraph"/>
        <w:numPr>
          <w:ilvl w:val="0"/>
          <w:numId w:val="1"/>
        </w:numPr>
        <w:spacing w:after="60"/>
      </w:pPr>
      <w:r>
        <w:rPr>
          <w:b/>
          <w:bCs/>
          <w:color w:val="1F2937"/>
          <w:sz w:val="22"/>
          <w:szCs w:val="22"/>
        </w:rPr>
        <w:t xml:space="preserve">Research &amp; Innovation</w:t>
      </w:r>
      <w:r>
        <w:rPr>
          <w:color w:val="1F2937"/>
          <w:sz w:val="22"/>
          <w:szCs w:val="22"/>
        </w:rPr>
        <w:t xml:space="preserve"> — projects, the Technology Catalogue, T-Hub, the Industrial Information Centre and publications.</w:t>
      </w:r>
    </w:p>
    <w:p>
      <w:pPr>
        <w:pStyle w:val="ListParagraph"/>
        <w:numPr>
          <w:ilvl w:val="0"/>
          <w:numId w:val="1"/>
        </w:numPr>
        <w:spacing w:after="60"/>
      </w:pPr>
      <w:r>
        <w:rPr>
          <w:b/>
          <w:bCs/>
          <w:color w:val="1F2937"/>
          <w:sz w:val="22"/>
          <w:szCs w:val="22"/>
        </w:rPr>
        <w:t xml:space="preserve">Media Centre</w:t>
      </w:r>
      <w:r>
        <w:rPr>
          <w:color w:val="1F2937"/>
          <w:sz w:val="22"/>
          <w:szCs w:val="22"/>
        </w:rPr>
        <w:t xml:space="preserve"> — news, events, gallery and documents.</w:t>
      </w:r>
    </w:p>
    <w:p>
      <w:pPr>
        <w:pStyle w:val="ListParagraph"/>
        <w:numPr>
          <w:ilvl w:val="0"/>
          <w:numId w:val="1"/>
        </w:numPr>
        <w:spacing w:after="60"/>
      </w:pPr>
      <w:r>
        <w:rPr>
          <w:b/>
          <w:bCs/>
          <w:color w:val="1F2937"/>
          <w:sz w:val="22"/>
          <w:szCs w:val="22"/>
        </w:rPr>
        <w:t xml:space="preserve">Analytics and Contact Us</w:t>
      </w:r>
      <w:r>
        <w:rPr>
          <w:color w:val="1F2937"/>
          <w:sz w:val="22"/>
          <w:szCs w:val="22"/>
        </w:rPr>
        <w:t xml:space="preserve"> — site statistics and how to reach TIRDO.</w:t>
      </w:r>
    </w:p>
    <w:p>
      <w:pPr>
        <w:spacing w:after="140"/>
      </w:pPr>
      <w:r>
        <w:rPr>
          <w:color w:val="1F2937"/>
          <w:sz w:val="22"/>
          <w:szCs w:val="22"/>
        </w:rPr>
        <w:t xml:space="preserve">On a phone, tap the menu (☰) icon to open the same navigation as a vertical list.</w:t>
      </w:r>
    </w:p>
    <w:p>
      <w:pPr>
        <w:pStyle w:val="Heading2"/>
      </w:pPr>
      <w:r>
        <w:t xml:space="preserve">3. Choosing your language</w:t>
      </w:r>
    </w:p>
    <w:p>
      <w:pPr>
        <w:pBdr>
          <w:left w:val="single" w:color="F2C500" w:sz="18" w:space="14"/>
        </w:pBdr>
        <w:spacing w:after="200" w:before="60"/>
        <w:ind w:left="240"/>
      </w:pPr>
      <w:r>
        <w:rPr>
          <w:i/>
          <w:iCs/>
          <w:color w:val="4B5563"/>
          <w:sz w:val="22"/>
          <w:szCs w:val="22"/>
        </w:rPr>
        <w:t xml:space="preserve">This section shows how to read the site in English or Kiswahili and what changes when you switch.</w:t>
      </w:r>
    </w:p>
    <w:p>
      <w:pPr>
        <w:pStyle w:val="ListParagraph"/>
        <w:numPr>
          <w:ilvl w:val="0"/>
          <w:numId w:val="2"/>
        </w:numPr>
        <w:spacing w:after="60"/>
      </w:pPr>
      <w:r>
        <w:rPr>
          <w:color w:val="1F2937"/>
          <w:sz w:val="22"/>
          <w:szCs w:val="22"/>
        </w:rPr>
        <w:t xml:space="preserve">Find the English / Kiswahili switch in the top utility bar.</w:t>
      </w:r>
    </w:p>
    <w:p>
      <w:pPr>
        <w:pStyle w:val="ListParagraph"/>
        <w:numPr>
          <w:ilvl w:val="0"/>
          <w:numId w:val="2"/>
        </w:numPr>
        <w:spacing w:after="60"/>
      </w:pPr>
      <w:r>
        <w:rPr>
          <w:color w:val="1F2937"/>
          <w:sz w:val="22"/>
          <w:szCs w:val="22"/>
        </w:rPr>
        <w:t xml:space="preserve">Select your preferred language; the interface updates immediately.</w:t>
      </w:r>
    </w:p>
    <w:p>
      <w:pPr>
        <w:pStyle w:val="ListParagraph"/>
        <w:numPr>
          <w:ilvl w:val="0"/>
          <w:numId w:val="2"/>
        </w:numPr>
        <w:spacing w:after="60"/>
      </w:pPr>
      <w:r>
        <w:rPr>
          <w:color w:val="1F2937"/>
          <w:sz w:val="22"/>
          <w:szCs w:val="22"/>
        </w:rPr>
        <w:t xml:space="preserve">Your choice is remembered on your device for future visits.</w:t>
      </w:r>
    </w:p>
    <w:p>
      <w:pPr>
        <w:spacing w:after="140"/>
      </w:pPr>
      <w:r>
        <w:rPr>
          <w:color w:val="1F2937"/>
          <w:sz w:val="22"/>
          <w:szCs w:val="22"/>
        </w:rPr>
        <w:t xml:space="preserve">Menus, headings and labels switch language. Some long articles may still appear in English until their Kiswahili translation is published; you will never see a blank page — English is shown as a fallback.</w:t>
      </w:r>
    </w:p>
    <w:p>
      <w:pPr>
        <w:pStyle w:val="Heading2"/>
      </w:pPr>
      <w:r>
        <w:t xml:space="preserve">4. Searching the site</w:t>
      </w:r>
    </w:p>
    <w:p>
      <w:pPr>
        <w:pBdr>
          <w:left w:val="single" w:color="F2C500" w:sz="18" w:space="14"/>
        </w:pBdr>
        <w:spacing w:after="200" w:before="60"/>
        <w:ind w:left="240"/>
      </w:pPr>
      <w:r>
        <w:rPr>
          <w:i/>
          <w:iCs/>
          <w:color w:val="4B5563"/>
          <w:sz w:val="22"/>
          <w:szCs w:val="22"/>
        </w:rPr>
        <w:t xml:space="preserve">This section explains how to find anything on the site quickly and how to narrow the results.</w:t>
      </w:r>
    </w:p>
    <w:p>
      <w:pPr>
        <w:pStyle w:val="ListParagraph"/>
        <w:numPr>
          <w:ilvl w:val="0"/>
          <w:numId w:val="3"/>
        </w:numPr>
        <w:spacing w:after="60"/>
      </w:pPr>
      <w:r>
        <w:rPr>
          <w:color w:val="1F2937"/>
          <w:sz w:val="22"/>
          <w:szCs w:val="22"/>
        </w:rPr>
        <w:t xml:space="preserve">Click the search icon in the menu, or go to /search.</w:t>
      </w:r>
    </w:p>
    <w:p>
      <w:pPr>
        <w:pStyle w:val="ListParagraph"/>
        <w:numPr>
          <w:ilvl w:val="0"/>
          <w:numId w:val="3"/>
        </w:numPr>
        <w:spacing w:after="60"/>
      </w:pPr>
      <w:r>
        <w:rPr>
          <w:color w:val="1F2937"/>
          <w:sz w:val="22"/>
          <w:szCs w:val="22"/>
        </w:rPr>
        <w:t xml:space="preserve">Type at least two characters — suggestions appear as you type.</w:t>
      </w:r>
    </w:p>
    <w:p>
      <w:pPr>
        <w:pStyle w:val="ListParagraph"/>
        <w:numPr>
          <w:ilvl w:val="0"/>
          <w:numId w:val="3"/>
        </w:numPr>
        <w:spacing w:after="60"/>
      </w:pPr>
      <w:r>
        <w:rPr>
          <w:color w:val="1F2937"/>
          <w:sz w:val="22"/>
          <w:szCs w:val="22"/>
        </w:rPr>
        <w:t xml:space="preserve">Press Enter to see the full list of results.</w:t>
      </w:r>
    </w:p>
    <w:p>
      <w:pPr>
        <w:pStyle w:val="ListParagraph"/>
        <w:numPr>
          <w:ilvl w:val="0"/>
          <w:numId w:val="3"/>
        </w:numPr>
        <w:spacing w:after="60"/>
      </w:pPr>
      <w:r>
        <w:rPr>
          <w:color w:val="1F2937"/>
          <w:sz w:val="22"/>
          <w:szCs w:val="22"/>
        </w:rPr>
        <w:t xml:space="preserve">Filter results by type (News, Publications, Projects, Services, Departments, Technologies, Vacancies, Tenders) using the chips above the results.</w:t>
      </w:r>
    </w:p>
    <w:p>
      <w:pPr>
        <w:spacing w:after="140"/>
      </w:pPr>
      <w:r>
        <w:rPr>
          <w:color w:val="1F2937"/>
          <w:sz w:val="22"/>
          <w:szCs w:val="22"/>
        </w:rPr>
        <w:t xml:space="preserve">Matching words are highlighted, and your search stays in the address bar so results are easy to share and the browser's Back button works as expected.</w:t>
      </w:r>
    </w:p>
    <w:p>
      <w:pPr>
        <w:pBdr>
          <w:top w:val="single" w:color="D1D5DB" w:sz="4"/>
          <w:bottom w:val="single" w:color="D1D5DB" w:sz="4"/>
          <w:left w:val="single" w:color="D1D5DB" w:sz="4"/>
          <w:right w:val="single" w:color="D1D5DB" w:sz="4"/>
        </w:pBdr>
        <w:spacing w:after="40" w:before="120"/>
        <w:jc w:val="center"/>
      </w:pPr>
      <w:r>
        <w:drawing>
          <wp:inline distT="0" distB="0" distL="0" distR="0">
            <wp:extent cx="54864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2895600"/>
                    </a:xfrm>
                    <a:prstGeom prst="rect">
                      <a:avLst/>
                    </a:prstGeom>
                  </pic:spPr>
                </pic:pic>
              </a:graphicData>
            </a:graphic>
          </wp:inline>
        </w:drawing>
      </w:r>
    </w:p>
    <w:p>
      <w:pPr>
        <w:spacing w:after="220"/>
        <w:jc w:val="center"/>
      </w:pPr>
      <w:r>
        <w:rPr>
          <w:i/>
          <w:iCs/>
          <w:color w:val="4B5563"/>
          <w:sz w:val="18"/>
          <w:szCs w:val="18"/>
        </w:rPr>
        <w:t xml:space="preserve">Figure 1. Search results for “energy”, filtered by type with matching terms highlighted.</w:t>
      </w:r>
    </w:p>
    <w:p>
      <w:pPr>
        <w:pStyle w:val="Heading2"/>
      </w:pPr>
      <w:r>
        <w:t xml:space="preserve">5. The home page</w:t>
      </w:r>
    </w:p>
    <w:p>
      <w:pPr>
        <w:pBdr>
          <w:left w:val="single" w:color="F2C500" w:sz="18" w:space="14"/>
        </w:pBdr>
        <w:spacing w:after="200" w:before="60"/>
        <w:ind w:left="240"/>
      </w:pPr>
      <w:r>
        <w:rPr>
          <w:i/>
          <w:iCs/>
          <w:color w:val="4B5563"/>
          <w:sz w:val="22"/>
          <w:szCs w:val="22"/>
        </w:rPr>
        <w:t xml:space="preserve">This section introduces what the home page presents and how to use it as a springboard into the site.</w:t>
      </w:r>
    </w:p>
    <w:p>
      <w:pPr>
        <w:spacing w:after="140"/>
      </w:pPr>
      <w:r>
        <w:rPr>
          <w:color w:val="1F2937"/>
          <w:sz w:val="22"/>
          <w:szCs w:val="22"/>
        </w:rPr>
        <w:t xml:space="preserve">The home page opens with a rotating banner of highlights, followed by quick-access cards to the most-used areas, key statistics about TIRDO, and the latest news. The banner pauses automatically if your device is set to reduce motion, and offers a pause control.</w:t>
      </w:r>
    </w:p>
    <w:p>
      <w:pPr>
        <w:pBdr>
          <w:top w:val="single" w:color="D1D5DB" w:sz="4"/>
          <w:bottom w:val="single" w:color="D1D5DB" w:sz="4"/>
          <w:left w:val="single" w:color="D1D5DB" w:sz="4"/>
          <w:right w:val="single" w:color="D1D5DB" w:sz="4"/>
        </w:pBdr>
        <w:spacing w:after="40" w:before="120"/>
        <w:jc w:val="center"/>
      </w:pPr>
      <w:r>
        <w:drawing>
          <wp:inline distT="0" distB="0" distL="0" distR="0">
            <wp:extent cx="54864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2895600"/>
                    </a:xfrm>
                    <a:prstGeom prst="rect">
                      <a:avLst/>
                    </a:prstGeom>
                  </pic:spPr>
                </pic:pic>
              </a:graphicData>
            </a:graphic>
          </wp:inline>
        </w:drawing>
      </w:r>
    </w:p>
    <w:p>
      <w:pPr>
        <w:spacing w:after="220"/>
        <w:jc w:val="center"/>
      </w:pPr>
      <w:r>
        <w:rPr>
          <w:i/>
          <w:iCs/>
          <w:color w:val="4B5563"/>
          <w:sz w:val="18"/>
          <w:szCs w:val="18"/>
        </w:rPr>
        <w:t xml:space="preserve">Figure 2. The TIRDO home page: utility bar, masthead, pinned main menu and the highlights banner.</w:t>
      </w:r>
    </w:p>
    <w:p>
      <w:pPr>
        <w:pStyle w:val="Heading2"/>
      </w:pPr>
      <w:r>
        <w:t xml:space="preserve">6. About TIRDO</w:t>
      </w:r>
    </w:p>
    <w:p>
      <w:pPr>
        <w:pBdr>
          <w:left w:val="single" w:color="F2C500" w:sz="18" w:space="14"/>
        </w:pBdr>
        <w:spacing w:after="200" w:before="60"/>
        <w:ind w:left="240"/>
      </w:pPr>
      <w:r>
        <w:rPr>
          <w:i/>
          <w:iCs/>
          <w:color w:val="4B5563"/>
          <w:sz w:val="22"/>
          <w:szCs w:val="22"/>
        </w:rPr>
        <w:t xml:space="preserve">This section points you to the organisational information under the About Us area.</w:t>
      </w:r>
    </w:p>
    <w:p>
      <w:pPr>
        <w:spacing w:after="140"/>
      </w:pPr>
      <w:r>
        <w:rPr>
          <w:color w:val="1F2937"/>
          <w:sz w:val="22"/>
          <w:szCs w:val="22"/>
        </w:rPr>
        <w:t xml:space="preserve">The About Us pages describe who TIRDO is and how it is run: its mission and vision, the organisation structure, the Board of Directors, top management (administration), success stories from the laboratory to industry, and the COMSATS Centre for Climate and Sustainability hosted at TIRDO.</w:t>
      </w:r>
    </w:p>
    <w:p>
      <w:pPr>
        <w:pStyle w:val="Heading2"/>
      </w:pPr>
      <w:r>
        <w:t xml:space="preserve">7. Departments &amp; divisions</w:t>
      </w:r>
    </w:p>
    <w:p>
      <w:pPr>
        <w:pBdr>
          <w:left w:val="single" w:color="F2C500" w:sz="18" w:space="14"/>
        </w:pBdr>
        <w:spacing w:after="200" w:before="60"/>
        <w:ind w:left="240"/>
      </w:pPr>
      <w:r>
        <w:rPr>
          <w:i/>
          <w:iCs/>
          <w:color w:val="4B5563"/>
          <w:sz w:val="22"/>
          <w:szCs w:val="22"/>
        </w:rPr>
        <w:t xml:space="preserve">This section explains how to explore TIRDO's technical divisions and what each page tells you.</w:t>
      </w:r>
    </w:p>
    <w:p>
      <w:pPr>
        <w:spacing w:after="140"/>
      </w:pPr>
      <w:r>
        <w:rPr>
          <w:color w:val="1F2937"/>
          <w:sz w:val="22"/>
          <w:szCs w:val="22"/>
        </w:rPr>
        <w:t xml:space="preserve">Open Departments to see the divisions grouped by Industrial Research, Engineering Development, and ICT &amp; Technology Development, plus Finance and Human Resources &amp; Administration. Select any division to read its mandate, focus areas and the services it offers.</w:t>
      </w:r>
    </w:p>
    <w:p>
      <w:pPr>
        <w:pStyle w:val="Heading2"/>
      </w:pPr>
      <w:r>
        <w:t xml:space="preserve">8. Services</w:t>
      </w:r>
    </w:p>
    <w:p>
      <w:pPr>
        <w:pBdr>
          <w:left w:val="single" w:color="F2C500" w:sz="18" w:space="14"/>
        </w:pBdr>
        <w:spacing w:after="200" w:before="60"/>
        <w:ind w:left="240"/>
      </w:pPr>
      <w:r>
        <w:rPr>
          <w:i/>
          <w:iCs/>
          <w:color w:val="4B5563"/>
          <w:sz w:val="22"/>
          <w:szCs w:val="22"/>
        </w:rPr>
        <w:t xml:space="preserve">This section describes the services catalogue and how to move from an overview to requesting a service.</w:t>
      </w:r>
    </w:p>
    <w:p>
      <w:pPr>
        <w:spacing w:after="140"/>
      </w:pPr>
      <w:r>
        <w:rPr>
          <w:color w:val="1F2937"/>
          <w:sz w:val="22"/>
          <w:szCs w:val="22"/>
        </w:rPr>
        <w:t xml:space="preserve">The Services page lists TIRDO's core services — research, energy auditing, feasibility studies, consultancy, laboratory analytical services, and training. Select a service to read what it covers and what you receive, then use Contact TIRDO to make an enquiry. Consultancy, Laboratory and Training each have a fuller dedicated section (covered next).</w:t>
      </w:r>
    </w:p>
    <w:p>
      <w:pPr>
        <w:pBdr>
          <w:top w:val="single" w:color="D1D5DB" w:sz="4"/>
          <w:bottom w:val="single" w:color="D1D5DB" w:sz="4"/>
          <w:left w:val="single" w:color="D1D5DB" w:sz="4"/>
          <w:right w:val="single" w:color="D1D5DB" w:sz="4"/>
        </w:pBdr>
        <w:spacing w:after="40" w:before="120"/>
        <w:jc w:val="center"/>
      </w:pPr>
      <w:r>
        <w:drawing>
          <wp:inline distT="0" distB="0" distL="0" distR="0">
            <wp:extent cx="54864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2895600"/>
                    </a:xfrm>
                    <a:prstGeom prst="rect">
                      <a:avLst/>
                    </a:prstGeom>
                  </pic:spPr>
                </pic:pic>
              </a:graphicData>
            </a:graphic>
          </wp:inline>
        </w:drawing>
      </w:r>
    </w:p>
    <w:p>
      <w:pPr>
        <w:spacing w:after="220"/>
        <w:jc w:val="center"/>
      </w:pPr>
      <w:r>
        <w:rPr>
          <w:i/>
          <w:iCs/>
          <w:color w:val="4B5563"/>
          <w:sz w:val="18"/>
          <w:szCs w:val="18"/>
        </w:rPr>
        <w:t xml:space="preserve">Figure 3. The Services catalogue — select any card to open the full description of that service.</w:t>
      </w:r>
    </w:p>
    <w:p>
      <w:pPr>
        <w:pStyle w:val="Heading2"/>
      </w:pPr>
      <w:r>
        <w:t xml:space="preserve">9. Technology Catalogue</w:t>
      </w:r>
    </w:p>
    <w:p>
      <w:pPr>
        <w:pBdr>
          <w:left w:val="single" w:color="F2C500" w:sz="18" w:space="14"/>
        </w:pBdr>
        <w:spacing w:after="200" w:before="60"/>
        <w:ind w:left="240"/>
      </w:pPr>
      <w:r>
        <w:rPr>
          <w:i/>
          <w:iCs/>
          <w:color w:val="4B5563"/>
          <w:sz w:val="22"/>
          <w:szCs w:val="22"/>
        </w:rPr>
        <w:t xml:space="preserve">This section explains how to browse the technologies TIRDO has developed and how to ask to adopt one.</w:t>
      </w:r>
    </w:p>
    <w:p>
      <w:pPr>
        <w:pStyle w:val="ListParagraph"/>
        <w:numPr>
          <w:ilvl w:val="0"/>
          <w:numId w:val="4"/>
        </w:numPr>
        <w:spacing w:after="60"/>
      </w:pPr>
      <w:r>
        <w:rPr>
          <w:color w:val="1F2937"/>
          <w:sz w:val="22"/>
          <w:szCs w:val="22"/>
        </w:rPr>
        <w:t xml:space="preserve">Open Research &amp; Innovation → Technology Catalogue (/technology).</w:t>
      </w:r>
    </w:p>
    <w:p>
      <w:pPr>
        <w:pStyle w:val="ListParagraph"/>
        <w:numPr>
          <w:ilvl w:val="0"/>
          <w:numId w:val="4"/>
        </w:numPr>
        <w:spacing w:after="60"/>
      </w:pPr>
      <w:r>
        <w:rPr>
          <w:color w:val="1F2937"/>
          <w:sz w:val="22"/>
          <w:szCs w:val="22"/>
        </w:rPr>
        <w:t xml:space="preserve">Filter by sector (Energy, Food &amp; Biotechnology, Materials, Environment, Textile &amp; Leather, ICT) and by maturity (Concept, Pilot, Commercial, Mature).</w:t>
      </w:r>
    </w:p>
    <w:p>
      <w:pPr>
        <w:pStyle w:val="ListParagraph"/>
        <w:numPr>
          <w:ilvl w:val="0"/>
          <w:numId w:val="4"/>
        </w:numPr>
        <w:spacing w:after="60"/>
      </w:pPr>
      <w:r>
        <w:rPr>
          <w:color w:val="1F2937"/>
          <w:sz w:val="22"/>
          <w:szCs w:val="22"/>
        </w:rPr>
        <w:t xml:space="preserve">Select a technology to read its summary, benefits and applications.</w:t>
      </w:r>
    </w:p>
    <w:p>
      <w:pPr>
        <w:pStyle w:val="ListParagraph"/>
        <w:numPr>
          <w:ilvl w:val="0"/>
          <w:numId w:val="4"/>
        </w:numPr>
        <w:spacing w:after="60"/>
      </w:pPr>
      <w:r>
        <w:rPr>
          <w:color w:val="1F2937"/>
          <w:sz w:val="22"/>
          <w:szCs w:val="22"/>
        </w:rPr>
        <w:t xml:space="preserve">Use Request technology transfer to contact TIRDO about adopting or licensing it.</w:t>
      </w:r>
    </w:p>
    <w:p>
      <w:pPr>
        <w:pBdr>
          <w:top w:val="single" w:color="D1D5DB" w:sz="4"/>
          <w:bottom w:val="single" w:color="D1D5DB" w:sz="4"/>
          <w:left w:val="single" w:color="D1D5DB" w:sz="4"/>
          <w:right w:val="single" w:color="D1D5DB" w:sz="4"/>
        </w:pBdr>
        <w:spacing w:after="40" w:before="120"/>
        <w:jc w:val="center"/>
      </w:pPr>
      <w:r>
        <w:drawing>
          <wp:inline distT="0" distB="0" distL="0" distR="0">
            <wp:extent cx="54864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2867025"/>
                    </a:xfrm>
                    <a:prstGeom prst="rect">
                      <a:avLst/>
                    </a:prstGeom>
                  </pic:spPr>
                </pic:pic>
              </a:graphicData>
            </a:graphic>
          </wp:inline>
        </w:drawing>
      </w:r>
    </w:p>
    <w:p>
      <w:pPr>
        <w:spacing w:after="220"/>
        <w:jc w:val="center"/>
      </w:pPr>
      <w:r>
        <w:rPr>
          <w:i/>
          <w:iCs/>
          <w:color w:val="4B5563"/>
          <w:sz w:val="18"/>
          <w:szCs w:val="18"/>
        </w:rPr>
        <w:t xml:space="preserve">Figure 4. The Technology Catalogue — filter by sector and maturity; each card opens a full profile.</w:t>
      </w:r>
    </w:p>
    <w:p>
      <w:pPr>
        <w:pStyle w:val="Heading2"/>
      </w:pPr>
      <w:r>
        <w:t xml:space="preserve">10. Laboratory Services &amp; NILIMS</w:t>
      </w:r>
    </w:p>
    <w:p>
      <w:pPr>
        <w:pBdr>
          <w:left w:val="single" w:color="F2C500" w:sz="18" w:space="14"/>
        </w:pBdr>
        <w:spacing w:after="200" w:before="60"/>
        <w:ind w:left="240"/>
      </w:pPr>
      <w:r>
        <w:rPr>
          <w:i/>
          <w:iCs/>
          <w:color w:val="4B5563"/>
          <w:sz w:val="22"/>
          <w:szCs w:val="22"/>
        </w:rPr>
        <w:t xml:space="preserve">This section covers TIRDO's laboratory testing pages and how to submit samples online.</w:t>
      </w:r>
    </w:p>
    <w:p>
      <w:pPr>
        <w:spacing w:after="140"/>
      </w:pPr>
      <w:r>
        <w:rPr>
          <w:color w:val="1F2937"/>
          <w:sz w:val="22"/>
          <w:szCs w:val="22"/>
        </w:rPr>
        <w:t xml:space="preserve">The Laboratory section (/laboratory) describes TIRDO's accredited laboratories — food and microbiology, industrial chemistry, materials and engineering, energy, and environment — and the standards behind them. It also explains the sample-submission process. Use the NILIMS gateway to register a sample, track your job and download certified results online through the National Industrial Laboratory Information Management System.</w:t>
      </w:r>
    </w:p>
    <w:p>
      <w:pPr>
        <w:pBdr>
          <w:top w:val="single" w:color="D1D5DB" w:sz="4"/>
          <w:bottom w:val="single" w:color="D1D5DB" w:sz="4"/>
          <w:left w:val="single" w:color="D1D5DB" w:sz="4"/>
          <w:right w:val="single" w:color="D1D5DB" w:sz="4"/>
        </w:pBdr>
        <w:spacing w:after="40" w:before="120"/>
        <w:jc w:val="center"/>
      </w:pPr>
      <w:r>
        <w:drawing>
          <wp:inline distT="0" distB="0" distL="0" distR="0">
            <wp:extent cx="54864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1800225"/>
                    </a:xfrm>
                    <a:prstGeom prst="rect">
                      <a:avLst/>
                    </a:prstGeom>
                  </pic:spPr>
                </pic:pic>
              </a:graphicData>
            </a:graphic>
          </wp:inline>
        </w:drawing>
      </w:r>
    </w:p>
    <w:p>
      <w:pPr>
        <w:spacing w:after="220"/>
        <w:jc w:val="center"/>
      </w:pPr>
      <w:r>
        <w:rPr>
          <w:i/>
          <w:iCs/>
          <w:color w:val="4B5563"/>
          <w:sz w:val="18"/>
          <w:szCs w:val="18"/>
        </w:rPr>
        <w:t xml:space="preserve">Figure 5. Laboratory Services — the sample-submission steps and the NILIMS portal gateway.</w:t>
      </w:r>
    </w:p>
    <w:p>
      <w:pPr>
        <w:pStyle w:val="Heading2"/>
      </w:pPr>
      <w:r>
        <w:t xml:space="preserve">11. Consultancy &amp; Advisory (CIAP)</w:t>
      </w:r>
    </w:p>
    <w:p>
      <w:pPr>
        <w:pBdr>
          <w:left w:val="single" w:color="F2C500" w:sz="18" w:space="14"/>
        </w:pBdr>
        <w:spacing w:after="200" w:before="60"/>
        <w:ind w:left="240"/>
      </w:pPr>
      <w:r>
        <w:rPr>
          <w:i/>
          <w:iCs/>
          <w:color w:val="4B5563"/>
          <w:sz w:val="22"/>
          <w:szCs w:val="22"/>
        </w:rPr>
        <w:t xml:space="preserve">This section covers TIRDO's consultancy service lines and how engagements are requested and tracked.</w:t>
      </w:r>
    </w:p>
    <w:p>
      <w:pPr>
        <w:spacing w:after="140"/>
      </w:pPr>
      <w:r>
        <w:rPr>
          <w:color w:val="1F2937"/>
          <w:sz w:val="22"/>
          <w:szCs w:val="22"/>
        </w:rPr>
        <w:t xml:space="preserve">The Consultancy section (/consultancy) sets out TIRDO's advisory service lines — quality assurance and NDT, energy audits, feasibility studies, environmental services, materials and process engineering, and food safety — and the engagement process from request to closure. Use the CIAP gateway (Consultancy &amp; Industrial Advisory Portal) to submit and follow a consultancy request.</w:t>
      </w:r>
    </w:p>
    <w:p>
      <w:pPr>
        <w:pBdr>
          <w:top w:val="single" w:color="D1D5DB" w:sz="4"/>
          <w:bottom w:val="single" w:color="D1D5DB" w:sz="4"/>
          <w:left w:val="single" w:color="D1D5DB" w:sz="4"/>
          <w:right w:val="single" w:color="D1D5DB" w:sz="4"/>
        </w:pBdr>
        <w:spacing w:after="40" w:before="120"/>
        <w:jc w:val="center"/>
      </w:pPr>
      <w:r>
        <w:drawing>
          <wp:inline distT="0" distB="0" distL="0" distR="0">
            <wp:extent cx="54864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305050"/>
                    </a:xfrm>
                    <a:prstGeom prst="rect">
                      <a:avLst/>
                    </a:prstGeom>
                  </pic:spPr>
                </pic:pic>
              </a:graphicData>
            </a:graphic>
          </wp:inline>
        </w:drawing>
      </w:r>
    </w:p>
    <w:p>
      <w:pPr>
        <w:spacing w:after="220"/>
        <w:jc w:val="center"/>
      </w:pPr>
      <w:r>
        <w:rPr>
          <w:i/>
          <w:iCs/>
          <w:color w:val="4B5563"/>
          <w:sz w:val="18"/>
          <w:szCs w:val="18"/>
        </w:rPr>
        <w:t xml:space="preserve">Figure 6. Consultancy &amp; Advisory — the six service lines; the CIAP gateway follows further down the page.</w:t>
      </w:r>
    </w:p>
    <w:p>
      <w:pPr>
        <w:pStyle w:val="Heading2"/>
      </w:pPr>
      <w:r>
        <w:t xml:space="preserve">12. Training &amp; Skills Development (TeLTP)</w:t>
      </w:r>
    </w:p>
    <w:p>
      <w:pPr>
        <w:pBdr>
          <w:left w:val="single" w:color="F2C500" w:sz="18" w:space="14"/>
        </w:pBdr>
        <w:spacing w:after="200" w:before="60"/>
        <w:ind w:left="240"/>
      </w:pPr>
      <w:r>
        <w:rPr>
          <w:i/>
          <w:iCs/>
          <w:color w:val="4B5563"/>
          <w:sz w:val="22"/>
          <w:szCs w:val="22"/>
        </w:rPr>
        <w:t xml:space="preserve">This section covers TIRDO's short-course catalogue and how to enrol.</w:t>
      </w:r>
    </w:p>
    <w:p>
      <w:pPr>
        <w:spacing w:after="140"/>
      </w:pPr>
      <w:r>
        <w:rPr>
          <w:color w:val="1F2937"/>
          <w:sz w:val="22"/>
          <w:szCs w:val="22"/>
        </w:rPr>
        <w:t xml:space="preserve">The Training section (/training) lists short courses by area, duration and mode, and shows upcoming training. Use the TeLTP gateway (TIRDO e-Learning &amp; Training Platform) to browse the course calendar, register online and access learning materials.</w:t>
      </w:r>
    </w:p>
    <w:p>
      <w:pPr>
        <w:pBdr>
          <w:top w:val="single" w:color="D1D5DB" w:sz="4"/>
          <w:bottom w:val="single" w:color="D1D5DB" w:sz="4"/>
          <w:left w:val="single" w:color="D1D5DB" w:sz="4"/>
          <w:right w:val="single" w:color="D1D5DB" w:sz="4"/>
        </w:pBdr>
        <w:spacing w:after="40" w:before="120"/>
        <w:jc w:val="center"/>
      </w:pPr>
      <w:r>
        <w:drawing>
          <wp:inline distT="0" distB="0" distL="0" distR="0">
            <wp:extent cx="54864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2333625"/>
                    </a:xfrm>
                    <a:prstGeom prst="rect">
                      <a:avLst/>
                    </a:prstGeom>
                  </pic:spPr>
                </pic:pic>
              </a:graphicData>
            </a:graphic>
          </wp:inline>
        </w:drawing>
      </w:r>
    </w:p>
    <w:p>
      <w:pPr>
        <w:spacing w:after="220"/>
        <w:jc w:val="center"/>
      </w:pPr>
      <w:r>
        <w:rPr>
          <w:i/>
          <w:iCs/>
          <w:color w:val="4B5563"/>
          <w:sz w:val="18"/>
          <w:szCs w:val="18"/>
        </w:rPr>
        <w:t xml:space="preserve">Figure 7. Training &amp; Skills Development — the short-course catalogue with area, duration and mode.</w:t>
      </w:r>
    </w:p>
    <w:p>
      <w:pPr>
        <w:pStyle w:val="Heading2"/>
      </w:pPr>
      <w:r>
        <w:t xml:space="preserve">13. Research &amp; Projects</w:t>
      </w:r>
    </w:p>
    <w:p>
      <w:pPr>
        <w:pBdr>
          <w:left w:val="single" w:color="F2C500" w:sz="18" w:space="14"/>
        </w:pBdr>
        <w:spacing w:after="200" w:before="60"/>
        <w:ind w:left="240"/>
      </w:pPr>
      <w:r>
        <w:rPr>
          <w:i/>
          <w:iCs/>
          <w:color w:val="4B5563"/>
          <w:sz w:val="22"/>
          <w:szCs w:val="22"/>
        </w:rPr>
        <w:t xml:space="preserve">This section explains how to browse TIRDO's research projects and filter to what interests you.</w:t>
      </w:r>
    </w:p>
    <w:p>
      <w:pPr>
        <w:spacing w:after="140"/>
      </w:pPr>
      <w:r>
        <w:rPr>
          <w:color w:val="1F2937"/>
          <w:sz w:val="22"/>
          <w:szCs w:val="22"/>
        </w:rPr>
        <w:t xml:space="preserve">Open Research &amp; Projects (/projects) to see ongoing and featured research. Filter by research area and by status (Featured, Ongoing, Completed) to focus the list.</w:t>
      </w:r>
    </w:p>
    <w:p>
      <w:pPr>
        <w:pStyle w:val="Heading2"/>
      </w:pPr>
      <w:r>
        <w:t xml:space="preserve">14. Publications</w:t>
      </w:r>
    </w:p>
    <w:p>
      <w:pPr>
        <w:pBdr>
          <w:left w:val="single" w:color="F2C500" w:sz="18" w:space="14"/>
        </w:pBdr>
        <w:spacing w:after="200" w:before="60"/>
        <w:ind w:left="240"/>
      </w:pPr>
      <w:r>
        <w:rPr>
          <w:i/>
          <w:iCs/>
          <w:color w:val="4B5563"/>
          <w:sz w:val="22"/>
          <w:szCs w:val="22"/>
        </w:rPr>
        <w:t xml:space="preserve">This section explains how to find and download TIRDO's reports and papers.</w:t>
      </w:r>
    </w:p>
    <w:p>
      <w:pPr>
        <w:pStyle w:val="ListParagraph"/>
        <w:numPr>
          <w:ilvl w:val="0"/>
          <w:numId w:val="5"/>
        </w:numPr>
        <w:spacing w:after="60"/>
      </w:pPr>
      <w:r>
        <w:rPr>
          <w:color w:val="1F2937"/>
          <w:sz w:val="22"/>
          <w:szCs w:val="22"/>
        </w:rPr>
        <w:t xml:space="preserve">Open Publications (/publications).</w:t>
      </w:r>
    </w:p>
    <w:p>
      <w:pPr>
        <w:pStyle w:val="ListParagraph"/>
        <w:numPr>
          <w:ilvl w:val="0"/>
          <w:numId w:val="5"/>
        </w:numPr>
        <w:spacing w:after="60"/>
      </w:pPr>
      <w:r>
        <w:rPr>
          <w:color w:val="1F2937"/>
          <w:sz w:val="22"/>
          <w:szCs w:val="22"/>
        </w:rPr>
        <w:t xml:space="preserve">Filter by type and year, or search by title, author or keyword.</w:t>
      </w:r>
    </w:p>
    <w:p>
      <w:pPr>
        <w:pStyle w:val="ListParagraph"/>
        <w:numPr>
          <w:ilvl w:val="0"/>
          <w:numId w:val="5"/>
        </w:numPr>
        <w:spacing w:after="60"/>
      </w:pPr>
      <w:r>
        <w:rPr>
          <w:color w:val="1F2937"/>
          <w:sz w:val="22"/>
          <w:szCs w:val="22"/>
        </w:rPr>
        <w:t xml:space="preserve">Expand a row to see the abstract, keywords, DOI and citation.</w:t>
      </w:r>
    </w:p>
    <w:p>
      <w:pPr>
        <w:pStyle w:val="ListParagraph"/>
        <w:numPr>
          <w:ilvl w:val="0"/>
          <w:numId w:val="5"/>
        </w:numPr>
        <w:spacing w:after="60"/>
      </w:pPr>
      <w:r>
        <w:rPr>
          <w:color w:val="1F2937"/>
          <w:sz w:val="22"/>
          <w:szCs w:val="22"/>
        </w:rPr>
        <w:t xml:space="preserve">Download the PDF from the entry.</w:t>
      </w:r>
    </w:p>
    <w:p>
      <w:pPr>
        <w:pBdr>
          <w:top w:val="single" w:color="D1D5DB" w:sz="4"/>
          <w:bottom w:val="single" w:color="D1D5DB" w:sz="4"/>
          <w:left w:val="single" w:color="D1D5DB" w:sz="4"/>
          <w:right w:val="single" w:color="D1D5DB" w:sz="4"/>
        </w:pBdr>
        <w:spacing w:after="40" w:before="120"/>
        <w:jc w:val="center"/>
      </w:pPr>
      <w:r>
        <w:drawing>
          <wp:inline distT="0" distB="0" distL="0" distR="0">
            <wp:extent cx="54864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2895600"/>
                    </a:xfrm>
                    <a:prstGeom prst="rect">
                      <a:avLst/>
                    </a:prstGeom>
                  </pic:spPr>
                </pic:pic>
              </a:graphicData>
            </a:graphic>
          </wp:inline>
        </w:drawing>
      </w:r>
    </w:p>
    <w:p>
      <w:pPr>
        <w:spacing w:after="220"/>
        <w:jc w:val="center"/>
      </w:pPr>
      <w:r>
        <w:rPr>
          <w:i/>
          <w:iCs/>
          <w:color w:val="4B5563"/>
          <w:sz w:val="18"/>
          <w:szCs w:val="18"/>
        </w:rPr>
        <w:t xml:space="preserve">Figure 8. The Publications library — filter by type and year, search, and download PDFs.</w:t>
      </w:r>
    </w:p>
    <w:p>
      <w:pPr>
        <w:pStyle w:val="Heading2"/>
      </w:pPr>
      <w:r>
        <w:t xml:space="preserve">15. Media Centre — News, Events, Gallery, Documents</w:t>
      </w:r>
    </w:p>
    <w:p>
      <w:pPr>
        <w:pBdr>
          <w:left w:val="single" w:color="F2C500" w:sz="18" w:space="14"/>
        </w:pBdr>
        <w:spacing w:after="200" w:before="60"/>
        <w:ind w:left="240"/>
      </w:pPr>
      <w:r>
        <w:rPr>
          <w:i/>
          <w:iCs/>
          <w:color w:val="4B5563"/>
          <w:sz w:val="22"/>
          <w:szCs w:val="22"/>
        </w:rPr>
        <w:t xml:space="preserve">This section points you to TIRDO's news and media resources.</w:t>
      </w:r>
    </w:p>
    <w:p>
      <w:pPr>
        <w:pStyle w:val="ListParagraph"/>
        <w:numPr>
          <w:ilvl w:val="0"/>
          <w:numId w:val="1"/>
        </w:numPr>
        <w:spacing w:after="60"/>
      </w:pPr>
      <w:r>
        <w:rPr>
          <w:b/>
          <w:bCs/>
          <w:color w:val="1F2937"/>
          <w:sz w:val="22"/>
          <w:szCs w:val="22"/>
        </w:rPr>
        <w:t xml:space="preserve">News</w:t>
      </w:r>
      <w:r>
        <w:rPr>
          <w:color w:val="1F2937"/>
          <w:sz w:val="22"/>
          <w:szCs w:val="22"/>
        </w:rPr>
        <w:t xml:space="preserve"> (/news) — announcements and stories; open an item to read the full article.</w:t>
      </w:r>
    </w:p>
    <w:p>
      <w:pPr>
        <w:pStyle w:val="ListParagraph"/>
        <w:numPr>
          <w:ilvl w:val="0"/>
          <w:numId w:val="1"/>
        </w:numPr>
        <w:spacing w:after="60"/>
      </w:pPr>
      <w:r>
        <w:rPr>
          <w:b/>
          <w:bCs/>
          <w:color w:val="1F2937"/>
          <w:sz w:val="22"/>
          <w:szCs w:val="22"/>
        </w:rPr>
        <w:t xml:space="preserve">Events</w:t>
      </w:r>
      <w:r>
        <w:rPr>
          <w:color w:val="1F2937"/>
          <w:sz w:val="22"/>
          <w:szCs w:val="22"/>
        </w:rPr>
        <w:t xml:space="preserve"> (/events) — trainings, workshops and exhibitions with dates and locations.</w:t>
      </w:r>
    </w:p>
    <w:p>
      <w:pPr>
        <w:pStyle w:val="ListParagraph"/>
        <w:numPr>
          <w:ilvl w:val="0"/>
          <w:numId w:val="1"/>
        </w:numPr>
        <w:spacing w:after="60"/>
      </w:pPr>
      <w:r>
        <w:rPr>
          <w:b/>
          <w:bCs/>
          <w:color w:val="1F2937"/>
          <w:sz w:val="22"/>
          <w:szCs w:val="22"/>
        </w:rPr>
        <w:t xml:space="preserve">Gallery</w:t>
      </w:r>
      <w:r>
        <w:rPr>
          <w:color w:val="1F2937"/>
          <w:sz w:val="22"/>
          <w:szCs w:val="22"/>
        </w:rPr>
        <w:t xml:space="preserve"> (/gallery) — photographs of TIRDO activities and facilities.</w:t>
      </w:r>
    </w:p>
    <w:p>
      <w:pPr>
        <w:pStyle w:val="ListParagraph"/>
        <w:numPr>
          <w:ilvl w:val="0"/>
          <w:numId w:val="1"/>
        </w:numPr>
        <w:spacing w:after="60"/>
      </w:pPr>
      <w:r>
        <w:rPr>
          <w:b/>
          <w:bCs/>
          <w:color w:val="1F2937"/>
          <w:sz w:val="22"/>
          <w:szCs w:val="22"/>
        </w:rPr>
        <w:t xml:space="preserve">Documents</w:t>
      </w:r>
      <w:r>
        <w:rPr>
          <w:color w:val="1F2937"/>
          <w:sz w:val="22"/>
          <w:szCs w:val="22"/>
        </w:rPr>
        <w:t xml:space="preserve"> (/documents) — downloadable forms, guidelines and official documents.</w:t>
      </w:r>
    </w:p>
    <w:p>
      <w:pPr>
        <w:pStyle w:val="Heading2"/>
      </w:pPr>
      <w:r>
        <w:t xml:space="preserve">16. Careers</w:t>
      </w:r>
    </w:p>
    <w:p>
      <w:pPr>
        <w:pBdr>
          <w:left w:val="single" w:color="F2C500" w:sz="18" w:space="14"/>
        </w:pBdr>
        <w:spacing w:after="200" w:before="60"/>
        <w:ind w:left="240"/>
      </w:pPr>
      <w:r>
        <w:rPr>
          <w:i/>
          <w:iCs/>
          <w:color w:val="4B5563"/>
          <w:sz w:val="22"/>
          <w:szCs w:val="22"/>
        </w:rPr>
        <w:t xml:space="preserve">This section explains how to find open vacancies and apply.</w:t>
      </w:r>
    </w:p>
    <w:p>
      <w:pPr>
        <w:pStyle w:val="ListParagraph"/>
        <w:numPr>
          <w:ilvl w:val="0"/>
          <w:numId w:val="6"/>
        </w:numPr>
        <w:spacing w:after="60"/>
      </w:pPr>
      <w:r>
        <w:rPr>
          <w:color w:val="1F2937"/>
          <w:sz w:val="22"/>
          <w:szCs w:val="22"/>
        </w:rPr>
        <w:t xml:space="preserve">Open Careers (/careers).</w:t>
      </w:r>
    </w:p>
    <w:p>
      <w:pPr>
        <w:pStyle w:val="ListParagraph"/>
        <w:numPr>
          <w:ilvl w:val="0"/>
          <w:numId w:val="6"/>
        </w:numPr>
        <w:spacing w:after="60"/>
      </w:pPr>
      <w:r>
        <w:rPr>
          <w:color w:val="1F2937"/>
          <w:sz w:val="22"/>
          <w:szCs w:val="22"/>
        </w:rPr>
        <w:t xml:space="preserve">Browse open vacancies; filter by category if needed.</w:t>
      </w:r>
    </w:p>
    <w:p>
      <w:pPr>
        <w:pStyle w:val="ListParagraph"/>
        <w:numPr>
          <w:ilvl w:val="0"/>
          <w:numId w:val="6"/>
        </w:numPr>
        <w:spacing w:after="60"/>
      </w:pPr>
      <w:r>
        <w:rPr>
          <w:color w:val="1F2937"/>
          <w:sz w:val="22"/>
          <w:szCs w:val="22"/>
        </w:rPr>
        <w:t xml:space="preserve">Closed positions are hidden by default — toggle Include closed to see them.</w:t>
      </w:r>
    </w:p>
    <w:p>
      <w:pPr>
        <w:pStyle w:val="ListParagraph"/>
        <w:numPr>
          <w:ilvl w:val="0"/>
          <w:numId w:val="6"/>
        </w:numPr>
        <w:spacing w:after="60"/>
      </w:pPr>
      <w:r>
        <w:rPr>
          <w:color w:val="1F2937"/>
          <w:sz w:val="22"/>
          <w:szCs w:val="22"/>
        </w:rPr>
        <w:t xml:space="preserve">Use Apply to reach the Government recruitment portal.</w:t>
      </w:r>
    </w:p>
    <w:p>
      <w:pPr>
        <w:spacing w:after="140"/>
      </w:pPr>
      <w:r>
        <w:rPr>
          <w:color w:val="1F2937"/>
          <w:sz w:val="22"/>
          <w:szCs w:val="22"/>
        </w:rPr>
        <w:t xml:space="preserve">Vacancies close automatically at the end of their closing date, so the list always reflects what is currently open.</w:t>
      </w:r>
    </w:p>
    <w:p>
      <w:pPr>
        <w:pStyle w:val="Heading2"/>
      </w:pPr>
      <w:r>
        <w:t xml:space="preserve">17. Tenders</w:t>
      </w:r>
    </w:p>
    <w:p>
      <w:pPr>
        <w:pBdr>
          <w:left w:val="single" w:color="F2C500" w:sz="18" w:space="14"/>
        </w:pBdr>
        <w:spacing w:after="200" w:before="60"/>
        <w:ind w:left="240"/>
      </w:pPr>
      <w:r>
        <w:rPr>
          <w:i/>
          <w:iCs/>
          <w:color w:val="4B5563"/>
          <w:sz w:val="22"/>
          <w:szCs w:val="22"/>
        </w:rPr>
        <w:t xml:space="preserve">This section explains how to find procurement notices and their documents.</w:t>
      </w:r>
    </w:p>
    <w:p>
      <w:pPr>
        <w:spacing w:after="140"/>
      </w:pPr>
      <w:r>
        <w:rPr>
          <w:color w:val="1F2937"/>
          <w:sz w:val="22"/>
          <w:szCs w:val="22"/>
        </w:rPr>
        <w:t xml:space="preserve">Open Tenders (/tenders) for active procurement notices with reference numbers and downloadable documents. Tenders archive automatically after their deadline passes.</w:t>
      </w:r>
    </w:p>
    <w:p>
      <w:pPr>
        <w:pStyle w:val="Heading2"/>
      </w:pPr>
      <w:r>
        <w:t xml:space="preserve">18. Contact &amp; enquiries</w:t>
      </w:r>
    </w:p>
    <w:p>
      <w:pPr>
        <w:pBdr>
          <w:left w:val="single" w:color="F2C500" w:sz="18" w:space="14"/>
        </w:pBdr>
        <w:spacing w:after="200" w:before="60"/>
        <w:ind w:left="240"/>
      </w:pPr>
      <w:r>
        <w:rPr>
          <w:i/>
          <w:iCs/>
          <w:color w:val="4B5563"/>
          <w:sz w:val="22"/>
          <w:szCs w:val="22"/>
        </w:rPr>
        <w:t xml:space="preserve">This section explains how to reach TIRDO and send an enquiry through the website.</w:t>
      </w:r>
    </w:p>
    <w:p>
      <w:pPr>
        <w:pStyle w:val="ListParagraph"/>
        <w:numPr>
          <w:ilvl w:val="0"/>
          <w:numId w:val="7"/>
        </w:numPr>
        <w:spacing w:after="60"/>
      </w:pPr>
      <w:r>
        <w:rPr>
          <w:color w:val="1F2937"/>
          <w:sz w:val="22"/>
          <w:szCs w:val="22"/>
        </w:rPr>
        <w:t xml:space="preserve">Open Contact Us (/contact) for TIRDO's address, phone, email and a location map.</w:t>
      </w:r>
    </w:p>
    <w:p>
      <w:pPr>
        <w:pStyle w:val="ListParagraph"/>
        <w:numPr>
          <w:ilvl w:val="0"/>
          <w:numId w:val="7"/>
        </w:numPr>
        <w:spacing w:after="60"/>
      </w:pPr>
      <w:r>
        <w:rPr>
          <w:color w:val="1F2937"/>
          <w:sz w:val="22"/>
          <w:szCs w:val="22"/>
        </w:rPr>
        <w:t xml:space="preserve">Complete the enquiry form: name, email, subject and message (phone and organisation are optional).</w:t>
      </w:r>
    </w:p>
    <w:p>
      <w:pPr>
        <w:pStyle w:val="ListParagraph"/>
        <w:numPr>
          <w:ilvl w:val="0"/>
          <w:numId w:val="7"/>
        </w:numPr>
        <w:spacing w:after="60"/>
      </w:pPr>
      <w:r>
        <w:rPr>
          <w:color w:val="1F2937"/>
          <w:sz w:val="22"/>
          <w:szCs w:val="22"/>
        </w:rPr>
        <w:t xml:space="preserve">Submit — a confirmation appears and your message is delivered to the TIRDO team.</w:t>
      </w:r>
    </w:p>
    <w:p>
      <w:pPr>
        <w:spacing w:after="140"/>
      </w:pPr>
      <w:r>
        <w:rPr>
          <w:color w:val="1F2937"/>
          <w:sz w:val="22"/>
          <w:szCs w:val="22"/>
        </w:rPr>
        <w:t xml:space="preserve">Working hours are Monday to Friday, 08:00–16:30 (EAT).</w:t>
      </w:r>
    </w:p>
    <w:p>
      <w:pPr>
        <w:pBdr>
          <w:top w:val="single" w:color="D1D5DB" w:sz="4"/>
          <w:bottom w:val="single" w:color="D1D5DB" w:sz="4"/>
          <w:left w:val="single" w:color="D1D5DB" w:sz="4"/>
          <w:right w:val="single" w:color="D1D5DB" w:sz="4"/>
        </w:pBdr>
        <w:spacing w:after="40" w:before="120"/>
        <w:jc w:val="center"/>
      </w:pPr>
      <w:r>
        <w:drawing>
          <wp:inline distT="0" distB="0" distL="0" distR="0">
            <wp:extent cx="54864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2895600"/>
                    </a:xfrm>
                    <a:prstGeom prst="rect">
                      <a:avLst/>
                    </a:prstGeom>
                  </pic:spPr>
                </pic:pic>
              </a:graphicData>
            </a:graphic>
          </wp:inline>
        </w:drawing>
      </w:r>
    </w:p>
    <w:p>
      <w:pPr>
        <w:spacing w:after="220"/>
        <w:jc w:val="center"/>
      </w:pPr>
      <w:r>
        <w:rPr>
          <w:i/>
          <w:iCs/>
          <w:color w:val="4B5563"/>
          <w:sz w:val="18"/>
          <w:szCs w:val="18"/>
        </w:rPr>
        <w:t xml:space="preserve">Figure 9. The Contact page — TIRDO's address, phone, email and map alongside the enquiry form.</w:t>
      </w:r>
    </w:p>
    <w:p>
      <w:pPr>
        <w:pStyle w:val="Heading2"/>
      </w:pPr>
      <w:r>
        <w:t xml:space="preserve">19. e-Services &amp; signing in</w:t>
      </w:r>
    </w:p>
    <w:p>
      <w:pPr>
        <w:pBdr>
          <w:left w:val="single" w:color="F2C500" w:sz="18" w:space="14"/>
        </w:pBdr>
        <w:spacing w:after="200" w:before="60"/>
        <w:ind w:left="240"/>
      </w:pPr>
      <w:r>
        <w:rPr>
          <w:i/>
          <w:iCs/>
          <w:color w:val="4B5563"/>
          <w:sz w:val="22"/>
          <w:szCs w:val="22"/>
        </w:rPr>
        <w:t xml:space="preserve">This section explains the e-Services area and how to sign in securely.</w:t>
      </w:r>
    </w:p>
    <w:p>
      <w:pPr>
        <w:spacing w:after="140"/>
      </w:pPr>
      <w:r>
        <w:rPr>
          <w:color w:val="1F2937"/>
          <w:sz w:val="22"/>
          <w:szCs w:val="22"/>
        </w:rPr>
        <w:t xml:space="preserve">The e-Services page (/e-services) is the gateway to TIRDO's online systems. Registered users and staff sign in once using TIRDO single sign-on (Keycloak). Signed-in users see a client portal with their service requests and documents; staff see additional tools by role. Privileged accounts are protected by multi-factor authentication (an authenticator app code) at sign-in.</w:t>
      </w:r>
    </w:p>
    <w:p>
      <w:pPr>
        <w:pStyle w:val="Heading2"/>
      </w:pPr>
      <w:r>
        <w:t xml:space="preserve">20. Analytics</w:t>
      </w:r>
    </w:p>
    <w:p>
      <w:pPr>
        <w:pBdr>
          <w:left w:val="single" w:color="F2C500" w:sz="18" w:space="14"/>
        </w:pBdr>
        <w:spacing w:after="200" w:before="60"/>
        <w:ind w:left="240"/>
      </w:pPr>
      <w:r>
        <w:rPr>
          <w:i/>
          <w:iCs/>
          <w:color w:val="4B5563"/>
          <w:sz w:val="22"/>
          <w:szCs w:val="22"/>
        </w:rPr>
        <w:t xml:space="preserve">This section describes the public analytics page.</w:t>
      </w:r>
    </w:p>
    <w:p>
      <w:pPr>
        <w:spacing w:after="140"/>
      </w:pPr>
      <w:r>
        <w:rPr>
          <w:color w:val="1F2937"/>
          <w:sz w:val="22"/>
          <w:szCs w:val="22"/>
        </w:rPr>
        <w:t xml:space="preserve">The Analytics page (/analytics) shows selected site statistics gathered by TIRDO's own first-party analytics, which respects visitor privacy and works without third-party trackers.</w:t>
      </w:r>
    </w:p>
    <w:p>
      <w:pPr>
        <w:pStyle w:val="Heading2"/>
      </w:pPr>
      <w:r>
        <w:t xml:space="preserve">21. Accessibility features</w:t>
      </w:r>
    </w:p>
    <w:p>
      <w:pPr>
        <w:pBdr>
          <w:left w:val="single" w:color="F2C500" w:sz="18" w:space="14"/>
        </w:pBdr>
        <w:spacing w:after="200" w:before="60"/>
        <w:ind w:left="240"/>
      </w:pPr>
      <w:r>
        <w:rPr>
          <w:i/>
          <w:iCs/>
          <w:color w:val="4B5563"/>
          <w:sz w:val="22"/>
          <w:szCs w:val="22"/>
        </w:rPr>
        <w:t xml:space="preserve">This section lists the built-in features that make the site usable for everyone.</w:t>
      </w:r>
    </w:p>
    <w:p>
      <w:pPr>
        <w:spacing w:after="140"/>
      </w:pPr>
      <w:r>
        <w:rPr>
          <w:color w:val="1F2937"/>
          <w:sz w:val="22"/>
          <w:szCs w:val="22"/>
        </w:rPr>
        <w:t xml:space="preserve">The site targets WCAG 2.1 AA. It provides a “Skip to content” link, fully keyboard-navigable menus, visible focus indicators, sufficient colour contrast, descriptive image text, labelled form fields, and reduced-motion support (the home banner does not auto-advance when reduced motion is set).</w:t>
      </w:r>
    </w:p>
    <w:p>
      <w:pPr>
        <w:pStyle w:val="Heading2"/>
      </w:pPr>
      <w:r>
        <w:t xml:space="preserve">22. Downloads</w:t>
      </w:r>
    </w:p>
    <w:p>
      <w:pPr>
        <w:pBdr>
          <w:left w:val="single" w:color="F2C500" w:sz="18" w:space="14"/>
        </w:pBdr>
        <w:spacing w:after="200" w:before="60"/>
        <w:ind w:left="240"/>
      </w:pPr>
      <w:r>
        <w:rPr>
          <w:i/>
          <w:iCs/>
          <w:color w:val="4B5563"/>
          <w:sz w:val="22"/>
          <w:szCs w:val="22"/>
        </w:rPr>
        <w:t xml:space="preserve">This section explains how documents are delivered and how to save them.</w:t>
      </w:r>
    </w:p>
    <w:p>
      <w:pPr>
        <w:spacing w:after="140"/>
      </w:pPr>
      <w:r>
        <w:rPr>
          <w:color w:val="1F2937"/>
          <w:sz w:val="22"/>
          <w:szCs w:val="22"/>
        </w:rPr>
        <w:t xml:space="preserve">Publications, documents and tender files open or download as PDFs. To save a copy, right-click the link and choose “Save link as”.</w:t>
      </w:r>
    </w:p>
    <w:p>
      <w:r>
        <w:br w:type="page"/>
      </w:r>
    </w:p>
    <w:p>
      <w:pPr>
        <w:pStyle w:val="Heading1"/>
      </w:pPr>
      <w:r>
        <w:t xml:space="preserve">Part III — Content Administration (Staff)</w:t>
      </w:r>
    </w:p>
    <w:p>
      <w:pPr>
        <w:pBdr>
          <w:left w:val="single" w:color="F2C500" w:sz="18" w:space="14"/>
        </w:pBdr>
        <w:spacing w:after="200" w:before="60"/>
        <w:ind w:left="240"/>
      </w:pPr>
      <w:r>
        <w:rPr>
          <w:i/>
          <w:iCs/>
          <w:color w:val="4B5563"/>
          <w:sz w:val="22"/>
          <w:szCs w:val="22"/>
        </w:rPr>
        <w:t xml:space="preserve">This part is for TIRDO staff who maintain the website's content through the Strapi CMS. It covers signing in, the publishing workflow, every content type, day-to-day tasks, translations, and the controls that keep the site trustworthy. If you only browse the site, you do not need this part.</w:t>
      </w:r>
    </w:p>
    <w:p>
      <w:pPr>
        <w:pStyle w:val="Heading2"/>
      </w:pPr>
      <w:r>
        <w:t xml:space="preserve">1. How content reaches the website</w:t>
      </w:r>
    </w:p>
    <w:p>
      <w:pPr>
        <w:pBdr>
          <w:left w:val="single" w:color="F2C500" w:sz="18" w:space="14"/>
        </w:pBdr>
        <w:spacing w:after="200" w:before="60"/>
        <w:ind w:left="240"/>
      </w:pPr>
      <w:r>
        <w:rPr>
          <w:i/>
          <w:iCs/>
          <w:color w:val="4B5563"/>
          <w:sz w:val="22"/>
          <w:szCs w:val="22"/>
        </w:rPr>
        <w:t xml:space="preserve">This section explains the relationship between the CMS and the public site so the rest of the part makes sense.</w:t>
      </w:r>
    </w:p>
    <w:p>
      <w:pPr>
        <w:spacing w:after="140"/>
      </w:pPr>
      <w:r>
        <w:rPr>
          <w:color w:val="1F2937"/>
          <w:sz w:val="22"/>
          <w:szCs w:val="22"/>
        </w:rPr>
        <w:t xml:space="preserve">The public website reads its content from the Strapi CMS. When you publish or change an entry, the update appears on the site within about a minute (content is briefly cached). Entries you leave as drafts are never shown publicly.</w:t>
      </w:r>
    </w:p>
    <w:p>
      <w:pPr>
        <w:pStyle w:val="Heading2"/>
      </w:pPr>
      <w:r>
        <w:t xml:space="preserve">2. Signing in &amp; security</w:t>
      </w:r>
    </w:p>
    <w:p>
      <w:pPr>
        <w:pBdr>
          <w:left w:val="single" w:color="F2C500" w:sz="18" w:space="14"/>
        </w:pBdr>
        <w:spacing w:after="200" w:before="60"/>
        <w:ind w:left="240"/>
      </w:pPr>
      <w:r>
        <w:rPr>
          <w:i/>
          <w:iCs/>
          <w:color w:val="4B5563"/>
          <w:sz w:val="22"/>
          <w:szCs w:val="22"/>
        </w:rPr>
        <w:t xml:space="preserve">This section explains how to access the CMS and the security expected of every account.</w:t>
      </w:r>
    </w:p>
    <w:p>
      <w:pPr>
        <w:pStyle w:val="ListParagraph"/>
        <w:numPr>
          <w:ilvl w:val="0"/>
          <w:numId w:val="8"/>
        </w:numPr>
        <w:spacing w:after="60"/>
      </w:pPr>
      <w:r>
        <w:rPr>
          <w:color w:val="1F2937"/>
          <w:sz w:val="22"/>
          <w:szCs w:val="22"/>
        </w:rPr>
        <w:t xml:space="preserve">Open the CMS admin at the address your ICT team provides (the /admin path of the CMS).</w:t>
      </w:r>
    </w:p>
    <w:p>
      <w:pPr>
        <w:pStyle w:val="ListParagraph"/>
        <w:numPr>
          <w:ilvl w:val="0"/>
          <w:numId w:val="8"/>
        </w:numPr>
        <w:spacing w:after="60"/>
      </w:pPr>
      <w:r>
        <w:rPr>
          <w:color w:val="1F2937"/>
          <w:sz w:val="22"/>
          <w:szCs w:val="22"/>
        </w:rPr>
        <w:t xml:space="preserve">Sign in with your Strapi admin account.</w:t>
      </w:r>
    </w:p>
    <w:p>
      <w:pPr>
        <w:pStyle w:val="ListParagraph"/>
        <w:numPr>
          <w:ilvl w:val="0"/>
          <w:numId w:val="8"/>
        </w:numPr>
        <w:spacing w:after="60"/>
      </w:pPr>
      <w:r>
        <w:rPr>
          <w:color w:val="1F2937"/>
          <w:sz w:val="22"/>
          <w:szCs w:val="22"/>
        </w:rPr>
        <w:t xml:space="preserve">If prompted, complete multi-factor authentication with your authenticator app.</w:t>
      </w:r>
    </w:p>
    <w:p>
      <w:pPr>
        <w:spacing w:after="140"/>
      </w:pPr>
      <w:r>
        <w:rPr>
          <w:color w:val="1F2937"/>
          <w:sz w:val="22"/>
          <w:szCs w:val="22"/>
        </w:rPr>
        <w:t xml:space="preserve">Keep your credentials private, use a strong unique password, and enrol an authenticator app when asked. Roles and permissions are managed under Settings → Administration Panel → Roles.</w:t>
      </w:r>
    </w:p>
    <w:p>
      <w:pPr>
        <w:pStyle w:val="Heading2"/>
      </w:pPr>
      <w:r>
        <w:t xml:space="preserve">3. The draft &amp; publish workflow</w:t>
      </w:r>
    </w:p>
    <w:p>
      <w:pPr>
        <w:pBdr>
          <w:left w:val="single" w:color="F2C500" w:sz="18" w:space="14"/>
        </w:pBdr>
        <w:spacing w:after="200" w:before="60"/>
        <w:ind w:left="240"/>
      </w:pPr>
      <w:r>
        <w:rPr>
          <w:i/>
          <w:iCs/>
          <w:color w:val="4B5563"/>
          <w:sz w:val="22"/>
          <w:szCs w:val="22"/>
        </w:rPr>
        <w:t xml:space="preserve">This section explains the states every piece of content moves through and the approval gate between them.</w:t>
      </w:r>
    </w:p>
    <w:p>
      <w:pPr>
        <w:spacing w:after="140"/>
      </w:pPr>
      <w:r>
        <w:rPr>
          <w:color w:val="1F2937"/>
          <w:sz w:val="22"/>
          <w:szCs w:val="22"/>
        </w:rPr>
        <w:t xml:space="preserve">Every content type has Draft and Published states. Editing creates a draft; the public site shows only Published entries. The recommended flow is: an Author creates and edits a draft, an Editor/Approver reviews it, and then it is Published. Publishing is the approval gate, and every publish is recorded in the audit log.</w:t>
      </w:r>
    </w:p>
    <w:p>
      <w:pPr>
        <w:pStyle w:val="Heading2"/>
      </w:pPr>
      <w:r>
        <w:t xml:space="preserve">4. Content types reference</w:t>
      </w:r>
    </w:p>
    <w:p>
      <w:pPr>
        <w:pBdr>
          <w:left w:val="single" w:color="F2C500" w:sz="18" w:space="14"/>
        </w:pBdr>
        <w:spacing w:after="200" w:before="60"/>
        <w:ind w:left="240"/>
      </w:pPr>
      <w:r>
        <w:rPr>
          <w:i/>
          <w:iCs/>
          <w:color w:val="4B5563"/>
          <w:sz w:val="22"/>
          <w:szCs w:val="22"/>
        </w:rPr>
        <w:t xml:space="preserve">This section lists each type of content you can manage and the key fields on each, so you know where every part of the site comes from.</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4800"/>
      </w:tblGrid>
      <w:tr>
        <w:trPr>
          <w:tblHeader/>
        </w:trPr>
        <w:tc>
          <w:tcPr>
            <w:tcW w:type="dxa" w:w="2300"/>
            <w:shd w:fill="17488E" w:val="clear"/>
            <w:tcMar>
              <w:top w:type="dxa" w:w="60"/>
              <w:left w:type="dxa" w:w="110"/>
              <w:bottom w:type="dxa" w:w="60"/>
              <w:right w:type="dxa" w:w="110"/>
            </w:tcMar>
          </w:tcPr>
          <w:p>
            <w:r>
              <w:rPr>
                <w:b/>
                <w:bCs/>
                <w:color w:val="FFFFFF"/>
                <w:sz w:val="20"/>
                <w:szCs w:val="20"/>
              </w:rPr>
              <w:t xml:space="preserve">Content type</w:t>
            </w:r>
          </w:p>
        </w:tc>
        <w:tc>
          <w:tcPr>
            <w:tcW w:type="dxa" w:w="1700"/>
            <w:shd w:fill="17488E" w:val="clear"/>
            <w:tcMar>
              <w:top w:type="dxa" w:w="60"/>
              <w:left w:type="dxa" w:w="110"/>
              <w:bottom w:type="dxa" w:w="60"/>
              <w:right w:type="dxa" w:w="110"/>
            </w:tcMar>
          </w:tcPr>
          <w:p>
            <w:r>
              <w:rPr>
                <w:b/>
                <w:bCs/>
                <w:color w:val="FFFFFF"/>
                <w:sz w:val="20"/>
                <w:szCs w:val="20"/>
              </w:rPr>
              <w:t xml:space="preserve">Appears at</w:t>
            </w:r>
          </w:p>
        </w:tc>
        <w:tc>
          <w:tcPr>
            <w:tcW w:type="dxa" w:w="4800"/>
            <w:shd w:fill="17488E" w:val="clear"/>
            <w:tcMar>
              <w:top w:type="dxa" w:w="60"/>
              <w:left w:type="dxa" w:w="110"/>
              <w:bottom w:type="dxa" w:w="60"/>
              <w:right w:type="dxa" w:w="110"/>
            </w:tcMar>
          </w:tcPr>
          <w:p>
            <w:r>
              <w:rPr>
                <w:b/>
                <w:bCs/>
                <w:color w:val="FFFFFF"/>
                <w:sz w:val="20"/>
                <w:szCs w:val="20"/>
              </w:rPr>
              <w:t xml:space="preserve">Key fields</w:t>
            </w:r>
          </w:p>
        </w:tc>
      </w:tr>
      <w:tr>
        <w:tc>
          <w:tcPr>
            <w:tcW w:type="dxa" w:w="2300"/>
            <w:tcMar>
              <w:top w:type="dxa" w:w="60"/>
              <w:left w:type="dxa" w:w="110"/>
              <w:bottom w:type="dxa" w:w="60"/>
              <w:right w:type="dxa" w:w="110"/>
            </w:tcMar>
          </w:tcPr>
          <w:p>
            <w:r>
              <w:rPr>
                <w:b w:val="false"/>
                <w:bCs w:val="false"/>
                <w:color w:val="1F2937"/>
                <w:sz w:val="20"/>
                <w:szCs w:val="20"/>
              </w:rPr>
              <w:t xml:space="preserve">Article (News)</w:t>
            </w:r>
          </w:p>
        </w:tc>
        <w:tc>
          <w:tcPr>
            <w:tcW w:type="dxa" w:w="1700"/>
            <w:tcMar>
              <w:top w:type="dxa" w:w="60"/>
              <w:left w:type="dxa" w:w="110"/>
              <w:bottom w:type="dxa" w:w="60"/>
              <w:right w:type="dxa" w:w="110"/>
            </w:tcMar>
          </w:tcPr>
          <w:p>
            <w:r>
              <w:rPr>
                <w:b w:val="false"/>
                <w:bCs w:val="false"/>
                <w:color w:val="1F2937"/>
                <w:sz w:val="20"/>
                <w:szCs w:val="20"/>
              </w:rPr>
              <w:t xml:space="preserve">/news</w:t>
            </w:r>
          </w:p>
        </w:tc>
        <w:tc>
          <w:tcPr>
            <w:tcW w:type="dxa" w:w="4800"/>
            <w:tcMar>
              <w:top w:type="dxa" w:w="60"/>
              <w:left w:type="dxa" w:w="110"/>
              <w:bottom w:type="dxa" w:w="60"/>
              <w:right w:type="dxa" w:w="110"/>
            </w:tcMar>
          </w:tcPr>
          <w:p>
            <w:r>
              <w:rPr>
                <w:b w:val="false"/>
                <w:bCs w:val="false"/>
                <w:color w:val="1F2937"/>
                <w:sz w:val="20"/>
                <w:szCs w:val="20"/>
              </w:rPr>
              <w:t xml:space="preserve">Title, slug, excerpt, body, category, date, cover image, source URL</w:t>
            </w:r>
          </w:p>
        </w:tc>
      </w:tr>
      <w:tr>
        <w:tc>
          <w:tcPr>
            <w:tcW w:type="dxa" w:w="2300"/>
            <w:tcMar>
              <w:top w:type="dxa" w:w="60"/>
              <w:left w:type="dxa" w:w="110"/>
              <w:bottom w:type="dxa" w:w="60"/>
              <w:right w:type="dxa" w:w="110"/>
            </w:tcMar>
          </w:tcPr>
          <w:p>
            <w:r>
              <w:rPr>
                <w:b w:val="false"/>
                <w:bCs w:val="false"/>
                <w:color w:val="1F2937"/>
                <w:sz w:val="20"/>
                <w:szCs w:val="20"/>
              </w:rPr>
              <w:t xml:space="preserve">Research Project</w:t>
            </w:r>
          </w:p>
        </w:tc>
        <w:tc>
          <w:tcPr>
            <w:tcW w:type="dxa" w:w="1700"/>
            <w:tcMar>
              <w:top w:type="dxa" w:w="60"/>
              <w:left w:type="dxa" w:w="110"/>
              <w:bottom w:type="dxa" w:w="60"/>
              <w:right w:type="dxa" w:w="110"/>
            </w:tcMar>
          </w:tcPr>
          <w:p>
            <w:r>
              <w:rPr>
                <w:b w:val="false"/>
                <w:bCs w:val="false"/>
                <w:color w:val="1F2937"/>
                <w:sz w:val="20"/>
                <w:szCs w:val="20"/>
              </w:rPr>
              <w:t xml:space="preserve">/projects</w:t>
            </w:r>
          </w:p>
        </w:tc>
        <w:tc>
          <w:tcPr>
            <w:tcW w:type="dxa" w:w="4800"/>
            <w:tcMar>
              <w:top w:type="dxa" w:w="60"/>
              <w:left w:type="dxa" w:w="110"/>
              <w:bottom w:type="dxa" w:w="60"/>
              <w:right w:type="dxa" w:w="110"/>
            </w:tcMar>
          </w:tcPr>
          <w:p>
            <w:r>
              <w:rPr>
                <w:b w:val="false"/>
                <w:bCs w:val="false"/>
                <w:color w:val="1F2937"/>
                <w:sz w:val="20"/>
                <w:szCs w:val="20"/>
              </w:rPr>
              <w:t xml:space="preserve">Title, summary, body, department, status, research area, year, funder, cover</w:t>
            </w:r>
          </w:p>
        </w:tc>
      </w:tr>
      <w:tr>
        <w:tc>
          <w:tcPr>
            <w:tcW w:type="dxa" w:w="2300"/>
            <w:tcMar>
              <w:top w:type="dxa" w:w="60"/>
              <w:left w:type="dxa" w:w="110"/>
              <w:bottom w:type="dxa" w:w="60"/>
              <w:right w:type="dxa" w:w="110"/>
            </w:tcMar>
          </w:tcPr>
          <w:p>
            <w:r>
              <w:rPr>
                <w:b w:val="false"/>
                <w:bCs w:val="false"/>
                <w:color w:val="1F2937"/>
                <w:sz w:val="20"/>
                <w:szCs w:val="20"/>
              </w:rPr>
              <w:t xml:space="preserve">Publication</w:t>
            </w:r>
          </w:p>
        </w:tc>
        <w:tc>
          <w:tcPr>
            <w:tcW w:type="dxa" w:w="1700"/>
            <w:tcMar>
              <w:top w:type="dxa" w:w="60"/>
              <w:left w:type="dxa" w:w="110"/>
              <w:bottom w:type="dxa" w:w="60"/>
              <w:right w:type="dxa" w:w="110"/>
            </w:tcMar>
          </w:tcPr>
          <w:p>
            <w:r>
              <w:rPr>
                <w:b w:val="false"/>
                <w:bCs w:val="false"/>
                <w:color w:val="1F2937"/>
                <w:sz w:val="20"/>
                <w:szCs w:val="20"/>
              </w:rPr>
              <w:t xml:space="preserve">/publications</w:t>
            </w:r>
          </w:p>
        </w:tc>
        <w:tc>
          <w:tcPr>
            <w:tcW w:type="dxa" w:w="4800"/>
            <w:tcMar>
              <w:top w:type="dxa" w:w="60"/>
              <w:left w:type="dxa" w:w="110"/>
              <w:bottom w:type="dxa" w:w="60"/>
              <w:right w:type="dxa" w:w="110"/>
            </w:tcMar>
          </w:tcPr>
          <w:p>
            <w:r>
              <w:rPr>
                <w:b w:val="false"/>
                <w:bCs w:val="false"/>
                <w:color w:val="1F2937"/>
                <w:sz w:val="20"/>
                <w:szCs w:val="20"/>
              </w:rPr>
              <w:t xml:space="preserve">Title, type, year, abstract, authors, keywords, DOI, citation, file</w:t>
            </w:r>
          </w:p>
        </w:tc>
      </w:tr>
      <w:tr>
        <w:tc>
          <w:tcPr>
            <w:tcW w:type="dxa" w:w="2300"/>
            <w:tcMar>
              <w:top w:type="dxa" w:w="60"/>
              <w:left w:type="dxa" w:w="110"/>
              <w:bottom w:type="dxa" w:w="60"/>
              <w:right w:type="dxa" w:w="110"/>
            </w:tcMar>
          </w:tcPr>
          <w:p>
            <w:r>
              <w:rPr>
                <w:b w:val="false"/>
                <w:bCs w:val="false"/>
                <w:color w:val="1F2937"/>
                <w:sz w:val="20"/>
                <w:szCs w:val="20"/>
              </w:rPr>
              <w:t xml:space="preserve">Service</w:t>
            </w:r>
          </w:p>
        </w:tc>
        <w:tc>
          <w:tcPr>
            <w:tcW w:type="dxa" w:w="1700"/>
            <w:tcMar>
              <w:top w:type="dxa" w:w="60"/>
              <w:left w:type="dxa" w:w="110"/>
              <w:bottom w:type="dxa" w:w="60"/>
              <w:right w:type="dxa" w:w="110"/>
            </w:tcMar>
          </w:tcPr>
          <w:p>
            <w:r>
              <w:rPr>
                <w:b w:val="false"/>
                <w:bCs w:val="false"/>
                <w:color w:val="1F2937"/>
                <w:sz w:val="20"/>
                <w:szCs w:val="20"/>
              </w:rPr>
              <w:t xml:space="preserve">/services</w:t>
            </w:r>
          </w:p>
        </w:tc>
        <w:tc>
          <w:tcPr>
            <w:tcW w:type="dxa" w:w="4800"/>
            <w:tcMar>
              <w:top w:type="dxa" w:w="60"/>
              <w:left w:type="dxa" w:w="110"/>
              <w:bottom w:type="dxa" w:w="60"/>
              <w:right w:type="dxa" w:w="110"/>
            </w:tcMar>
          </w:tcPr>
          <w:p>
            <w:r>
              <w:rPr>
                <w:b w:val="false"/>
                <w:bCs w:val="false"/>
                <w:color w:val="1F2937"/>
                <w:sz w:val="20"/>
                <w:szCs w:val="20"/>
              </w:rPr>
              <w:t xml:space="preserve">Title, description, icon, body</w:t>
            </w:r>
          </w:p>
        </w:tc>
      </w:tr>
      <w:tr>
        <w:tc>
          <w:tcPr>
            <w:tcW w:type="dxa" w:w="2300"/>
            <w:tcMar>
              <w:top w:type="dxa" w:w="60"/>
              <w:left w:type="dxa" w:w="110"/>
              <w:bottom w:type="dxa" w:w="60"/>
              <w:right w:type="dxa" w:w="110"/>
            </w:tcMar>
          </w:tcPr>
          <w:p>
            <w:r>
              <w:rPr>
                <w:b w:val="false"/>
                <w:bCs w:val="false"/>
                <w:color w:val="1F2937"/>
                <w:sz w:val="20"/>
                <w:szCs w:val="20"/>
              </w:rPr>
              <w:t xml:space="preserve">Department</w:t>
            </w:r>
          </w:p>
        </w:tc>
        <w:tc>
          <w:tcPr>
            <w:tcW w:type="dxa" w:w="1700"/>
            <w:tcMar>
              <w:top w:type="dxa" w:w="60"/>
              <w:left w:type="dxa" w:w="110"/>
              <w:bottom w:type="dxa" w:w="60"/>
              <w:right w:type="dxa" w:w="110"/>
            </w:tcMar>
          </w:tcPr>
          <w:p>
            <w:r>
              <w:rPr>
                <w:b w:val="false"/>
                <w:bCs w:val="false"/>
                <w:color w:val="1F2937"/>
                <w:sz w:val="20"/>
                <w:szCs w:val="20"/>
              </w:rPr>
              <w:t xml:space="preserve">/departments</w:t>
            </w:r>
          </w:p>
        </w:tc>
        <w:tc>
          <w:tcPr>
            <w:tcW w:type="dxa" w:w="4800"/>
            <w:tcMar>
              <w:top w:type="dxa" w:w="60"/>
              <w:left w:type="dxa" w:w="110"/>
              <w:bottom w:type="dxa" w:w="60"/>
              <w:right w:type="dxa" w:w="110"/>
            </w:tcMar>
          </w:tcPr>
          <w:p>
            <w:r>
              <w:rPr>
                <w:b w:val="false"/>
                <w:bCs w:val="false"/>
                <w:color w:val="1F2937"/>
                <w:sz w:val="20"/>
                <w:szCs w:val="20"/>
              </w:rPr>
              <w:t xml:space="preserve">Title, group, blurb, body</w:t>
            </w:r>
          </w:p>
        </w:tc>
      </w:tr>
      <w:tr>
        <w:tc>
          <w:tcPr>
            <w:tcW w:type="dxa" w:w="2300"/>
            <w:tcMar>
              <w:top w:type="dxa" w:w="60"/>
              <w:left w:type="dxa" w:w="110"/>
              <w:bottom w:type="dxa" w:w="60"/>
              <w:right w:type="dxa" w:w="110"/>
            </w:tcMar>
          </w:tcPr>
          <w:p>
            <w:r>
              <w:rPr>
                <w:b w:val="false"/>
                <w:bCs w:val="false"/>
                <w:color w:val="1F2937"/>
                <w:sz w:val="20"/>
                <w:szCs w:val="20"/>
              </w:rPr>
              <w:t xml:space="preserve">Technology</w:t>
            </w:r>
          </w:p>
        </w:tc>
        <w:tc>
          <w:tcPr>
            <w:tcW w:type="dxa" w:w="1700"/>
            <w:tcMar>
              <w:top w:type="dxa" w:w="60"/>
              <w:left w:type="dxa" w:w="110"/>
              <w:bottom w:type="dxa" w:w="60"/>
              <w:right w:type="dxa" w:w="110"/>
            </w:tcMar>
          </w:tcPr>
          <w:p>
            <w:r>
              <w:rPr>
                <w:b w:val="false"/>
                <w:bCs w:val="false"/>
                <w:color w:val="1F2937"/>
                <w:sz w:val="20"/>
                <w:szCs w:val="20"/>
              </w:rPr>
              <w:t xml:space="preserve">/technology</w:t>
            </w:r>
          </w:p>
        </w:tc>
        <w:tc>
          <w:tcPr>
            <w:tcW w:type="dxa" w:w="4800"/>
            <w:tcMar>
              <w:top w:type="dxa" w:w="60"/>
              <w:left w:type="dxa" w:w="110"/>
              <w:bottom w:type="dxa" w:w="60"/>
              <w:right w:type="dxa" w:w="110"/>
            </w:tcMar>
          </w:tcPr>
          <w:p>
            <w:r>
              <w:rPr>
                <w:b w:val="false"/>
                <w:bCs w:val="false"/>
                <w:color w:val="1F2937"/>
                <w:sz w:val="20"/>
                <w:szCs w:val="20"/>
              </w:rPr>
              <w:t xml:space="preserve">Title, summary, sector, maturity, body, benefits, applications, related service, image</w:t>
            </w:r>
          </w:p>
        </w:tc>
      </w:tr>
      <w:tr>
        <w:tc>
          <w:tcPr>
            <w:tcW w:type="dxa" w:w="2300"/>
            <w:tcMar>
              <w:top w:type="dxa" w:w="60"/>
              <w:left w:type="dxa" w:w="110"/>
              <w:bottom w:type="dxa" w:w="60"/>
              <w:right w:type="dxa" w:w="110"/>
            </w:tcMar>
          </w:tcPr>
          <w:p>
            <w:r>
              <w:rPr>
                <w:b w:val="false"/>
                <w:bCs w:val="false"/>
                <w:color w:val="1F2937"/>
                <w:sz w:val="20"/>
                <w:szCs w:val="20"/>
              </w:rPr>
              <w:t xml:space="preserve">Vacancy</w:t>
            </w:r>
          </w:p>
        </w:tc>
        <w:tc>
          <w:tcPr>
            <w:tcW w:type="dxa" w:w="1700"/>
            <w:tcMar>
              <w:top w:type="dxa" w:w="60"/>
              <w:left w:type="dxa" w:w="110"/>
              <w:bottom w:type="dxa" w:w="60"/>
              <w:right w:type="dxa" w:w="110"/>
            </w:tcMar>
          </w:tcPr>
          <w:p>
            <w:r>
              <w:rPr>
                <w:b w:val="false"/>
                <w:bCs w:val="false"/>
                <w:color w:val="1F2937"/>
                <w:sz w:val="20"/>
                <w:szCs w:val="20"/>
              </w:rPr>
              <w:t xml:space="preserve">/careers</w:t>
            </w:r>
          </w:p>
        </w:tc>
        <w:tc>
          <w:tcPr>
            <w:tcW w:type="dxa" w:w="4800"/>
            <w:tcMar>
              <w:top w:type="dxa" w:w="60"/>
              <w:left w:type="dxa" w:w="110"/>
              <w:bottom w:type="dxa" w:w="60"/>
              <w:right w:type="dxa" w:w="110"/>
            </w:tcMar>
          </w:tcPr>
          <w:p>
            <w:r>
              <w:rPr>
                <w:b w:val="false"/>
                <w:bCs w:val="false"/>
                <w:color w:val="1F2937"/>
                <w:sz w:val="20"/>
                <w:szCs w:val="20"/>
              </w:rPr>
              <w:t xml:space="preserve">Title, department, category, location, description, body, posted &amp; closing dates, apply URL</w:t>
            </w:r>
          </w:p>
        </w:tc>
      </w:tr>
      <w:tr>
        <w:tc>
          <w:tcPr>
            <w:tcW w:type="dxa" w:w="2300"/>
            <w:tcMar>
              <w:top w:type="dxa" w:w="60"/>
              <w:left w:type="dxa" w:w="110"/>
              <w:bottom w:type="dxa" w:w="60"/>
              <w:right w:type="dxa" w:w="110"/>
            </w:tcMar>
          </w:tcPr>
          <w:p>
            <w:r>
              <w:rPr>
                <w:b w:val="false"/>
                <w:bCs w:val="false"/>
                <w:color w:val="1F2937"/>
                <w:sz w:val="20"/>
                <w:szCs w:val="20"/>
              </w:rPr>
              <w:t xml:space="preserve">Tender</w:t>
            </w:r>
          </w:p>
        </w:tc>
        <w:tc>
          <w:tcPr>
            <w:tcW w:type="dxa" w:w="1700"/>
            <w:tcMar>
              <w:top w:type="dxa" w:w="60"/>
              <w:left w:type="dxa" w:w="110"/>
              <w:bottom w:type="dxa" w:w="60"/>
              <w:right w:type="dxa" w:w="110"/>
            </w:tcMar>
          </w:tcPr>
          <w:p>
            <w:r>
              <w:rPr>
                <w:b w:val="false"/>
                <w:bCs w:val="false"/>
                <w:color w:val="1F2937"/>
                <w:sz w:val="20"/>
                <w:szCs w:val="20"/>
              </w:rPr>
              <w:t xml:space="preserve">/tenders</w:t>
            </w:r>
          </w:p>
        </w:tc>
        <w:tc>
          <w:tcPr>
            <w:tcW w:type="dxa" w:w="4800"/>
            <w:tcMar>
              <w:top w:type="dxa" w:w="60"/>
              <w:left w:type="dxa" w:w="110"/>
              <w:bottom w:type="dxa" w:w="60"/>
              <w:right w:type="dxa" w:w="110"/>
            </w:tcMar>
          </w:tcPr>
          <w:p>
            <w:r>
              <w:rPr>
                <w:b w:val="false"/>
                <w:bCs w:val="false"/>
                <w:color w:val="1F2937"/>
                <w:sz w:val="20"/>
                <w:szCs w:val="20"/>
              </w:rPr>
              <w:t xml:space="preserve">Title, reference, category, description, posted &amp; closing dates, document</w:t>
            </w:r>
          </w:p>
        </w:tc>
      </w:tr>
      <w:tr>
        <w:tc>
          <w:tcPr>
            <w:tcW w:type="dxa" w:w="2300"/>
            <w:tcMar>
              <w:top w:type="dxa" w:w="60"/>
              <w:left w:type="dxa" w:w="110"/>
              <w:bottom w:type="dxa" w:w="60"/>
              <w:right w:type="dxa" w:w="110"/>
            </w:tcMar>
          </w:tcPr>
          <w:p>
            <w:r>
              <w:rPr>
                <w:b w:val="false"/>
                <w:bCs w:val="false"/>
                <w:color w:val="1F2937"/>
                <w:sz w:val="20"/>
                <w:szCs w:val="20"/>
              </w:rPr>
              <w:t xml:space="preserve">Page</w:t>
            </w:r>
          </w:p>
        </w:tc>
        <w:tc>
          <w:tcPr>
            <w:tcW w:type="dxa" w:w="1700"/>
            <w:tcMar>
              <w:top w:type="dxa" w:w="60"/>
              <w:left w:type="dxa" w:w="110"/>
              <w:bottom w:type="dxa" w:w="60"/>
              <w:right w:type="dxa" w:w="110"/>
            </w:tcMar>
          </w:tcPr>
          <w:p>
            <w:r>
              <w:rPr>
                <w:b w:val="false"/>
                <w:bCs w:val="false"/>
                <w:color w:val="1F2937"/>
                <w:sz w:val="20"/>
                <w:szCs w:val="20"/>
              </w:rPr>
              <w:t xml:space="preserve">various</w:t>
            </w:r>
          </w:p>
        </w:tc>
        <w:tc>
          <w:tcPr>
            <w:tcW w:type="dxa" w:w="4800"/>
            <w:tcMar>
              <w:top w:type="dxa" w:w="60"/>
              <w:left w:type="dxa" w:w="110"/>
              <w:bottom w:type="dxa" w:w="60"/>
              <w:right w:type="dxa" w:w="110"/>
            </w:tcMar>
          </w:tcPr>
          <w:p>
            <w:r>
              <w:rPr>
                <w:b w:val="false"/>
                <w:bCs w:val="false"/>
                <w:color w:val="1F2937"/>
                <w:sz w:val="20"/>
                <w:szCs w:val="20"/>
              </w:rPr>
              <w:t xml:space="preserve">Title, slug, body</w:t>
            </w:r>
          </w:p>
        </w:tc>
      </w:tr>
      <w:tr>
        <w:tc>
          <w:tcPr>
            <w:tcW w:type="dxa" w:w="2300"/>
            <w:tcMar>
              <w:top w:type="dxa" w:w="60"/>
              <w:left w:type="dxa" w:w="110"/>
              <w:bottom w:type="dxa" w:w="60"/>
              <w:right w:type="dxa" w:w="110"/>
            </w:tcMar>
          </w:tcPr>
          <w:p>
            <w:r>
              <w:rPr>
                <w:b w:val="false"/>
                <w:bCs w:val="false"/>
                <w:color w:val="1F2937"/>
                <w:sz w:val="20"/>
                <w:szCs w:val="20"/>
              </w:rPr>
              <w:t xml:space="preserve">Contact Message</w:t>
            </w:r>
          </w:p>
        </w:tc>
        <w:tc>
          <w:tcPr>
            <w:tcW w:type="dxa" w:w="1700"/>
            <w:tcMar>
              <w:top w:type="dxa" w:w="60"/>
              <w:left w:type="dxa" w:w="110"/>
              <w:bottom w:type="dxa" w:w="60"/>
              <w:right w:type="dxa" w:w="110"/>
            </w:tcMar>
          </w:tcPr>
          <w:p>
            <w:r>
              <w:rPr>
                <w:b w:val="false"/>
                <w:bCs w:val="false"/>
                <w:color w:val="1F2937"/>
                <w:sz w:val="20"/>
                <w:szCs w:val="20"/>
              </w:rPr>
              <w:t xml:space="preserve">(inbox)</w:t>
            </w:r>
          </w:p>
        </w:tc>
        <w:tc>
          <w:tcPr>
            <w:tcW w:type="dxa" w:w="4800"/>
            <w:tcMar>
              <w:top w:type="dxa" w:w="60"/>
              <w:left w:type="dxa" w:w="110"/>
              <w:bottom w:type="dxa" w:w="60"/>
              <w:right w:type="dxa" w:w="110"/>
            </w:tcMar>
          </w:tcPr>
          <w:p>
            <w:r>
              <w:rPr>
                <w:b w:val="false"/>
                <w:bCs w:val="false"/>
                <w:color w:val="1F2937"/>
                <w:sz w:val="20"/>
                <w:szCs w:val="20"/>
              </w:rPr>
              <w:t xml:space="preserve">Name, email, phone, organisation, subject, message, handled</w:t>
            </w:r>
          </w:p>
        </w:tc>
      </w:tr>
    </w:tbl>
    <w:p>
      <w:pPr>
        <w:spacing w:after="140"/>
      </w:pPr>
      <w:r>
        <w:rPr>
          <w:b/>
          <w:bCs/>
          <w:color w:val="1F2937"/>
          <w:sz w:val="22"/>
          <w:szCs w:val="22"/>
        </w:rPr>
        <w:t xml:space="preserve">About slugs: </w:t>
      </w:r>
      <w:r>
        <w:rPr>
          <w:color w:val="1F2937"/>
          <w:sz w:val="22"/>
          <w:szCs w:val="22"/>
        </w:rPr>
        <w:t xml:space="preserve">the slug is filled automatically from the title and becomes the page's web address. Keep it stable once an entry is published, so existing links keep working.</w:t>
      </w:r>
    </w:p>
    <w:p>
      <w:pPr>
        <w:pStyle w:val="Heading2"/>
      </w:pPr>
      <w:r>
        <w:t xml:space="preserve">5. Everyday tasks</w:t>
      </w:r>
    </w:p>
    <w:p>
      <w:pPr>
        <w:pBdr>
          <w:left w:val="single" w:color="F2C500" w:sz="18" w:space="14"/>
        </w:pBdr>
        <w:spacing w:after="200" w:before="60"/>
        <w:ind w:left="240"/>
      </w:pPr>
      <w:r>
        <w:rPr>
          <w:i/>
          <w:iCs/>
          <w:color w:val="4B5563"/>
          <w:sz w:val="22"/>
          <w:szCs w:val="22"/>
        </w:rPr>
        <w:t xml:space="preserve">This section gives step-by-step recipes for the most common content jobs.</w:t>
      </w:r>
    </w:p>
    <w:p>
      <w:pPr>
        <w:pStyle w:val="Heading3"/>
      </w:pPr>
      <w:r>
        <w:t xml:space="preserve">Post a news article</w:t>
      </w:r>
    </w:p>
    <w:p>
      <w:pPr>
        <w:pStyle w:val="ListParagraph"/>
        <w:numPr>
          <w:ilvl w:val="0"/>
          <w:numId w:val="9"/>
        </w:numPr>
        <w:spacing w:after="60"/>
      </w:pPr>
      <w:r>
        <w:rPr>
          <w:color w:val="1F2937"/>
          <w:sz w:val="22"/>
          <w:szCs w:val="22"/>
        </w:rPr>
        <w:t xml:space="preserve">Content Manager → Article → Create new entry.</w:t>
      </w:r>
    </w:p>
    <w:p>
      <w:pPr>
        <w:pStyle w:val="ListParagraph"/>
        <w:numPr>
          <w:ilvl w:val="0"/>
          <w:numId w:val="9"/>
        </w:numPr>
        <w:spacing w:after="60"/>
      </w:pPr>
      <w:r>
        <w:rPr>
          <w:color w:val="1F2937"/>
          <w:sz w:val="22"/>
          <w:szCs w:val="22"/>
        </w:rPr>
        <w:t xml:space="preserve">Fill in the title, excerpt, body, category and date; upload a cover image with descriptive alternative text.</w:t>
      </w:r>
    </w:p>
    <w:p>
      <w:pPr>
        <w:pStyle w:val="ListParagraph"/>
        <w:numPr>
          <w:ilvl w:val="0"/>
          <w:numId w:val="9"/>
        </w:numPr>
        <w:spacing w:after="60"/>
      </w:pPr>
      <w:r>
        <w:rPr>
          <w:color w:val="1F2937"/>
          <w:sz w:val="22"/>
          <w:szCs w:val="22"/>
        </w:rPr>
        <w:t xml:space="preserve">Save, review, then Publish.</w:t>
      </w:r>
    </w:p>
    <w:p>
      <w:pPr>
        <w:pStyle w:val="Heading3"/>
      </w:pPr>
      <w:r>
        <w:t xml:space="preserve">Add a technology to the catalogue</w:t>
      </w:r>
    </w:p>
    <w:p>
      <w:pPr>
        <w:pStyle w:val="ListParagraph"/>
        <w:numPr>
          <w:ilvl w:val="0"/>
          <w:numId w:val="10"/>
        </w:numPr>
        <w:spacing w:after="60"/>
      </w:pPr>
      <w:r>
        <w:rPr>
          <w:color w:val="1F2937"/>
          <w:sz w:val="22"/>
          <w:szCs w:val="22"/>
        </w:rPr>
        <w:t xml:space="preserve">Content Manager → Technology → Create new entry.</w:t>
      </w:r>
    </w:p>
    <w:p>
      <w:pPr>
        <w:pStyle w:val="ListParagraph"/>
        <w:numPr>
          <w:ilvl w:val="0"/>
          <w:numId w:val="10"/>
        </w:numPr>
        <w:spacing w:after="60"/>
      </w:pPr>
      <w:r>
        <w:rPr>
          <w:color w:val="1F2937"/>
          <w:sz w:val="22"/>
          <w:szCs w:val="22"/>
        </w:rPr>
        <w:t xml:space="preserve">Set the title and summary; choose the sector and maturity.</w:t>
      </w:r>
    </w:p>
    <w:p>
      <w:pPr>
        <w:pStyle w:val="ListParagraph"/>
        <w:numPr>
          <w:ilvl w:val="0"/>
          <w:numId w:val="10"/>
        </w:numPr>
        <w:spacing w:after="60"/>
      </w:pPr>
      <w:r>
        <w:rPr>
          <w:color w:val="1F2937"/>
          <w:sz w:val="22"/>
          <w:szCs w:val="22"/>
        </w:rPr>
        <w:t xml:space="preserve">Add the body, benefits and applications; optionally link a related service and an image.</w:t>
      </w:r>
    </w:p>
    <w:p>
      <w:pPr>
        <w:pStyle w:val="ListParagraph"/>
        <w:numPr>
          <w:ilvl w:val="0"/>
          <w:numId w:val="10"/>
        </w:numPr>
        <w:spacing w:after="60"/>
      </w:pPr>
      <w:r>
        <w:rPr>
          <w:color w:val="1F2937"/>
          <w:sz w:val="22"/>
          <w:szCs w:val="22"/>
        </w:rPr>
        <w:t xml:space="preserve">Save and Publish — it appears under /technology with the right filters.</w:t>
      </w:r>
    </w:p>
    <w:p>
      <w:pPr>
        <w:pStyle w:val="Heading3"/>
      </w:pPr>
      <w:r>
        <w:t xml:space="preserve">Advertise a vacancy</w:t>
      </w:r>
    </w:p>
    <w:p>
      <w:pPr>
        <w:pStyle w:val="ListParagraph"/>
        <w:numPr>
          <w:ilvl w:val="0"/>
          <w:numId w:val="11"/>
        </w:numPr>
        <w:spacing w:after="60"/>
      </w:pPr>
      <w:r>
        <w:rPr>
          <w:color w:val="1F2937"/>
          <w:sz w:val="22"/>
          <w:szCs w:val="22"/>
        </w:rPr>
        <w:t xml:space="preserve">Content Manager → Vacancy → Create new entry.</w:t>
      </w:r>
    </w:p>
    <w:p>
      <w:pPr>
        <w:pStyle w:val="ListParagraph"/>
        <w:numPr>
          <w:ilvl w:val="0"/>
          <w:numId w:val="11"/>
        </w:numPr>
        <w:spacing w:after="60"/>
      </w:pPr>
      <w:r>
        <w:rPr>
          <w:color w:val="1F2937"/>
          <w:sz w:val="22"/>
          <w:szCs w:val="22"/>
        </w:rPr>
        <w:t xml:space="preserve">Set the category, department, location, description and the closing date; add the apply URL.</w:t>
      </w:r>
    </w:p>
    <w:p>
      <w:pPr>
        <w:pStyle w:val="ListParagraph"/>
        <w:numPr>
          <w:ilvl w:val="0"/>
          <w:numId w:val="11"/>
        </w:numPr>
        <w:spacing w:after="60"/>
      </w:pPr>
      <w:r>
        <w:rPr>
          <w:color w:val="1F2937"/>
          <w:sz w:val="22"/>
          <w:szCs w:val="22"/>
        </w:rPr>
        <w:t xml:space="preserve">Publish — it shows under /careers and archives itself after the closing date.</w:t>
      </w:r>
    </w:p>
    <w:p>
      <w:pPr>
        <w:pStyle w:val="Heading3"/>
      </w:pPr>
      <w:r>
        <w:t xml:space="preserve">Publish a tender</w:t>
      </w:r>
    </w:p>
    <w:p>
      <w:pPr>
        <w:pStyle w:val="ListParagraph"/>
        <w:numPr>
          <w:ilvl w:val="0"/>
          <w:numId w:val="12"/>
        </w:numPr>
        <w:spacing w:after="60"/>
      </w:pPr>
      <w:r>
        <w:rPr>
          <w:color w:val="1F2937"/>
          <w:sz w:val="22"/>
          <w:szCs w:val="22"/>
        </w:rPr>
        <w:t xml:space="preserve">Content Manager → Tender → Create new entry.</w:t>
      </w:r>
    </w:p>
    <w:p>
      <w:pPr>
        <w:pStyle w:val="ListParagraph"/>
        <w:numPr>
          <w:ilvl w:val="0"/>
          <w:numId w:val="12"/>
        </w:numPr>
        <w:spacing w:after="60"/>
      </w:pPr>
      <w:r>
        <w:rPr>
          <w:color w:val="1F2937"/>
          <w:sz w:val="22"/>
          <w:szCs w:val="22"/>
        </w:rPr>
        <w:t xml:space="preserve">Set the reference, category, description and closing date; upload the tender document.</w:t>
      </w:r>
    </w:p>
    <w:p>
      <w:pPr>
        <w:pStyle w:val="ListParagraph"/>
        <w:numPr>
          <w:ilvl w:val="0"/>
          <w:numId w:val="12"/>
        </w:numPr>
        <w:spacing w:after="60"/>
      </w:pPr>
      <w:r>
        <w:rPr>
          <w:color w:val="1F2937"/>
          <w:sz w:val="22"/>
          <w:szCs w:val="22"/>
        </w:rPr>
        <w:t xml:space="preserve">Publish — it shows under /tenders and archives after the deadline.</w:t>
      </w:r>
    </w:p>
    <w:p>
      <w:pPr>
        <w:pStyle w:val="Heading3"/>
      </w:pPr>
      <w:r>
        <w:t xml:space="preserve">Add a publication</w:t>
      </w:r>
    </w:p>
    <w:p>
      <w:pPr>
        <w:pStyle w:val="ListParagraph"/>
        <w:numPr>
          <w:ilvl w:val="0"/>
          <w:numId w:val="13"/>
        </w:numPr>
        <w:spacing w:after="60"/>
      </w:pPr>
      <w:r>
        <w:rPr>
          <w:color w:val="1F2937"/>
          <w:sz w:val="22"/>
          <w:szCs w:val="22"/>
        </w:rPr>
        <w:t xml:space="preserve">Content Manager → Publication → Create new entry.</w:t>
      </w:r>
    </w:p>
    <w:p>
      <w:pPr>
        <w:pStyle w:val="ListParagraph"/>
        <w:numPr>
          <w:ilvl w:val="0"/>
          <w:numId w:val="13"/>
        </w:numPr>
        <w:spacing w:after="60"/>
      </w:pPr>
      <w:r>
        <w:rPr>
          <w:color w:val="1F2937"/>
          <w:sz w:val="22"/>
          <w:szCs w:val="22"/>
        </w:rPr>
        <w:t xml:space="preserve">Set the type, year, authors, abstract, keywords, DOI and citation; upload the PDF.</w:t>
      </w:r>
    </w:p>
    <w:p>
      <w:pPr>
        <w:pStyle w:val="ListParagraph"/>
        <w:numPr>
          <w:ilvl w:val="0"/>
          <w:numId w:val="13"/>
        </w:numPr>
        <w:spacing w:after="60"/>
      </w:pPr>
      <w:r>
        <w:rPr>
          <w:color w:val="1F2937"/>
          <w:sz w:val="22"/>
          <w:szCs w:val="22"/>
        </w:rPr>
        <w:t xml:space="preserve">Publish.</w:t>
      </w:r>
    </w:p>
    <w:p>
      <w:pPr>
        <w:pStyle w:val="Heading3"/>
      </w:pPr>
      <w:r>
        <w:t xml:space="preserve">Unpublish something</w:t>
      </w:r>
    </w:p>
    <w:p>
      <w:pPr>
        <w:pStyle w:val="ListParagraph"/>
        <w:numPr>
          <w:ilvl w:val="0"/>
          <w:numId w:val="14"/>
        </w:numPr>
        <w:spacing w:after="60"/>
      </w:pPr>
      <w:r>
        <w:rPr>
          <w:color w:val="1F2937"/>
          <w:sz w:val="22"/>
          <w:szCs w:val="22"/>
        </w:rPr>
        <w:t xml:space="preserve">Open the entry and choose Unpublish.</w:t>
      </w:r>
    </w:p>
    <w:p>
      <w:pPr>
        <w:pStyle w:val="ListParagraph"/>
        <w:numPr>
          <w:ilvl w:val="0"/>
          <w:numId w:val="14"/>
        </w:numPr>
        <w:spacing w:after="60"/>
      </w:pPr>
      <w:r>
        <w:rPr>
          <w:color w:val="1F2937"/>
          <w:sz w:val="22"/>
          <w:szCs w:val="22"/>
        </w:rPr>
        <w:t xml:space="preserve">It disappears from the public site but remains in the CMS and the audit log.</w:t>
      </w:r>
    </w:p>
    <w:p>
      <w:pPr>
        <w:pStyle w:val="Heading2"/>
      </w:pPr>
      <w:r>
        <w:t xml:space="preserve">6. Media &amp; files</w:t>
      </w:r>
    </w:p>
    <w:p>
      <w:pPr>
        <w:pBdr>
          <w:left w:val="single" w:color="F2C500" w:sz="18" w:space="14"/>
        </w:pBdr>
        <w:spacing w:after="200" w:before="60"/>
        <w:ind w:left="240"/>
      </w:pPr>
      <w:r>
        <w:rPr>
          <w:i/>
          <w:iCs/>
          <w:color w:val="4B5563"/>
          <w:sz w:val="22"/>
          <w:szCs w:val="22"/>
        </w:rPr>
        <w:t xml:space="preserve">This section explains how to upload and manage images and documents.</w:t>
      </w:r>
    </w:p>
    <w:p>
      <w:pPr>
        <w:spacing w:after="140"/>
      </w:pPr>
      <w:r>
        <w:rPr>
          <w:color w:val="1F2937"/>
          <w:sz w:val="22"/>
          <w:szCs w:val="22"/>
        </w:rPr>
        <w:t xml:space="preserve">Upload images and documents through the media field on an entry, or via the Media Library. Use descriptive file names and always add alternative text to images for accessibility. Files are stored securely in TIRDO's object storage.</w:t>
      </w:r>
    </w:p>
    <w:p>
      <w:pPr>
        <w:pStyle w:val="Heading2"/>
      </w:pPr>
      <w:r>
        <w:t xml:space="preserve">7. Bilingual content (English / Kiswahili)</w:t>
      </w:r>
    </w:p>
    <w:p>
      <w:pPr>
        <w:pBdr>
          <w:left w:val="single" w:color="F2C500" w:sz="18" w:space="14"/>
        </w:pBdr>
        <w:spacing w:after="200" w:before="60"/>
        <w:ind w:left="240"/>
      </w:pPr>
      <w:r>
        <w:rPr>
          <w:i/>
          <w:iCs/>
          <w:color w:val="4B5563"/>
          <w:sz w:val="22"/>
          <w:szCs w:val="22"/>
        </w:rPr>
        <w:t xml:space="preserve">This section explains how to provide Kiswahili versions of content so both languages read well.</w:t>
      </w:r>
    </w:p>
    <w:p>
      <w:pPr>
        <w:pStyle w:val="ListParagraph"/>
        <w:numPr>
          <w:ilvl w:val="0"/>
          <w:numId w:val="15"/>
        </w:numPr>
        <w:spacing w:after="60"/>
      </w:pPr>
      <w:r>
        <w:rPr>
          <w:color w:val="1F2937"/>
          <w:sz w:val="22"/>
          <w:szCs w:val="22"/>
        </w:rPr>
        <w:t xml:space="preserve">Open an entry and use the locale switch (top-right of the entry) to select Kiswahili (sw).</w:t>
      </w:r>
    </w:p>
    <w:p>
      <w:pPr>
        <w:pStyle w:val="ListParagraph"/>
        <w:numPr>
          <w:ilvl w:val="0"/>
          <w:numId w:val="15"/>
        </w:numPr>
        <w:spacing w:after="60"/>
      </w:pPr>
      <w:r>
        <w:rPr>
          <w:color w:val="1F2937"/>
          <w:sz w:val="22"/>
          <w:szCs w:val="22"/>
        </w:rPr>
        <w:t xml:space="preserve">Enter the translated title, summary and body; leave anything untranslated and it falls back to English on the site.</w:t>
      </w:r>
    </w:p>
    <w:p>
      <w:pPr>
        <w:pStyle w:val="ListParagraph"/>
        <w:numPr>
          <w:ilvl w:val="0"/>
          <w:numId w:val="15"/>
        </w:numPr>
        <w:spacing w:after="60"/>
      </w:pPr>
      <w:r>
        <w:rPr>
          <w:color w:val="1F2937"/>
          <w:sz w:val="22"/>
          <w:szCs w:val="22"/>
        </w:rPr>
        <w:t xml:space="preserve">Save and Publish the Kiswahili version.</w:t>
      </w:r>
    </w:p>
    <w:p>
      <w:pPr>
        <w:spacing w:after="140"/>
      </w:pPr>
      <w:r>
        <w:rPr>
          <w:color w:val="1F2937"/>
          <w:sz w:val="22"/>
          <w:szCs w:val="22"/>
        </w:rPr>
        <w:t xml:space="preserve">A drafted set of Kiswahili translations for the main content is available to start from; have a fluent speaker review before publishing. Coordinate with the ICT team before large content drives so translations are captured.</w:t>
      </w:r>
    </w:p>
    <w:p>
      <w:pPr>
        <w:pStyle w:val="Heading2"/>
      </w:pPr>
      <w:r>
        <w:t xml:space="preserve">8. Auto-archiving of vacancies &amp; tenders</w:t>
      </w:r>
    </w:p>
    <w:p>
      <w:pPr>
        <w:pBdr>
          <w:left w:val="single" w:color="F2C500" w:sz="18" w:space="14"/>
        </w:pBdr>
        <w:spacing w:after="200" w:before="60"/>
        <w:ind w:left="240"/>
      </w:pPr>
      <w:r>
        <w:rPr>
          <w:i/>
          <w:iCs/>
          <w:color w:val="4B5563"/>
          <w:sz w:val="22"/>
          <w:szCs w:val="22"/>
        </w:rPr>
        <w:t xml:space="preserve">This section explains the automatic closing behaviour so you set dates correctly and never archive by hand.</w:t>
      </w:r>
    </w:p>
    <w:p>
      <w:pPr>
        <w:spacing w:after="140"/>
      </w:pPr>
      <w:r>
        <w:rPr>
          <w:color w:val="1F2937"/>
          <w:sz w:val="22"/>
          <w:szCs w:val="22"/>
        </w:rPr>
        <w:t xml:space="preserve">A vacancy or tender is shown as Open until the end of its closing date, then becomes Closed automatically and drops out of the default list (visitors can still reveal closed items). Set the closing date accurately — no manual archiving is required.</w:t>
      </w:r>
    </w:p>
    <w:p>
      <w:pPr>
        <w:pStyle w:val="Heading2"/>
      </w:pPr>
      <w:r>
        <w:t xml:space="preserve">9. Handling contact enquiries</w:t>
      </w:r>
    </w:p>
    <w:p>
      <w:pPr>
        <w:pBdr>
          <w:left w:val="single" w:color="F2C500" w:sz="18" w:space="14"/>
        </w:pBdr>
        <w:spacing w:after="200" w:before="60"/>
        <w:ind w:left="240"/>
      </w:pPr>
      <w:r>
        <w:rPr>
          <w:i/>
          <w:iCs/>
          <w:color w:val="4B5563"/>
          <w:sz w:val="22"/>
          <w:szCs w:val="22"/>
        </w:rPr>
        <w:t xml:space="preserve">This section explains where website enquiries arrive and how to work through them.</w:t>
      </w:r>
    </w:p>
    <w:p>
      <w:pPr>
        <w:spacing w:after="140"/>
      </w:pPr>
      <w:r>
        <w:rPr>
          <w:color w:val="1F2937"/>
          <w:sz w:val="22"/>
          <w:szCs w:val="22"/>
        </w:rPr>
        <w:t xml:space="preserve">Messages submitted through the Contact form are stored under Contact Messages in the CMS and a notification email is sent to the configured TIRDO inbox. Open a message to read the sender's details (including phone and organisation) and mark it handled once actioned. Obvious spam is filtered out automatically before it reaches the inbox.</w:t>
      </w:r>
    </w:p>
    <w:p>
      <w:pPr>
        <w:pStyle w:val="Heading2"/>
      </w:pPr>
      <w:r>
        <w:t xml:space="preserve">10. Keeping search up to date</w:t>
      </w:r>
    </w:p>
    <w:p>
      <w:pPr>
        <w:pBdr>
          <w:left w:val="single" w:color="F2C500" w:sz="18" w:space="14"/>
        </w:pBdr>
        <w:spacing w:after="200" w:before="60"/>
        <w:ind w:left="240"/>
      </w:pPr>
      <w:r>
        <w:rPr>
          <w:i/>
          <w:iCs/>
          <w:color w:val="4B5563"/>
          <w:sz w:val="22"/>
          <w:szCs w:val="22"/>
        </w:rPr>
        <w:t xml:space="preserve">This section explains how search stays current and what to do after a large import.</w:t>
      </w:r>
    </w:p>
    <w:p>
      <w:pPr>
        <w:spacing w:after="140"/>
      </w:pPr>
      <w:r>
        <w:rPr>
          <w:color w:val="1F2937"/>
          <w:sz w:val="22"/>
          <w:szCs w:val="22"/>
        </w:rPr>
        <w:t xml:space="preserve">Content edits are indexed for search automatically. After a large import or bulk change, the ICT team can force a full rebuild of the search index using the reindex endpoint (protected by an admin token). Day to day, no action is needed.</w:t>
      </w:r>
    </w:p>
    <w:p>
      <w:pPr>
        <w:pStyle w:val="Heading2"/>
      </w:pPr>
      <w:r>
        <w:t xml:space="preserve">11. The audit log</w:t>
      </w:r>
    </w:p>
    <w:p>
      <w:pPr>
        <w:pBdr>
          <w:left w:val="single" w:color="F2C500" w:sz="18" w:space="14"/>
        </w:pBdr>
        <w:spacing w:after="200" w:before="60"/>
        <w:ind w:left="240"/>
      </w:pPr>
      <w:r>
        <w:rPr>
          <w:i/>
          <w:iCs/>
          <w:color w:val="4B5563"/>
          <w:sz w:val="22"/>
          <w:szCs w:val="22"/>
        </w:rPr>
        <w:t xml:space="preserve">This section explains the tamper-evident record of all content changes and why it matters.</w:t>
      </w:r>
    </w:p>
    <w:p>
      <w:pPr>
        <w:spacing w:after="140"/>
      </w:pPr>
      <w:r>
        <w:rPr>
          <w:color w:val="1F2937"/>
          <w:sz w:val="22"/>
          <w:szCs w:val="22"/>
        </w:rPr>
        <w:t xml:space="preserve">Every create, edit, delete and publish is recorded in an append-only, tamper-evident Audit Log (Content Manager → Audit Log, read-only) showing who did what and when. It cannot be edited or deleted, and its integrity can be verified. This is the authoritative record of who published what, and it supports accountability and governance.</w:t>
      </w:r>
    </w:p>
    <w:p>
      <w:pPr>
        <w:pStyle w:val="Heading2"/>
      </w:pPr>
      <w:r>
        <w:t xml:space="preserve">12. Editorial roles &amp; good practice</w:t>
      </w:r>
    </w:p>
    <w:p>
      <w:pPr>
        <w:pBdr>
          <w:left w:val="single" w:color="F2C500" w:sz="18" w:space="14"/>
        </w:pBdr>
        <w:spacing w:after="200" w:before="60"/>
        <w:ind w:left="240"/>
      </w:pPr>
      <w:r>
        <w:rPr>
          <w:i/>
          <w:iCs/>
          <w:color w:val="4B5563"/>
          <w:sz w:val="22"/>
          <w:szCs w:val="22"/>
        </w:rPr>
        <w:t xml:space="preserve">This section recommends how to divide responsibilities so publishing stays controlled.</w:t>
      </w:r>
    </w:p>
    <w:p>
      <w:pPr>
        <w:pStyle w:val="ListParagraph"/>
        <w:numPr>
          <w:ilvl w:val="0"/>
          <w:numId w:val="1"/>
        </w:numPr>
        <w:spacing w:after="60"/>
      </w:pPr>
      <w:r>
        <w:rPr>
          <w:b/>
          <w:bCs/>
          <w:color w:val="1F2937"/>
          <w:sz w:val="22"/>
          <w:szCs w:val="22"/>
        </w:rPr>
        <w:t xml:space="preserve">Author</w:t>
      </w:r>
      <w:r>
        <w:rPr>
          <w:color w:val="1F2937"/>
          <w:sz w:val="22"/>
          <w:szCs w:val="22"/>
        </w:rPr>
        <w:t xml:space="preserve"> — can create and edit drafts but not publish.</w:t>
      </w:r>
    </w:p>
    <w:p>
      <w:pPr>
        <w:pStyle w:val="ListParagraph"/>
        <w:numPr>
          <w:ilvl w:val="0"/>
          <w:numId w:val="1"/>
        </w:numPr>
        <w:spacing w:after="60"/>
      </w:pPr>
      <w:r>
        <w:rPr>
          <w:b/>
          <w:bCs/>
          <w:color w:val="1F2937"/>
          <w:sz w:val="22"/>
          <w:szCs w:val="22"/>
        </w:rPr>
        <w:t xml:space="preserve">Editor / Approver</w:t>
      </w:r>
      <w:r>
        <w:rPr>
          <w:color w:val="1F2937"/>
          <w:sz w:val="22"/>
          <w:szCs w:val="22"/>
        </w:rPr>
        <w:t xml:space="preserve"> — reviews drafts and publishes.</w:t>
      </w:r>
    </w:p>
    <w:p>
      <w:pPr>
        <w:pStyle w:val="ListParagraph"/>
        <w:numPr>
          <w:ilvl w:val="0"/>
          <w:numId w:val="1"/>
        </w:numPr>
        <w:spacing w:after="60"/>
      </w:pPr>
      <w:r>
        <w:rPr>
          <w:b/>
          <w:bCs/>
          <w:color w:val="1F2937"/>
          <w:sz w:val="22"/>
          <w:szCs w:val="22"/>
        </w:rPr>
        <w:t xml:space="preserve">Administrator</w:t>
      </w:r>
      <w:r>
        <w:rPr>
          <w:color w:val="1F2937"/>
          <w:sz w:val="22"/>
          <w:szCs w:val="22"/>
        </w:rPr>
        <w:t xml:space="preserve"> — manages users, roles and settings.</w:t>
      </w:r>
    </w:p>
    <w:p>
      <w:pPr>
        <w:spacing w:after="140"/>
      </w:pPr>
      <w:r>
        <w:rPr>
          <w:color w:val="1F2937"/>
          <w:sz w:val="22"/>
          <w:szCs w:val="22"/>
        </w:rPr>
        <w:t xml:space="preserve">Configure these under Settings → Roles. Keep titles and slugs consistent, write clear summaries, add alt text to every image, and review drafts before publishing — the audit log will always show who approved each change.</w:t>
      </w:r>
    </w:p>
    <w:p>
      <w:r>
        <w:br w:type="page"/>
      </w:r>
    </w:p>
    <w:p>
      <w:pPr>
        <w:pStyle w:val="Heading1"/>
      </w:pPr>
      <w:r>
        <w:t xml:space="preserve">Part IV — Reference</w:t>
      </w:r>
    </w:p>
    <w:p>
      <w:pPr>
        <w:pBdr>
          <w:left w:val="single" w:color="F2C500" w:sz="18" w:space="14"/>
        </w:pBdr>
        <w:spacing w:after="200" w:before="60"/>
        <w:ind w:left="240"/>
      </w:pPr>
      <w:r>
        <w:rPr>
          <w:i/>
          <w:iCs/>
          <w:color w:val="4B5563"/>
          <w:sz w:val="22"/>
          <w:szCs w:val="22"/>
        </w:rPr>
        <w:t xml:space="preserve">This closing part collects quick answers, definitions and where to turn for help — useful to both visitors and staff.</w:t>
      </w:r>
    </w:p>
    <w:p>
      <w:pPr>
        <w:pStyle w:val="Heading2"/>
      </w:pPr>
      <w:r>
        <w:t xml:space="preserve">Troubleshooting &amp; FAQ</w:t>
      </w:r>
    </w:p>
    <w:p>
      <w:pPr>
        <w:pBdr>
          <w:left w:val="single" w:color="F2C500" w:sz="18" w:space="14"/>
        </w:pBdr>
        <w:spacing w:after="200" w:before="60"/>
        <w:ind w:left="240"/>
      </w:pPr>
      <w:r>
        <w:rPr>
          <w:i/>
          <w:iCs/>
          <w:color w:val="4B5563"/>
          <w:sz w:val="22"/>
          <w:szCs w:val="22"/>
        </w:rPr>
        <w:t xml:space="preserve">This section answers the questions people ask most often about the site.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shd w:fill="17488E" w:val="clear"/>
            <w:tcMar>
              <w:top w:type="dxa" w:w="60"/>
              <w:left w:type="dxa" w:w="110"/>
              <w:bottom w:type="dxa" w:w="60"/>
              <w:right w:type="dxa" w:w="110"/>
            </w:tcMar>
          </w:tcPr>
          <w:p>
            <w:r>
              <w:rPr>
                <w:b/>
                <w:bCs/>
                <w:color w:val="FFFFFF"/>
                <w:sz w:val="20"/>
                <w:szCs w:val="20"/>
              </w:rPr>
              <w:t xml:space="preserve">Question / issue</w:t>
            </w:r>
          </w:p>
        </w:tc>
        <w:tc>
          <w:tcPr>
            <w:tcW w:type="dxa" w:w="5500"/>
            <w:shd w:fill="17488E" w:val="clear"/>
            <w:tcMar>
              <w:top w:type="dxa" w:w="60"/>
              <w:left w:type="dxa" w:w="110"/>
              <w:bottom w:type="dxa" w:w="60"/>
              <w:right w:type="dxa" w:w="110"/>
            </w:tcMar>
          </w:tcPr>
          <w:p>
            <w:r>
              <w:rPr>
                <w:b/>
                <w:bCs/>
                <w:color w:val="FFFFFF"/>
                <w:sz w:val="20"/>
                <w:szCs w:val="20"/>
              </w:rPr>
              <w:t xml:space="preserve">What to do</w:t>
            </w:r>
          </w:p>
        </w:tc>
      </w:tr>
      <w:tr>
        <w:tc>
          <w:tcPr>
            <w:tcW w:type="dxa" w:w="3300"/>
            <w:tcMar>
              <w:top w:type="dxa" w:w="60"/>
              <w:left w:type="dxa" w:w="110"/>
              <w:bottom w:type="dxa" w:w="60"/>
              <w:right w:type="dxa" w:w="110"/>
            </w:tcMar>
          </w:tcPr>
          <w:p>
            <w:r>
              <w:rPr>
                <w:b w:val="false"/>
                <w:bCs w:val="false"/>
                <w:color w:val="1F2937"/>
                <w:sz w:val="20"/>
                <w:szCs w:val="20"/>
              </w:rPr>
              <w:t xml:space="preserve">The page is in the wrong language</w:t>
            </w:r>
          </w:p>
        </w:tc>
        <w:tc>
          <w:tcPr>
            <w:tcW w:type="dxa" w:w="5500"/>
            <w:tcMar>
              <w:top w:type="dxa" w:w="60"/>
              <w:left w:type="dxa" w:w="110"/>
              <w:bottom w:type="dxa" w:w="60"/>
              <w:right w:type="dxa" w:w="110"/>
            </w:tcMar>
          </w:tcPr>
          <w:p>
            <w:r>
              <w:rPr>
                <w:b w:val="false"/>
                <w:bCs w:val="false"/>
                <w:color w:val="1F2937"/>
                <w:sz w:val="20"/>
                <w:szCs w:val="20"/>
              </w:rPr>
              <w:t xml:space="preserve">Use the English / Kiswahili switch in the top bar; your choice is remembered per device.</w:t>
            </w:r>
          </w:p>
        </w:tc>
      </w:tr>
      <w:tr>
        <w:tc>
          <w:tcPr>
            <w:tcW w:type="dxa" w:w="3300"/>
            <w:tcMar>
              <w:top w:type="dxa" w:w="60"/>
              <w:left w:type="dxa" w:w="110"/>
              <w:bottom w:type="dxa" w:w="60"/>
              <w:right w:type="dxa" w:w="110"/>
            </w:tcMar>
          </w:tcPr>
          <w:p>
            <w:r>
              <w:rPr>
                <w:b w:val="false"/>
                <w:bCs w:val="false"/>
                <w:color w:val="1F2937"/>
                <w:sz w:val="20"/>
                <w:szCs w:val="20"/>
              </w:rPr>
              <w:t xml:space="preserve">I can't find something</w:t>
            </w:r>
          </w:p>
        </w:tc>
        <w:tc>
          <w:tcPr>
            <w:tcW w:type="dxa" w:w="5500"/>
            <w:tcMar>
              <w:top w:type="dxa" w:w="60"/>
              <w:left w:type="dxa" w:w="110"/>
              <w:bottom w:type="dxa" w:w="60"/>
              <w:right w:type="dxa" w:w="110"/>
            </w:tcMar>
          </w:tcPr>
          <w:p>
            <w:r>
              <w:rPr>
                <w:b w:val="false"/>
                <w:bCs w:val="false"/>
                <w:color w:val="1F2937"/>
                <w:sz w:val="20"/>
                <w:szCs w:val="20"/>
              </w:rPr>
              <w:t xml:space="preserve">Use the search icon; type two or more characters and filter results by type.</w:t>
            </w:r>
          </w:p>
        </w:tc>
      </w:tr>
      <w:tr>
        <w:tc>
          <w:tcPr>
            <w:tcW w:type="dxa" w:w="3300"/>
            <w:tcMar>
              <w:top w:type="dxa" w:w="60"/>
              <w:left w:type="dxa" w:w="110"/>
              <w:bottom w:type="dxa" w:w="60"/>
              <w:right w:type="dxa" w:w="110"/>
            </w:tcMar>
          </w:tcPr>
          <w:p>
            <w:r>
              <w:rPr>
                <w:b w:val="false"/>
                <w:bCs w:val="false"/>
                <w:color w:val="1F2937"/>
                <w:sz w:val="20"/>
                <w:szCs w:val="20"/>
              </w:rPr>
              <w:t xml:space="preserve">An article shows in English only</w:t>
            </w:r>
          </w:p>
        </w:tc>
        <w:tc>
          <w:tcPr>
            <w:tcW w:type="dxa" w:w="5500"/>
            <w:tcMar>
              <w:top w:type="dxa" w:w="60"/>
              <w:left w:type="dxa" w:w="110"/>
              <w:bottom w:type="dxa" w:w="60"/>
              <w:right w:type="dxa" w:w="110"/>
            </w:tcMar>
          </w:tcPr>
          <w:p>
            <w:r>
              <w:rPr>
                <w:b w:val="false"/>
                <w:bCs w:val="false"/>
                <w:color w:val="1F2937"/>
                <w:sz w:val="20"/>
                <w:szCs w:val="20"/>
              </w:rPr>
              <w:t xml:space="preserve">Its Kiswahili translation may not be published yet; English is shown as a fallback.</w:t>
            </w:r>
          </w:p>
        </w:tc>
      </w:tr>
      <w:tr>
        <w:tc>
          <w:tcPr>
            <w:tcW w:type="dxa" w:w="3300"/>
            <w:tcMar>
              <w:top w:type="dxa" w:w="60"/>
              <w:left w:type="dxa" w:w="110"/>
              <w:bottom w:type="dxa" w:w="60"/>
              <w:right w:type="dxa" w:w="110"/>
            </w:tcMar>
          </w:tcPr>
          <w:p>
            <w:r>
              <w:rPr>
                <w:b w:val="false"/>
                <w:bCs w:val="false"/>
                <w:color w:val="1F2937"/>
                <w:sz w:val="20"/>
                <w:szCs w:val="20"/>
              </w:rPr>
              <w:t xml:space="preserve">A vacancy or tender disappeared</w:t>
            </w:r>
          </w:p>
        </w:tc>
        <w:tc>
          <w:tcPr>
            <w:tcW w:type="dxa" w:w="5500"/>
            <w:tcMar>
              <w:top w:type="dxa" w:w="60"/>
              <w:left w:type="dxa" w:w="110"/>
              <w:bottom w:type="dxa" w:w="60"/>
              <w:right w:type="dxa" w:w="110"/>
            </w:tcMar>
          </w:tcPr>
          <w:p>
            <w:r>
              <w:rPr>
                <w:b w:val="false"/>
                <w:bCs w:val="false"/>
                <w:color w:val="1F2937"/>
                <w:sz w:val="20"/>
                <w:szCs w:val="20"/>
              </w:rPr>
              <w:t xml:space="preserve">It likely passed its closing date and was archived automatically; use Include closed on Careers to reveal closed items.</w:t>
            </w:r>
          </w:p>
        </w:tc>
      </w:tr>
      <w:tr>
        <w:tc>
          <w:tcPr>
            <w:tcW w:type="dxa" w:w="3300"/>
            <w:tcMar>
              <w:top w:type="dxa" w:w="60"/>
              <w:left w:type="dxa" w:w="110"/>
              <w:bottom w:type="dxa" w:w="60"/>
              <w:right w:type="dxa" w:w="110"/>
            </w:tcMar>
          </w:tcPr>
          <w:p>
            <w:r>
              <w:rPr>
                <w:b w:val="false"/>
                <w:bCs w:val="false"/>
                <w:color w:val="1F2937"/>
                <w:sz w:val="20"/>
                <w:szCs w:val="20"/>
              </w:rPr>
              <w:t xml:space="preserve">My enquiry didn't send</w:t>
            </w:r>
          </w:p>
        </w:tc>
        <w:tc>
          <w:tcPr>
            <w:tcW w:type="dxa" w:w="5500"/>
            <w:tcMar>
              <w:top w:type="dxa" w:w="60"/>
              <w:left w:type="dxa" w:w="110"/>
              <w:bottom w:type="dxa" w:w="60"/>
              <w:right w:type="dxa" w:w="110"/>
            </w:tcMar>
          </w:tcPr>
          <w:p>
            <w:r>
              <w:rPr>
                <w:b w:val="false"/>
                <w:bCs w:val="false"/>
                <w:color w:val="1F2937"/>
                <w:sz w:val="20"/>
                <w:szCs w:val="20"/>
              </w:rPr>
              <w:t xml:space="preserve">Check that name, email and message are filled and the email is valid, then submit again.</w:t>
            </w:r>
          </w:p>
        </w:tc>
      </w:tr>
      <w:tr>
        <w:tc>
          <w:tcPr>
            <w:tcW w:type="dxa" w:w="3300"/>
            <w:tcMar>
              <w:top w:type="dxa" w:w="60"/>
              <w:left w:type="dxa" w:w="110"/>
              <w:bottom w:type="dxa" w:w="60"/>
              <w:right w:type="dxa" w:w="110"/>
            </w:tcMar>
          </w:tcPr>
          <w:p>
            <w:r>
              <w:rPr>
                <w:b w:val="false"/>
                <w:bCs w:val="false"/>
                <w:color w:val="1F2937"/>
                <w:sz w:val="20"/>
                <w:szCs w:val="20"/>
              </w:rPr>
              <w:t xml:space="preserve">A published change isn't visible yet</w:t>
            </w:r>
          </w:p>
        </w:tc>
        <w:tc>
          <w:tcPr>
            <w:tcW w:type="dxa" w:w="5500"/>
            <w:tcMar>
              <w:top w:type="dxa" w:w="60"/>
              <w:left w:type="dxa" w:w="110"/>
              <w:bottom w:type="dxa" w:w="60"/>
              <w:right w:type="dxa" w:w="110"/>
            </w:tcMar>
          </w:tcPr>
          <w:p>
            <w:r>
              <w:rPr>
                <w:b w:val="false"/>
                <w:bCs w:val="false"/>
                <w:color w:val="1F2937"/>
                <w:sz w:val="20"/>
                <w:szCs w:val="20"/>
              </w:rPr>
              <w:t xml:space="preserve">Content is cached briefly — wait about a minute and refresh.</w:t>
            </w:r>
          </w:p>
        </w:tc>
      </w:tr>
      <w:tr>
        <w:tc>
          <w:tcPr>
            <w:tcW w:type="dxa" w:w="3300"/>
            <w:tcMar>
              <w:top w:type="dxa" w:w="60"/>
              <w:left w:type="dxa" w:w="110"/>
              <w:bottom w:type="dxa" w:w="60"/>
              <w:right w:type="dxa" w:w="110"/>
            </w:tcMar>
          </w:tcPr>
          <w:p>
            <w:r>
              <w:rPr>
                <w:b w:val="false"/>
                <w:bCs w:val="false"/>
                <w:color w:val="1F2937"/>
                <w:sz w:val="20"/>
                <w:szCs w:val="20"/>
              </w:rPr>
              <w:t xml:space="preserve">I can't sign in to the CMS</w:t>
            </w:r>
          </w:p>
        </w:tc>
        <w:tc>
          <w:tcPr>
            <w:tcW w:type="dxa" w:w="5500"/>
            <w:tcMar>
              <w:top w:type="dxa" w:w="60"/>
              <w:left w:type="dxa" w:w="110"/>
              <w:bottom w:type="dxa" w:w="60"/>
              <w:right w:type="dxa" w:w="110"/>
            </w:tcMar>
          </w:tcPr>
          <w:p>
            <w:r>
              <w:rPr>
                <w:b w:val="false"/>
                <w:bCs w:val="false"/>
                <w:color w:val="1F2937"/>
                <w:sz w:val="20"/>
                <w:szCs w:val="20"/>
              </w:rPr>
              <w:t xml:space="preserve">Confirm the admin address, your account and your authenticator code; contact the ICT team if it persists.</w:t>
            </w:r>
          </w:p>
        </w:tc>
      </w:tr>
    </w:tbl>
    <w:p>
      <w:pPr>
        <w:pStyle w:val="Heading2"/>
      </w:pPr>
      <w:r>
        <w:t xml:space="preserve">Glossary</w:t>
      </w:r>
    </w:p>
    <w:p>
      <w:pPr>
        <w:pBdr>
          <w:left w:val="single" w:color="F2C500" w:sz="18" w:space="14"/>
        </w:pBdr>
        <w:spacing w:after="200" w:before="60"/>
        <w:ind w:left="240"/>
      </w:pPr>
      <w:r>
        <w:rPr>
          <w:i/>
          <w:iCs/>
          <w:color w:val="4B5563"/>
          <w:sz w:val="22"/>
          <w:szCs w:val="22"/>
        </w:rPr>
        <w:t xml:space="preserve">This section defines the terms and system names used across the site and this manual.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100"/>
        <w:gridCol w:w="6700"/>
      </w:tblGrid>
      <w:tr>
        <w:trPr>
          <w:tblHeader/>
        </w:trPr>
        <w:tc>
          <w:tcPr>
            <w:tcW w:type="dxa" w:w="2100"/>
            <w:shd w:fill="17488E" w:val="clear"/>
            <w:tcMar>
              <w:top w:type="dxa" w:w="60"/>
              <w:left w:type="dxa" w:w="110"/>
              <w:bottom w:type="dxa" w:w="60"/>
              <w:right w:type="dxa" w:w="110"/>
            </w:tcMar>
          </w:tcPr>
          <w:p>
            <w:r>
              <w:rPr>
                <w:b/>
                <w:bCs/>
                <w:color w:val="FFFFFF"/>
                <w:sz w:val="20"/>
                <w:szCs w:val="20"/>
              </w:rPr>
              <w:t xml:space="preserve">Term</w:t>
            </w:r>
          </w:p>
        </w:tc>
        <w:tc>
          <w:tcPr>
            <w:tcW w:type="dxa" w:w="6700"/>
            <w:shd w:fill="17488E" w:val="clear"/>
            <w:tcMar>
              <w:top w:type="dxa" w:w="60"/>
              <w:left w:type="dxa" w:w="110"/>
              <w:bottom w:type="dxa" w:w="60"/>
              <w:right w:type="dxa" w:w="110"/>
            </w:tcMar>
          </w:tcPr>
          <w:p>
            <w:r>
              <w:rPr>
                <w:b/>
                <w:bCs/>
                <w:color w:val="FFFFFF"/>
                <w:sz w:val="20"/>
                <w:szCs w:val="20"/>
              </w:rPr>
              <w:t xml:space="preserve">Meaning</w:t>
            </w:r>
          </w:p>
        </w:tc>
      </w:tr>
      <w:tr>
        <w:tc>
          <w:tcPr>
            <w:tcW w:type="dxa" w:w="2100"/>
            <w:tcMar>
              <w:top w:type="dxa" w:w="60"/>
              <w:left w:type="dxa" w:w="110"/>
              <w:bottom w:type="dxa" w:w="60"/>
              <w:right w:type="dxa" w:w="110"/>
            </w:tcMar>
          </w:tcPr>
          <w:p>
            <w:r>
              <w:rPr>
                <w:b w:val="false"/>
                <w:bCs w:val="false"/>
                <w:color w:val="1F2937"/>
                <w:sz w:val="20"/>
                <w:szCs w:val="20"/>
              </w:rPr>
              <w:t xml:space="preserve">CMS</w:t>
            </w:r>
          </w:p>
        </w:tc>
        <w:tc>
          <w:tcPr>
            <w:tcW w:type="dxa" w:w="6700"/>
            <w:tcMar>
              <w:top w:type="dxa" w:w="60"/>
              <w:left w:type="dxa" w:w="110"/>
              <w:bottom w:type="dxa" w:w="60"/>
              <w:right w:type="dxa" w:w="110"/>
            </w:tcMar>
          </w:tcPr>
          <w:p>
            <w:r>
              <w:rPr>
                <w:b w:val="false"/>
                <w:bCs w:val="false"/>
                <w:color w:val="1F2937"/>
                <w:sz w:val="20"/>
                <w:szCs w:val="20"/>
              </w:rPr>
              <w:t xml:space="preserve">Content Management System — where staff manage the site's content (Strapi).</w:t>
            </w:r>
          </w:p>
        </w:tc>
      </w:tr>
      <w:tr>
        <w:tc>
          <w:tcPr>
            <w:tcW w:type="dxa" w:w="2100"/>
            <w:tcMar>
              <w:top w:type="dxa" w:w="60"/>
              <w:left w:type="dxa" w:w="110"/>
              <w:bottom w:type="dxa" w:w="60"/>
              <w:right w:type="dxa" w:w="110"/>
            </w:tcMar>
          </w:tcPr>
          <w:p>
            <w:r>
              <w:rPr>
                <w:b w:val="false"/>
                <w:bCs w:val="false"/>
                <w:color w:val="1F2937"/>
                <w:sz w:val="20"/>
                <w:szCs w:val="20"/>
              </w:rPr>
              <w:t xml:space="preserve">Draft / Published</w:t>
            </w:r>
          </w:p>
        </w:tc>
        <w:tc>
          <w:tcPr>
            <w:tcW w:type="dxa" w:w="6700"/>
            <w:tcMar>
              <w:top w:type="dxa" w:w="60"/>
              <w:left w:type="dxa" w:w="110"/>
              <w:bottom w:type="dxa" w:w="60"/>
              <w:right w:type="dxa" w:w="110"/>
            </w:tcMar>
          </w:tcPr>
          <w:p>
            <w:r>
              <w:rPr>
                <w:b w:val="false"/>
                <w:bCs w:val="false"/>
                <w:color w:val="1F2937"/>
                <w:sz w:val="20"/>
                <w:szCs w:val="20"/>
              </w:rPr>
              <w:t xml:space="preserve">Content states; only Published entries appear on the public site.</w:t>
            </w:r>
          </w:p>
        </w:tc>
      </w:tr>
      <w:tr>
        <w:tc>
          <w:tcPr>
            <w:tcW w:type="dxa" w:w="2100"/>
            <w:tcMar>
              <w:top w:type="dxa" w:w="60"/>
              <w:left w:type="dxa" w:w="110"/>
              <w:bottom w:type="dxa" w:w="60"/>
              <w:right w:type="dxa" w:w="110"/>
            </w:tcMar>
          </w:tcPr>
          <w:p>
            <w:r>
              <w:rPr>
                <w:b w:val="false"/>
                <w:bCs w:val="false"/>
                <w:color w:val="1F2937"/>
                <w:sz w:val="20"/>
                <w:szCs w:val="20"/>
              </w:rPr>
              <w:t xml:space="preserve">Slug</w:t>
            </w:r>
          </w:p>
        </w:tc>
        <w:tc>
          <w:tcPr>
            <w:tcW w:type="dxa" w:w="6700"/>
            <w:tcMar>
              <w:top w:type="dxa" w:w="60"/>
              <w:left w:type="dxa" w:w="110"/>
              <w:bottom w:type="dxa" w:w="60"/>
              <w:right w:type="dxa" w:w="110"/>
            </w:tcMar>
          </w:tcPr>
          <w:p>
            <w:r>
              <w:rPr>
                <w:b w:val="false"/>
                <w:bCs w:val="false"/>
                <w:color w:val="1F2937"/>
                <w:sz w:val="20"/>
                <w:szCs w:val="20"/>
              </w:rPr>
              <w:t xml:space="preserve">The readable part of a page's web address, generated from its title.</w:t>
            </w:r>
          </w:p>
        </w:tc>
      </w:tr>
      <w:tr>
        <w:tc>
          <w:tcPr>
            <w:tcW w:type="dxa" w:w="2100"/>
            <w:tcMar>
              <w:top w:type="dxa" w:w="60"/>
              <w:left w:type="dxa" w:w="110"/>
              <w:bottom w:type="dxa" w:w="60"/>
              <w:right w:type="dxa" w:w="110"/>
            </w:tcMar>
          </w:tcPr>
          <w:p>
            <w:r>
              <w:rPr>
                <w:b w:val="false"/>
                <w:bCs w:val="false"/>
                <w:color w:val="1F2937"/>
                <w:sz w:val="20"/>
                <w:szCs w:val="20"/>
              </w:rPr>
              <w:t xml:space="preserve">NILIMS</w:t>
            </w:r>
          </w:p>
        </w:tc>
        <w:tc>
          <w:tcPr>
            <w:tcW w:type="dxa" w:w="6700"/>
            <w:tcMar>
              <w:top w:type="dxa" w:w="60"/>
              <w:left w:type="dxa" w:w="110"/>
              <w:bottom w:type="dxa" w:w="60"/>
              <w:right w:type="dxa" w:w="110"/>
            </w:tcMar>
          </w:tcPr>
          <w:p>
            <w:r>
              <w:rPr>
                <w:b w:val="false"/>
                <w:bCs w:val="false"/>
                <w:color w:val="1F2937"/>
                <w:sz w:val="20"/>
                <w:szCs w:val="20"/>
              </w:rPr>
              <w:t xml:space="preserve">National Industrial Laboratory Information Management System — sample submission, tracking and results.</w:t>
            </w:r>
          </w:p>
        </w:tc>
      </w:tr>
      <w:tr>
        <w:tc>
          <w:tcPr>
            <w:tcW w:type="dxa" w:w="2100"/>
            <w:tcMar>
              <w:top w:type="dxa" w:w="60"/>
              <w:left w:type="dxa" w:w="110"/>
              <w:bottom w:type="dxa" w:w="60"/>
              <w:right w:type="dxa" w:w="110"/>
            </w:tcMar>
          </w:tcPr>
          <w:p>
            <w:r>
              <w:rPr>
                <w:b w:val="false"/>
                <w:bCs w:val="false"/>
                <w:color w:val="1F2937"/>
                <w:sz w:val="20"/>
                <w:szCs w:val="20"/>
              </w:rPr>
              <w:t xml:space="preserve">CIAP</w:t>
            </w:r>
          </w:p>
        </w:tc>
        <w:tc>
          <w:tcPr>
            <w:tcW w:type="dxa" w:w="6700"/>
            <w:tcMar>
              <w:top w:type="dxa" w:w="60"/>
              <w:left w:type="dxa" w:w="110"/>
              <w:bottom w:type="dxa" w:w="60"/>
              <w:right w:type="dxa" w:w="110"/>
            </w:tcMar>
          </w:tcPr>
          <w:p>
            <w:r>
              <w:rPr>
                <w:b w:val="false"/>
                <w:bCs w:val="false"/>
                <w:color w:val="1F2937"/>
                <w:sz w:val="20"/>
                <w:szCs w:val="20"/>
              </w:rPr>
              <w:t xml:space="preserve">Consultancy &amp; Industrial Advisory Portal — request and track consultancy engagements.</w:t>
            </w:r>
          </w:p>
        </w:tc>
      </w:tr>
      <w:tr>
        <w:tc>
          <w:tcPr>
            <w:tcW w:type="dxa" w:w="2100"/>
            <w:tcMar>
              <w:top w:type="dxa" w:w="60"/>
              <w:left w:type="dxa" w:w="110"/>
              <w:bottom w:type="dxa" w:w="60"/>
              <w:right w:type="dxa" w:w="110"/>
            </w:tcMar>
          </w:tcPr>
          <w:p>
            <w:r>
              <w:rPr>
                <w:b w:val="false"/>
                <w:bCs w:val="false"/>
                <w:color w:val="1F2937"/>
                <w:sz w:val="20"/>
                <w:szCs w:val="20"/>
              </w:rPr>
              <w:t xml:space="preserve">TeLTP</w:t>
            </w:r>
          </w:p>
        </w:tc>
        <w:tc>
          <w:tcPr>
            <w:tcW w:type="dxa" w:w="6700"/>
            <w:tcMar>
              <w:top w:type="dxa" w:w="60"/>
              <w:left w:type="dxa" w:w="110"/>
              <w:bottom w:type="dxa" w:w="60"/>
              <w:right w:type="dxa" w:w="110"/>
            </w:tcMar>
          </w:tcPr>
          <w:p>
            <w:r>
              <w:rPr>
                <w:b w:val="false"/>
                <w:bCs w:val="false"/>
                <w:color w:val="1F2937"/>
                <w:sz w:val="20"/>
                <w:szCs w:val="20"/>
              </w:rPr>
              <w:t xml:space="preserve">TIRDO e-Learning &amp; Training Platform — course catalogue, enrolment and materials.</w:t>
            </w:r>
          </w:p>
        </w:tc>
      </w:tr>
      <w:tr>
        <w:tc>
          <w:tcPr>
            <w:tcW w:type="dxa" w:w="2100"/>
            <w:tcMar>
              <w:top w:type="dxa" w:w="60"/>
              <w:left w:type="dxa" w:w="110"/>
              <w:bottom w:type="dxa" w:w="60"/>
              <w:right w:type="dxa" w:w="110"/>
            </w:tcMar>
          </w:tcPr>
          <w:p>
            <w:r>
              <w:rPr>
                <w:b w:val="false"/>
                <w:bCs w:val="false"/>
                <w:color w:val="1F2937"/>
                <w:sz w:val="20"/>
                <w:szCs w:val="20"/>
              </w:rPr>
              <w:t xml:space="preserve">SSO</w:t>
            </w:r>
          </w:p>
        </w:tc>
        <w:tc>
          <w:tcPr>
            <w:tcW w:type="dxa" w:w="6700"/>
            <w:tcMar>
              <w:top w:type="dxa" w:w="60"/>
              <w:left w:type="dxa" w:w="110"/>
              <w:bottom w:type="dxa" w:w="60"/>
              <w:right w:type="dxa" w:w="110"/>
            </w:tcMar>
          </w:tcPr>
          <w:p>
            <w:r>
              <w:rPr>
                <w:b w:val="false"/>
                <w:bCs w:val="false"/>
                <w:color w:val="1F2937"/>
                <w:sz w:val="20"/>
                <w:szCs w:val="20"/>
              </w:rPr>
              <w:t xml:space="preserve">Single sign-on — one secure login (Keycloak) across TIRDO systems.</w:t>
            </w:r>
          </w:p>
        </w:tc>
      </w:tr>
      <w:tr>
        <w:tc>
          <w:tcPr>
            <w:tcW w:type="dxa" w:w="2100"/>
            <w:tcMar>
              <w:top w:type="dxa" w:w="60"/>
              <w:left w:type="dxa" w:w="110"/>
              <w:bottom w:type="dxa" w:w="60"/>
              <w:right w:type="dxa" w:w="110"/>
            </w:tcMar>
          </w:tcPr>
          <w:p>
            <w:r>
              <w:rPr>
                <w:b w:val="false"/>
                <w:bCs w:val="false"/>
                <w:color w:val="1F2937"/>
                <w:sz w:val="20"/>
                <w:szCs w:val="20"/>
              </w:rPr>
              <w:t xml:space="preserve">MFA</w:t>
            </w:r>
          </w:p>
        </w:tc>
        <w:tc>
          <w:tcPr>
            <w:tcW w:type="dxa" w:w="6700"/>
            <w:tcMar>
              <w:top w:type="dxa" w:w="60"/>
              <w:left w:type="dxa" w:w="110"/>
              <w:bottom w:type="dxa" w:w="60"/>
              <w:right w:type="dxa" w:w="110"/>
            </w:tcMar>
          </w:tcPr>
          <w:p>
            <w:r>
              <w:rPr>
                <w:b w:val="false"/>
                <w:bCs w:val="false"/>
                <w:color w:val="1F2937"/>
                <w:sz w:val="20"/>
                <w:szCs w:val="20"/>
              </w:rPr>
              <w:t xml:space="preserve">Multi-factor authentication — an authenticator-app code in addition to your password.</w:t>
            </w:r>
          </w:p>
        </w:tc>
      </w:tr>
      <w:tr>
        <w:tc>
          <w:tcPr>
            <w:tcW w:type="dxa" w:w="2100"/>
            <w:tcMar>
              <w:top w:type="dxa" w:w="60"/>
              <w:left w:type="dxa" w:w="110"/>
              <w:bottom w:type="dxa" w:w="60"/>
              <w:right w:type="dxa" w:w="110"/>
            </w:tcMar>
          </w:tcPr>
          <w:p>
            <w:r>
              <w:rPr>
                <w:b w:val="false"/>
                <w:bCs w:val="false"/>
                <w:color w:val="1F2937"/>
                <w:sz w:val="20"/>
                <w:szCs w:val="20"/>
              </w:rPr>
              <w:t xml:space="preserve">Audit log</w:t>
            </w:r>
          </w:p>
        </w:tc>
        <w:tc>
          <w:tcPr>
            <w:tcW w:type="dxa" w:w="6700"/>
            <w:tcMar>
              <w:top w:type="dxa" w:w="60"/>
              <w:left w:type="dxa" w:w="110"/>
              <w:bottom w:type="dxa" w:w="60"/>
              <w:right w:type="dxa" w:w="110"/>
            </w:tcMar>
          </w:tcPr>
          <w:p>
            <w:r>
              <w:rPr>
                <w:b w:val="false"/>
                <w:bCs w:val="false"/>
                <w:color w:val="1F2937"/>
                <w:sz w:val="20"/>
                <w:szCs w:val="20"/>
              </w:rPr>
              <w:t xml:space="preserve">Tamper-evident record of every content change.</w:t>
            </w:r>
          </w:p>
        </w:tc>
      </w:tr>
      <w:tr>
        <w:tc>
          <w:tcPr>
            <w:tcW w:type="dxa" w:w="2100"/>
            <w:tcMar>
              <w:top w:type="dxa" w:w="60"/>
              <w:left w:type="dxa" w:w="110"/>
              <w:bottom w:type="dxa" w:w="60"/>
              <w:right w:type="dxa" w:w="110"/>
            </w:tcMar>
          </w:tcPr>
          <w:p>
            <w:r>
              <w:rPr>
                <w:b w:val="false"/>
                <w:bCs w:val="false"/>
                <w:color w:val="1F2937"/>
                <w:sz w:val="20"/>
                <w:szCs w:val="20"/>
              </w:rPr>
              <w:t xml:space="preserve">WCAG 2.1 AA</w:t>
            </w:r>
          </w:p>
        </w:tc>
        <w:tc>
          <w:tcPr>
            <w:tcW w:type="dxa" w:w="6700"/>
            <w:tcMar>
              <w:top w:type="dxa" w:w="60"/>
              <w:left w:type="dxa" w:w="110"/>
              <w:bottom w:type="dxa" w:w="60"/>
              <w:right w:type="dxa" w:w="110"/>
            </w:tcMar>
          </w:tcPr>
          <w:p>
            <w:r>
              <w:rPr>
                <w:b w:val="false"/>
                <w:bCs w:val="false"/>
                <w:color w:val="1F2937"/>
                <w:sz w:val="20"/>
                <w:szCs w:val="20"/>
              </w:rPr>
              <w:t xml:space="preserve">The accessibility standard the site is built to meet.</w:t>
            </w:r>
          </w:p>
        </w:tc>
      </w:tr>
    </w:tbl>
    <w:p>
      <w:pPr>
        <w:pStyle w:val="Heading2"/>
      </w:pPr>
      <w:r>
        <w:t xml:space="preserve">Getting help &amp; further documentation</w:t>
      </w:r>
    </w:p>
    <w:p>
      <w:pPr>
        <w:pBdr>
          <w:left w:val="single" w:color="F2C500" w:sz="18" w:space="14"/>
        </w:pBdr>
        <w:spacing w:after="200" w:before="60"/>
        <w:ind w:left="240"/>
      </w:pPr>
      <w:r>
        <w:rPr>
          <w:i/>
          <w:iCs/>
          <w:color w:val="4B5563"/>
          <w:sz w:val="22"/>
          <w:szCs w:val="22"/>
        </w:rPr>
        <w:t xml:space="preserve">This section says who to contact and where the deeper technical guides live.</w:t>
      </w:r>
    </w:p>
    <w:p>
      <w:pPr>
        <w:spacing w:after="140"/>
      </w:pPr>
      <w:r>
        <w:rPr>
          <w:color w:val="1F2937"/>
          <w:sz w:val="22"/>
          <w:szCs w:val="22"/>
        </w:rPr>
        <w:t xml:space="preserve">For website content questions, contact the TIRDO ICT team. For general enquiries use the Contact Us page, email </w:t>
      </w:r>
      <w:r>
        <w:rPr>
          <w:b/>
          <w:bCs/>
          <w:color w:val="1F2937"/>
          <w:sz w:val="22"/>
          <w:szCs w:val="22"/>
        </w:rPr>
        <w:t xml:space="preserve">info@tirdo.or.tz</w:t>
      </w:r>
      <w:r>
        <w:rPr>
          <w:color w:val="1F2937"/>
          <w:sz w:val="22"/>
          <w:szCs w:val="22"/>
        </w:rPr>
        <w:t xml:space="preserve">, or call the numbers listed in the site footer.</w:t>
      </w:r>
    </w:p>
    <w:p>
      <w:pPr>
        <w:spacing w:after="140"/>
      </w:pPr>
      <w:r>
        <w:rPr>
          <w:color w:val="1F2937"/>
          <w:sz w:val="22"/>
          <w:szCs w:val="22"/>
        </w:rPr>
        <w:t xml:space="preserve">Companion technical documents in the project repository include the Deployment guide, Administrator manual, API reference, Accessibility and Internationalisation guides, the Backup &amp; DR runbook, and the Go-Live runbook. Ask the ICT team if you need access to these.</w:t>
      </w:r>
    </w:p>
    <w:p>
      <w:pPr>
        <w:spacing w:before="240"/>
        <w:jc w:val="center"/>
      </w:pPr>
      <w:r>
        <w:rPr>
          <w:i/>
          <w:iCs/>
          <w:color w:val="4B5563"/>
          <w:sz w:val="20"/>
          <w:szCs w:val="20"/>
        </w:rPr>
        <w:t xml:space="preserve">— End of manual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B5563"/>
        <w:sz w:val="16"/>
        <w:szCs w:val="16"/>
      </w:rPr>
      <w:t xml:space="preserve">Page </w:t>
    </w:r>
    <w:r>
      <w:rPr>
        <w:color w:val="4B556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B5563"/>
        <w:sz w:val="16"/>
        <w:szCs w:val="16"/>
      </w:rPr>
      <w:t xml:space="preserve">TIRDO Website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20" w:hanging="3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40"/>
    </w:pPr>
    <w:rPr>
      <w:b/>
      <w:bCs/>
      <w:color w:val="17488E"/>
      <w:sz w:val="32"/>
      <w:szCs w:val="32"/>
    </w:rPr>
  </w:style>
  <w:style w:type="paragraph" w:styleId="Heading2">
    <w:name w:val="Heading 2"/>
    <w:basedOn w:val="Normal"/>
    <w:next w:val="Normal"/>
    <w:qFormat/>
    <w:pPr>
      <w:keepNext/>
      <w:spacing w:after="120" w:before="260"/>
    </w:pPr>
    <w:rPr>
      <w:b/>
      <w:bCs/>
      <w:color w:val="007E93"/>
      <w:sz w:val="26"/>
      <w:szCs w:val="26"/>
    </w:rPr>
  </w:style>
  <w:style w:type="paragraph" w:styleId="Heading3">
    <w:name w:val="Heading 3"/>
    <w:basedOn w:val="Normal"/>
    <w:next w:val="Normal"/>
    <w:qFormat/>
    <w:pPr>
      <w:keepNext/>
      <w:spacing w:after="80" w:before="180"/>
    </w:pPr>
    <w:rPr>
      <w:b/>
      <w:bCs/>
      <w:color w:val="1F293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b943a947c156ea5df791ad0774b09d8fdc80bfe.jpg"/><Relationship Id="rId10" Type="http://schemas.openxmlformats.org/officeDocument/2006/relationships/image" Target="media/2125c0ef958375d48a8c12dfe933f1aaf1d4807d.jpg"/><Relationship Id="rId11" Type="http://schemas.openxmlformats.org/officeDocument/2006/relationships/image" Target="media/add44a1f8c90fb053eb3afc91adbff191ebda455.jpg"/><Relationship Id="rId12" Type="http://schemas.openxmlformats.org/officeDocument/2006/relationships/image" Target="media/62d47a8b27030cb4f4fa66324cdc4e13d9c5dfce.jpg"/><Relationship Id="rId13" Type="http://schemas.openxmlformats.org/officeDocument/2006/relationships/image" Target="media/60fa77dcd6c7b1b09e124b9a0095257f0c71e2a5.jpg"/><Relationship Id="rId14" Type="http://schemas.openxmlformats.org/officeDocument/2006/relationships/image" Target="media/07146766cce3e582d97122bd6973efa94969eee9.jpg"/><Relationship Id="rId15" Type="http://schemas.openxmlformats.org/officeDocument/2006/relationships/image" Target="media/384ecaf7454f1953ceda12c3120563177952e371.jpg"/><Relationship Id="rId16" Type="http://schemas.openxmlformats.org/officeDocument/2006/relationships/image" Target="media/962d26192e9edde9c3d9a78a82c097aec8eafb60.jpg"/><Relationship Id="rId17" Type="http://schemas.openxmlformats.org/officeDocument/2006/relationships/image" Target="media/295ea57f72f7a41eeed4e54964c6826a35aee43b.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TIRDO Website Comprehensive User Manual</dc:title>
  <dc:creator>Tanzania Industrial Research and Development Organization (TIRDO)</dc:creator>
  <dc:description>Public website and content administration guide</dc:description>
  <cp:lastModifiedBy>Un-named</cp:lastModifiedBy>
  <cp:revision>1</cp:revision>
  <dcterms:created xsi:type="dcterms:W3CDTF">2026-10-05T10:43:56.946Z</dcterms:created>
  <dcterms:modified xsi:type="dcterms:W3CDTF">2026-10-05T10:43:56.950Z</dcterms:modified>
</cp:coreProperties>
</file>

<file path=docProps/custom.xml><?xml version="1.0" encoding="utf-8"?>
<Properties xmlns="http://schemas.openxmlformats.org/officeDocument/2006/custom-properties" xmlns:vt="http://schemas.openxmlformats.org/officeDocument/2006/docPropsVTypes"/>
</file>