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7488E"/>
          <w:sz w:val="24"/>
          <w:szCs w:val="24"/>
        </w:rPr>
        <w:t xml:space="preserve">TANZANIA INDUSTRIAL RESEARCH AND DEVELOPMENT ORGANIZATION (TIRDO)</w:t>
      </w:r>
    </w:p>
    <w:p>
      <w:pPr>
        <w:spacing w:after="60"/>
        <w:jc w:val="center"/>
      </w:pPr>
      <w:r>
        <w:rPr>
          <w:color w:val="007E93"/>
          <w:sz w:val="20"/>
          <w:szCs w:val="20"/>
        </w:rPr>
        <w:t xml:space="preserve">Directorate of ICT &amp; Technology Transfer</w:t>
      </w:r>
    </w:p>
    <w:p>
      <w:pPr>
        <w:pBdr>
          <w:bottom w:val="single" w:color="F2C500" w:sz="18" w:space="8"/>
        </w:pBdr>
        <w:spacing w:after="200"/>
        <w:jc w:val="center"/>
      </w:pPr>
      <w:r>
        <w:rPr>
          <w:b/>
          <w:bCs/>
          <w:color w:val="1F2937"/>
          <w:sz w:val="22"/>
          <w:szCs w:val="22"/>
        </w:rPr>
        <w:t xml:space="preserve">INTERNAL MEMORANDUM</w:t>
      </w:r>
    </w:p>
    <w:tbl>
      <w:tblPr>
        <w:tblW w:type="dxa" w:w="9200"/>
        <w:tblBorders>
          <w:top w:val="none"/>
          <w:left w:val="none"/>
          <w:bottom w:val="none"/>
          <w:right w:val="none"/>
          <w:insideH w:val="none"/>
          <w:insideV w:val="none"/>
        </w:tblBorders>
      </w:tblPr>
      <w:tblGrid>
        <w:gridCol w:w="1500"/>
        <w:gridCol w:w="7700"/>
      </w:tblGrid>
      <w:tr>
        <w:tc>
          <w:tcPr>
            <w:tcW w:type="dxa" w:w="1500"/>
            <w:tcMar>
              <w:top w:type="dxa" w:w="40"/>
              <w:left w:type="dxa" w:w="60"/>
              <w:bottom w:type="dxa" w:w="40"/>
              <w:right w:type="dxa" w:w="60"/>
            </w:tcMar>
          </w:tcPr>
          <w:p>
            <w:r>
              <w:rPr>
                <w:b/>
                <w:bCs/>
                <w:color w:val="17488E"/>
                <w:sz w:val="22"/>
                <w:szCs w:val="22"/>
              </w:rPr>
              <w:t xml:space="preserve">TO:</w:t>
            </w:r>
          </w:p>
        </w:tc>
        <w:tc>
          <w:tcPr>
            <w:tcW w:type="dxa" w:w="7700"/>
            <w:tcMar>
              <w:top w:type="dxa" w:w="40"/>
              <w:left w:type="dxa" w:w="60"/>
              <w:bottom w:type="dxa" w:w="40"/>
              <w:right w:type="dxa" w:w="60"/>
            </w:tcMar>
          </w:tcPr>
          <w:p>
            <w:r>
              <w:rPr>
                <w:color w:val="1F2937"/>
                <w:sz w:val="22"/>
                <w:szCs w:val="22"/>
              </w:rPr>
              <w:t xml:space="preserve">____________________________  (originator of the directive)</w:t>
            </w:r>
          </w:p>
        </w:tc>
      </w:tr>
      <w:tr>
        <w:tc>
          <w:tcPr>
            <w:tcW w:type="dxa" w:w="1500"/>
            <w:tcMar>
              <w:top w:type="dxa" w:w="40"/>
              <w:left w:type="dxa" w:w="60"/>
              <w:bottom w:type="dxa" w:w="40"/>
              <w:right w:type="dxa" w:w="60"/>
            </w:tcMar>
          </w:tcPr>
          <w:p>
            <w:r>
              <w:rPr>
                <w:b/>
                <w:bCs/>
                <w:color w:val="17488E"/>
                <w:sz w:val="22"/>
                <w:szCs w:val="22"/>
              </w:rPr>
              <w:t xml:space="preserve">THROUGH:</w:t>
            </w:r>
          </w:p>
        </w:tc>
        <w:tc>
          <w:tcPr>
            <w:tcW w:type="dxa" w:w="7700"/>
            <w:tcMar>
              <w:top w:type="dxa" w:w="40"/>
              <w:left w:type="dxa" w:w="60"/>
              <w:bottom w:type="dxa" w:w="40"/>
              <w:right w:type="dxa" w:w="60"/>
            </w:tcMar>
          </w:tcPr>
          <w:p>
            <w:r>
              <w:rPr>
                <w:color w:val="1F2937"/>
                <w:sz w:val="22"/>
                <w:szCs w:val="22"/>
              </w:rPr>
              <w:t xml:space="preserve">____________________________</w:t>
            </w:r>
          </w:p>
        </w:tc>
      </w:tr>
      <w:tr>
        <w:tc>
          <w:tcPr>
            <w:tcW w:type="dxa" w:w="1500"/>
            <w:tcMar>
              <w:top w:type="dxa" w:w="40"/>
              <w:left w:type="dxa" w:w="60"/>
              <w:bottom w:type="dxa" w:w="40"/>
              <w:right w:type="dxa" w:w="60"/>
            </w:tcMar>
          </w:tcPr>
          <w:p>
            <w:r>
              <w:rPr>
                <w:b/>
                <w:bCs/>
                <w:color w:val="17488E"/>
                <w:sz w:val="22"/>
                <w:szCs w:val="22"/>
              </w:rPr>
              <w:t xml:space="preserve">FROM:</w:t>
            </w:r>
          </w:p>
        </w:tc>
        <w:tc>
          <w:tcPr>
            <w:tcW w:type="dxa" w:w="7700"/>
            <w:tcMar>
              <w:top w:type="dxa" w:w="40"/>
              <w:left w:type="dxa" w:w="60"/>
              <w:bottom w:type="dxa" w:w="40"/>
              <w:right w:type="dxa" w:w="60"/>
            </w:tcMar>
          </w:tcPr>
          <w:p>
            <w:r>
              <w:rPr>
                <w:color w:val="1F2937"/>
                <w:sz w:val="22"/>
                <w:szCs w:val="22"/>
              </w:rPr>
              <w:t xml:space="preserve">Directorate of ICT &amp; Technology Transfer</w:t>
            </w:r>
          </w:p>
        </w:tc>
      </w:tr>
      <w:tr>
        <w:tc>
          <w:tcPr>
            <w:tcW w:type="dxa" w:w="1500"/>
            <w:tcMar>
              <w:top w:type="dxa" w:w="40"/>
              <w:left w:type="dxa" w:w="60"/>
              <w:bottom w:type="dxa" w:w="40"/>
              <w:right w:type="dxa" w:w="60"/>
            </w:tcMar>
          </w:tcPr>
          <w:p>
            <w:r>
              <w:rPr>
                <w:b/>
                <w:bCs/>
                <w:color w:val="17488E"/>
                <w:sz w:val="22"/>
                <w:szCs w:val="22"/>
              </w:rPr>
              <w:t xml:space="preserve">DATE:</w:t>
            </w:r>
          </w:p>
        </w:tc>
        <w:tc>
          <w:tcPr>
            <w:tcW w:type="dxa" w:w="7700"/>
            <w:tcMar>
              <w:top w:type="dxa" w:w="40"/>
              <w:left w:type="dxa" w:w="60"/>
              <w:bottom w:type="dxa" w:w="40"/>
              <w:right w:type="dxa" w:w="60"/>
            </w:tcMar>
          </w:tcPr>
          <w:p>
            <w:r>
              <w:rPr>
                <w:color w:val="1F2937"/>
                <w:sz w:val="22"/>
                <w:szCs w:val="22"/>
              </w:rPr>
              <w:t xml:space="preserve">____________________________</w:t>
            </w:r>
          </w:p>
        </w:tc>
      </w:tr>
      <w:tr>
        <w:tc>
          <w:tcPr>
            <w:tcW w:type="dxa" w:w="1500"/>
            <w:tcMar>
              <w:top w:type="dxa" w:w="40"/>
              <w:left w:type="dxa" w:w="60"/>
              <w:bottom w:type="dxa" w:w="40"/>
              <w:right w:type="dxa" w:w="60"/>
            </w:tcMar>
          </w:tcPr>
          <w:p>
            <w:r>
              <w:rPr>
                <w:b/>
                <w:bCs/>
                <w:color w:val="17488E"/>
                <w:sz w:val="22"/>
                <w:szCs w:val="22"/>
              </w:rPr>
              <w:t xml:space="preserve">REF. NO:</w:t>
            </w:r>
          </w:p>
        </w:tc>
        <w:tc>
          <w:tcPr>
            <w:tcW w:type="dxa" w:w="7700"/>
            <w:tcMar>
              <w:top w:type="dxa" w:w="40"/>
              <w:left w:type="dxa" w:w="60"/>
              <w:bottom w:type="dxa" w:w="40"/>
              <w:right w:type="dxa" w:w="60"/>
            </w:tcMar>
          </w:tcPr>
          <w:p>
            <w:r>
              <w:rPr>
                <w:color w:val="1F2937"/>
                <w:sz w:val="22"/>
                <w:szCs w:val="22"/>
              </w:rPr>
              <w:t xml:space="preserve">____________________________</w:t>
            </w:r>
          </w:p>
        </w:tc>
      </w:tr>
    </w:tbl>
    <w:p>
      <w:pPr>
        <w:spacing w:after="200" w:before="160"/>
      </w:pPr>
      <w:r>
        <w:rPr>
          <w:b/>
          <w:bCs/>
          <w:color w:val="17488E"/>
          <w:sz w:val="22"/>
          <w:szCs w:val="22"/>
        </w:rPr>
        <w:t xml:space="preserve">RE:  </w:t>
      </w:r>
      <w:r>
        <w:rPr>
          <w:b/>
          <w:bCs/>
          <w:color w:val="1F2937"/>
          <w:sz w:val="22"/>
          <w:szCs w:val="22"/>
        </w:rPr>
        <w:t xml:space="preserve">IMPLEMENTATION OF THE STAKEHOLDERS FEEDBACK MECHANISM AND CUSTOMER SERVICE CHARTER ON THE TIRDO WEBSITE</w:t>
      </w:r>
    </w:p>
    <w:p>
      <w:pPr>
        <w:spacing w:after="160"/>
      </w:pPr>
      <w:r>
        <w:rPr>
          <w:color w:val="1F2937"/>
          <w:sz w:val="22"/>
          <w:szCs w:val="22"/>
        </w:rPr>
        <w:t xml:space="preserve">Reference is made to the directive on establishing a TIRDO Stakeholders Relation Management System to strengthen service delivery and obtain feedback on our services.</w:t>
      </w:r>
    </w:p>
    <w:p>
      <w:pPr>
        <w:spacing w:after="160"/>
      </w:pPr>
      <w:r>
        <w:rPr>
          <w:color w:val="1F2937"/>
          <w:sz w:val="22"/>
          <w:szCs w:val="22"/>
        </w:rPr>
        <w:t xml:space="preserve">The Directorate of ICT &amp; Technology Transfer has implemented the stakeholder-feedback and service-measurement components of that directive within the new TIRDO website. The following have been delivered:</w:t>
      </w:r>
    </w:p>
    <w:p>
      <w:pPr>
        <w:pStyle w:val="ListParagraph"/>
        <w:numPr>
          <w:ilvl w:val="0"/>
          <w:numId w:val="2"/>
        </w:numPr>
        <w:spacing w:after="100"/>
      </w:pPr>
      <w:r>
        <w:rPr>
          <w:b/>
          <w:bCs/>
          <w:color w:val="1F2937"/>
          <w:sz w:val="22"/>
          <w:szCs w:val="22"/>
        </w:rPr>
        <w:t xml:space="preserve">Stakeholder feedback mechanism — </w:t>
      </w:r>
      <w:r>
        <w:rPr>
          <w:color w:val="1F2937"/>
          <w:sz w:val="22"/>
          <w:szCs w:val="22"/>
        </w:rPr>
        <w:t xml:space="preserve">a public feedback page lets stakeholders in the industrial sector rate TIRDO services (1–5) and submit a compliment, complaint, suggestion or enquiry against a specific service area. Each submission is stored and the responsible team is notified by email.</w:t>
      </w:r>
    </w:p>
    <w:p>
      <w:pPr>
        <w:pStyle w:val="ListParagraph"/>
        <w:numPr>
          <w:ilvl w:val="0"/>
          <w:numId w:val="2"/>
        </w:numPr>
        <w:spacing w:after="100"/>
      </w:pPr>
      <w:r>
        <w:rPr>
          <w:b/>
          <w:bCs/>
          <w:color w:val="1F2937"/>
          <w:sz w:val="22"/>
          <w:szCs w:val="22"/>
        </w:rPr>
        <w:t xml:space="preserve">Service measurement (upimaji wa huduma) — </w:t>
      </w:r>
      <w:r>
        <w:rPr>
          <w:color w:val="1F2937"/>
          <w:sz w:val="22"/>
          <w:szCs w:val="22"/>
        </w:rPr>
        <w:t xml:space="preserve">feedback is aggregated into service-satisfaction metrics (average rating, totals and breakdown by type) shown on the website's Analytics page. Individual feedback remains confidential to staff.</w:t>
      </w:r>
    </w:p>
    <w:p>
      <w:pPr>
        <w:pStyle w:val="ListParagraph"/>
        <w:numPr>
          <w:ilvl w:val="0"/>
          <w:numId w:val="2"/>
        </w:numPr>
        <w:spacing w:after="100"/>
      </w:pPr>
      <w:r>
        <w:rPr>
          <w:b/>
          <w:bCs/>
          <w:color w:val="1F2937"/>
          <w:sz w:val="22"/>
          <w:szCs w:val="22"/>
        </w:rPr>
        <w:t xml:space="preserve">Customer Service Charter — </w:t>
      </w:r>
      <w:r>
        <w:rPr>
          <w:color w:val="1F2937"/>
          <w:sz w:val="22"/>
          <w:szCs w:val="22"/>
        </w:rPr>
        <w:t xml:space="preserve">a published charter sets out TIRDO's service standards, turnaround times, and client rights and responsibilities, with a direct link to the feedback channel. An English version is in place and a Kiswahili version has been drafted.</w:t>
      </w:r>
    </w:p>
    <w:p>
      <w:pPr>
        <w:pStyle w:val="ListParagraph"/>
        <w:numPr>
          <w:ilvl w:val="0"/>
          <w:numId w:val="2"/>
        </w:numPr>
        <w:spacing w:after="100"/>
      </w:pPr>
      <w:r>
        <w:rPr>
          <w:b/>
          <w:bCs/>
          <w:color w:val="1F2937"/>
          <w:sz w:val="22"/>
          <w:szCs w:val="22"/>
        </w:rPr>
        <w:t xml:space="preserve">Staff handling and accountability — </w:t>
      </w:r>
      <w:r>
        <w:rPr>
          <w:color w:val="1F2937"/>
          <w:sz w:val="22"/>
          <w:szCs w:val="22"/>
        </w:rPr>
        <w:t xml:space="preserve">staff triage each item, record a response and mark it resolved in the content-management system; every action is captured in the website's tamper-evident audit log.</w:t>
      </w:r>
    </w:p>
    <w:p>
      <w:pPr>
        <w:pStyle w:val="ListParagraph"/>
        <w:numPr>
          <w:ilvl w:val="0"/>
          <w:numId w:val="2"/>
        </w:numPr>
        <w:spacing w:after="100"/>
      </w:pPr>
      <w:r>
        <w:rPr>
          <w:b/>
          <w:bCs/>
          <w:color w:val="1F2937"/>
          <w:sz w:val="22"/>
          <w:szCs w:val="22"/>
        </w:rPr>
        <w:t xml:space="preserve">Access — </w:t>
      </w:r>
      <w:r>
        <w:rPr>
          <w:color w:val="1F2937"/>
          <w:sz w:val="22"/>
          <w:szCs w:val="22"/>
        </w:rPr>
        <w:t xml:space="preserve">the charter and feedback channels are linked from the site navigation and footer, and a "Rate this service" prompt appears on the service pages.</w:t>
      </w:r>
    </w:p>
    <w:p>
      <w:pPr>
        <w:spacing w:after="160"/>
      </w:pPr>
      <w:r>
        <w:rPr>
          <w:b/>
          <w:bCs/>
          <w:color w:val="1F2937"/>
          <w:sz w:val="22"/>
          <w:szCs w:val="22"/>
        </w:rPr>
        <w:t xml:space="preserve">Scope. </w:t>
      </w:r>
      <w:r>
        <w:rPr>
          <w:color w:val="1F2937"/>
          <w:sz w:val="22"/>
          <w:szCs w:val="22"/>
        </w:rPr>
        <w:t xml:space="preserve">These components deliver the directive's intent on the public website. A full stakeholder-relationship management system — with a stakeholder database, case assignment, service-level tracking and follow-up workflow — would be a separate internal system; the website layer above is designed to feed such a system should the Organization wish to establish one.</w:t>
      </w:r>
    </w:p>
    <w:p>
      <w:pPr>
        <w:spacing w:after="160"/>
      </w:pPr>
      <w:r>
        <w:rPr>
          <w:b/>
          <w:bCs/>
          <w:color w:val="1F2937"/>
          <w:sz w:val="22"/>
          <w:szCs w:val="22"/>
        </w:rPr>
        <w:t xml:space="preserve">Status. </w:t>
      </w:r>
      <w:r>
        <w:rPr>
          <w:color w:val="1F2937"/>
          <w:sz w:val="22"/>
          <w:szCs w:val="22"/>
        </w:rPr>
        <w:t xml:space="preserve">The work is complete, has passed technical checks, and is committed to the project code repository. It will be available to the public upon the website's production deployment, per the go-live plan.</w:t>
      </w:r>
    </w:p>
    <w:p>
      <w:pPr>
        <w:spacing w:after="160"/>
      </w:pPr>
      <w:r>
        <w:rPr>
          <w:color w:val="1F2937"/>
          <w:sz w:val="22"/>
          <w:szCs w:val="22"/>
        </w:rPr>
        <w:t xml:space="preserve">For the system to take effect, the Directorate recommends that management:</w:t>
      </w:r>
    </w:p>
    <w:p>
      <w:pPr>
        <w:pStyle w:val="ListParagraph"/>
        <w:numPr>
          <w:ilvl w:val="0"/>
          <w:numId w:val="3"/>
        </w:numPr>
        <w:spacing w:after="100"/>
      </w:pPr>
      <w:r>
        <w:rPr>
          <w:color w:val="1F2937"/>
          <w:sz w:val="22"/>
          <w:szCs w:val="22"/>
        </w:rPr>
        <w:t xml:space="preserve">review and approve the Customer Service Charter standards and turnaround times;</w:t>
      </w:r>
    </w:p>
    <w:p>
      <w:pPr>
        <w:pStyle w:val="ListParagraph"/>
        <w:numPr>
          <w:ilvl w:val="0"/>
          <w:numId w:val="3"/>
        </w:numPr>
        <w:spacing w:after="100"/>
      </w:pPr>
      <w:r>
        <w:rPr>
          <w:color w:val="1F2937"/>
          <w:sz w:val="22"/>
          <w:szCs w:val="22"/>
        </w:rPr>
        <w:t xml:space="preserve">designate the office(s) responsible for monitoring and responding to feedback;</w:t>
      </w:r>
    </w:p>
    <w:p>
      <w:pPr>
        <w:pStyle w:val="ListParagraph"/>
        <w:numPr>
          <w:ilvl w:val="0"/>
          <w:numId w:val="3"/>
        </w:numPr>
        <w:spacing w:after="100"/>
      </w:pPr>
      <w:r>
        <w:rPr>
          <w:color w:val="1F2937"/>
          <w:sz w:val="22"/>
          <w:szCs w:val="22"/>
        </w:rPr>
        <w:t xml:space="preserve">approve the Kiswahili charter text for publication; and</w:t>
      </w:r>
    </w:p>
    <w:p>
      <w:pPr>
        <w:pStyle w:val="ListParagraph"/>
        <w:numPr>
          <w:ilvl w:val="0"/>
          <w:numId w:val="3"/>
        </w:numPr>
        <w:spacing w:after="100"/>
      </w:pPr>
      <w:r>
        <w:rPr>
          <w:color w:val="1F2937"/>
          <w:sz w:val="22"/>
          <w:szCs w:val="22"/>
        </w:rPr>
        <w:t xml:space="preserve">authorise production deployment of the website.</w:t>
      </w:r>
    </w:p>
    <w:p>
      <w:pPr>
        <w:spacing w:after="160"/>
      </w:pPr>
      <w:r>
        <w:rPr>
          <w:color w:val="1F2937"/>
          <w:sz w:val="22"/>
          <w:szCs w:val="22"/>
        </w:rPr>
        <w:t xml:space="preserve">Submitted for your information and approval.</w:t>
      </w:r>
    </w:p>
    <w:p>
      <w:pPr>
        <w:spacing w:before="400"/>
      </w:pPr>
      <w:r>
        <w:rPr>
          <w:color w:val="1F2937"/>
          <w:sz w:val="22"/>
          <w:szCs w:val="22"/>
        </w:rPr>
        <w:t xml:space="preserve">____________________________</w:t>
      </w:r>
    </w:p>
    <w:p>
      <w:r>
        <w:rPr>
          <w:color w:val="1F2937"/>
          <w:sz w:val="22"/>
          <w:szCs w:val="22"/>
        </w:rPr>
        <w:t xml:space="preserve">Director, ICT &amp; Technology Transfer</w:t>
      </w:r>
    </w:p>
    <w:p>
      <w:r>
        <w:rPr>
          <w:color w:val="4B5563"/>
          <w:sz w:val="20"/>
          <w:szCs w:val="20"/>
        </w:rPr>
        <w:t xml:space="preserve">TIRDO</w:t>
      </w:r>
    </w:p>
    <w:p>
      <w:pPr>
        <w:spacing w:before="300"/>
      </w:pPr>
      <w:r>
        <w:rPr>
          <w:i/>
          <w:iCs/>
          <w:color w:val="4B5563"/>
          <w:sz w:val="18"/>
          <w:szCs w:val="18"/>
        </w:rPr>
        <w:t xml:space="preserve">Note: place on official TIRDO letterhead and complete the TO / DATE / REF fields before submission.</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Reply memo — Stakeholder feedback &amp; Customer Service Charter</dc:title>
  <dc:creator>Tanzania Industrial Research and Development Organization (TIRDO)</dc:creator>
  <cp:lastModifiedBy>Un-named</cp:lastModifiedBy>
  <cp:revision>1</cp:revision>
  <dcterms:created xsi:type="dcterms:W3CDTF">2026-10-06T05:48:43.822Z</dcterms:created>
  <dcterms:modified xsi:type="dcterms:W3CDTF">2026-10-06T05:48:43.827Z</dcterms:modified>
</cp:coreProperties>
</file>

<file path=docProps/custom.xml><?xml version="1.0" encoding="utf-8"?>
<Properties xmlns="http://schemas.openxmlformats.org/officeDocument/2006/custom-properties" xmlns:vt="http://schemas.openxmlformats.org/officeDocument/2006/docPropsVTypes"/>
</file>