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1E3A5F"/>
          <w:sz w:val="36"/>
          <w:szCs w:val="36"/>
        </w:rPr>
        <w:t xml:space="preserve">ERP 프로세스 학습 시뮬레이터 — 개발 세션 종합 보고서</w:t>
      </w:r>
    </w:p>
    <w:p>
      <w:pPr>
        <w:pBdr>
          <w:bottom w:val="single" w:color="1E3A5F" w:sz="6" w:space="6"/>
        </w:pBdr>
        <w:spacing w:after="40"/>
      </w:pPr>
      <w:r>
        <w:rPr>
          <w:rFonts w:ascii="Malgun Gothic" w:cs="Malgun Gothic" w:eastAsia="Malgun Gothic" w:hAnsi="Malgun Gothic"/>
          <w:color w:val="64748B"/>
          <w:sz w:val="18"/>
          <w:szCs w:val="18"/>
        </w:rPr>
        <w:t xml:space="preserve">보고일자 2026-07-22   |   대상 산출물 ERP Process Learning Simulator (ABC Auto Parts Inc. 가상 시나리오)</w:t>
      </w:r>
    </w:p>
    <w:p>
      <w:pPr>
        <w:spacing w:after="240" w:line="300"/>
      </w:pPr>
      <w:r>
        <w:rPr>
          <w:rFonts w:ascii="Malgun Gothic" w:cs="Malgun Gothic" w:eastAsia="Malgun Gothic" w:hAnsi="Malgun Gothic"/>
          <w:color w:val="64748B"/>
          <w:sz w:val="18"/>
          <w:szCs w:val="18"/>
        </w:rPr>
        <w:t xml:space="preserve">작성 범위: 본 세션에서 수행한 요청·개발·조사·검증 전체</w:t>
      </w:r>
    </w:p>
    <w:p>
      <w:pPr>
        <w:pStyle w:val="Heading1"/>
        <w:spacing w:after="120" w:before="120"/>
      </w:pPr>
      <w:r>
        <w:rPr>
          <w:rFonts w:ascii="Malgun Gothic" w:cs="Malgun Gothic" w:eastAsia="Malgun Gothic" w:hAnsi="Malgun Gothic"/>
          <w:b/>
          <w:bCs/>
          <w:color w:val="1E3A5F"/>
          <w:sz w:val="26"/>
          <w:szCs w:val="26"/>
        </w:rPr>
        <w:t xml:space="preserve">1. 문서 및 저장소 정보</w:t>
      </w:r>
    </w:p>
    <w:tbl>
      <w:tblPr>
        <w:tblW w:type="dxa" w:w="14040"/>
        <w:tblBorders>
          <w:top w:val="single" w:color="CBD5E1" w:sz="2"/>
          <w:left w:val="single" w:color="CBD5E1" w:sz="2"/>
          <w:bottom w:val="single" w:color="CBD5E1" w:sz="2"/>
          <w:right w:val="single" w:color="CBD5E1" w:sz="2"/>
          <w:insideH w:val="single" w:color="E2E8F0" w:sz="1"/>
          <w:insideV w:val="single" w:color="E2E8F0" w:sz="1"/>
        </w:tblBorders>
        <w:tblLayout w:type="fixed"/>
      </w:tblPr>
      <w:tblGrid>
        <w:gridCol w:w="4600"/>
        <w:gridCol w:w="9440"/>
      </w:tblGrid>
      <w:tr>
        <w:trPr>
          <w:tblHeader/>
        </w:trPr>
        <w:tc>
          <w:tcPr>
            <w:tcW w:type="dxa" w:w="46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구분</w:t>
            </w:r>
          </w:p>
        </w:tc>
        <w:tc>
          <w:tcPr>
            <w:tcW w:type="dxa" w:w="944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경로</w:t>
            </w:r>
          </w:p>
        </w:tc>
      </w:tr>
      <w:tr>
        <w:tc>
          <w:tcPr>
            <w:tcW w:type="dxa" w:w="4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로컬 작업 루트 (부모 저장소)</w:t>
            </w:r>
          </w:p>
        </w:tc>
        <w:tc>
          <w:tcPr>
            <w:tcW w:type="dxa" w:w="9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C:\dev\SAP</w:t>
            </w:r>
          </w:p>
        </w:tc>
      </w:tr>
      <w:tr>
        <w:tc>
          <w:tcPr>
            <w:tcW w:type="dxa" w:w="4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로컬 배포 소스 (Git 서브모듈)</w:t>
            </w:r>
          </w:p>
        </w:tc>
        <w:tc>
          <w:tcPr>
            <w:tcW w:type="dxa" w:w="9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C:\dev\SAP\dist</w:t>
            </w:r>
          </w:p>
        </w:tc>
      </w:tr>
      <w:tr>
        <w:tc>
          <w:tcPr>
            <w:tcW w:type="dxa" w:w="4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주 산출물 (단일 HTML 애플리케이션)</w:t>
            </w:r>
          </w:p>
        </w:tc>
        <w:tc>
          <w:tcPr>
            <w:tcW w:type="dxa" w:w="9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C:\dev\SAP\dist\erp-simulator.html</w:t>
            </w:r>
          </w:p>
        </w:tc>
      </w:tr>
      <w:tr>
        <w:tc>
          <w:tcPr>
            <w:tcW w:type="dxa" w:w="4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빌드 스크립트 (PIN 주입)</w:t>
            </w:r>
          </w:p>
        </w:tc>
        <w:tc>
          <w:tcPr>
            <w:tcW w:type="dxa" w:w="9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C:\dev\SAP\dist\build.js</w:t>
            </w:r>
          </w:p>
        </w:tc>
      </w:tr>
      <w:tr>
        <w:tc>
          <w:tcPr>
            <w:tcW w:type="dxa" w:w="4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프로젝트 지침 및 변경 이력</w:t>
            </w:r>
          </w:p>
        </w:tc>
        <w:tc>
          <w:tcPr>
            <w:tcW w:type="dxa" w:w="9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C:\dev\SAP\CLAUDE.md</w:t>
            </w:r>
          </w:p>
        </w:tc>
      </w:tr>
      <w:tr>
        <w:tc>
          <w:tcPr>
            <w:tcW w:type="dxa" w:w="4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본 보고서 (Markdown)</w:t>
            </w:r>
          </w:p>
        </w:tc>
        <w:tc>
          <w:tcPr>
            <w:tcW w:type="dxa" w:w="9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C:\dev\SAP\docs\reports\2026-07-22-session-report.md</w:t>
            </w:r>
          </w:p>
        </w:tc>
      </w:tr>
      <w:tr>
        <w:tc>
          <w:tcPr>
            <w:tcW w:type="dxa" w:w="4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본 보고서 (MS Word)</w:t>
            </w:r>
          </w:p>
        </w:tc>
        <w:tc>
          <w:tcPr>
            <w:tcW w:type="dxa" w:w="9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C:\dev\SAP\docs\reports\2026-07-22-session-report.docx</w:t>
            </w:r>
          </w:p>
        </w:tc>
      </w:tr>
      <w:tr>
        <w:tc>
          <w:tcPr>
            <w:tcW w:type="dxa" w:w="4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본 보고서 (MS Word 사본)</w:t>
            </w:r>
          </w:p>
        </w:tc>
        <w:tc>
          <w:tcPr>
            <w:tcW w:type="dxa" w:w="9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C:\dev\2026-07-22-session-report.docx</w:t>
            </w:r>
          </w:p>
        </w:tc>
      </w:tr>
      <w:tr>
        <w:tc>
          <w:tcPr>
            <w:tcW w:type="dxa" w:w="4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GitHub 저장소</w:t>
            </w:r>
          </w:p>
        </w:tc>
        <w:tc>
          <w:tcPr>
            <w:tcW w:type="dxa" w:w="9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https://github.com/vincenti85/SAPSIM</w:t>
            </w:r>
          </w:p>
        </w:tc>
      </w:tr>
      <w:tr>
        <w:tc>
          <w:tcPr>
            <w:tcW w:type="dxa" w:w="4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GitHub main 브랜치</w:t>
            </w:r>
          </w:p>
        </w:tc>
        <w:tc>
          <w:tcPr>
            <w:tcW w:type="dxa" w:w="9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배포용 산출물 (Vercel 자동 빌드 대상)</w:t>
            </w:r>
          </w:p>
        </w:tc>
      </w:tr>
      <w:tr>
        <w:tc>
          <w:tcPr>
            <w:tcW w:type="dxa" w:w="4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GitHub workspace 브랜치</w:t>
            </w:r>
          </w:p>
        </w:tc>
        <w:tc>
          <w:tcPr>
            <w:tcW w:type="dxa" w:w="9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부모 저장소 전체 트리 (지침·문서·스킬 포함)</w:t>
            </w:r>
          </w:p>
        </w:tc>
      </w:tr>
      <w:tr>
        <w:tc>
          <w:tcPr>
            <w:tcW w:type="dxa" w:w="4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운영 배포 주소</w:t>
            </w:r>
          </w:p>
        </w:tc>
        <w:tc>
          <w:tcPr>
            <w:tcW w:type="dxa" w:w="9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https://dist-eta-tan-10.vercel.app</w:t>
            </w:r>
          </w:p>
        </w:tc>
      </w:tr>
    </w:tbl>
    <w:p>
      <w:pPr>
        <w:spacing w:after="100" w:line="300"/>
      </w:pPr>
      <w:r>
        <w:rPr>
          <w:rFonts w:ascii="Malgun Gothic" w:cs="Malgun Gothic" w:eastAsia="Malgun Gothic" w:hAnsi="Malgun Gothic"/>
          <w:sz w:val="20"/>
          <w:szCs w:val="20"/>
        </w:rPr>
        <w:t xml:space="preserve"/>
      </w:r>
    </w:p>
    <w:p>
      <w:pPr>
        <w:spacing w:after="120" w:line="300"/>
      </w:pPr>
      <w:r>
        <w:rPr>
          <w:rFonts w:ascii="Malgun Gothic" w:cs="Malgun Gothic" w:eastAsia="Malgun Gothic" w:hAnsi="Malgun Gothic"/>
          <w:i/>
          <w:iCs/>
          <w:color w:val="64748B"/>
          <w:sz w:val="18"/>
          <w:szCs w:val="18"/>
        </w:rPr>
        <w:t xml:space="preserve">저장소 구조에 관한 주의사항. main과 workspace는 서로 다른 시점에 독립적으로 생성되어 공통 커밋 이력이 없습니다. 따라서 두 브랜치 사이에는 Pull Request를 생성할 수 없으며, 병합을 시도하면 배포 경로가 손상될 수 있습니다. 현재는 main을 배포 전용, workspace를 작업 트리 백업 전용으로 분리 운영하고 있습니다.</w:t>
      </w:r>
    </w:p>
    <w:p>
      <w:pPr>
        <w:pStyle w:val="Heading1"/>
        <w:spacing w:after="120" w:before="260"/>
      </w:pPr>
      <w:r>
        <w:rPr>
          <w:rFonts w:ascii="Malgun Gothic" w:cs="Malgun Gothic" w:eastAsia="Malgun Gothic" w:hAnsi="Malgun Gothic"/>
          <w:b/>
          <w:bCs/>
          <w:color w:val="1E3A5F"/>
          <w:sz w:val="26"/>
          <w:szCs w:val="26"/>
        </w:rPr>
        <w:t xml:space="preserve">2. 경영진 보고</w:t>
      </w:r>
    </w:p>
    <w:p>
      <w:pPr>
        <w:pStyle w:val="Heading2"/>
        <w:spacing w:after="120" w:before="260"/>
      </w:pPr>
      <w:r>
        <w:rPr>
          <w:rFonts w:ascii="Malgun Gothic" w:cs="Malgun Gothic" w:eastAsia="Malgun Gothic" w:hAnsi="Malgun Gothic"/>
          <w:b/>
          <w:bCs/>
          <w:color w:val="1E3A5F"/>
          <w:sz w:val="22"/>
          <w:szCs w:val="22"/>
        </w:rPr>
        <w:t xml:space="preserve">2.1 이번 세션의 성과 요약</w:t>
      </w:r>
    </w:p>
    <w:p>
      <w:pPr>
        <w:spacing w:after="120" w:line="300"/>
      </w:pPr>
      <w:r>
        <w:rPr>
          <w:rFonts w:ascii="Malgun Gothic" w:cs="Malgun Gothic" w:eastAsia="Malgun Gothic" w:hAnsi="Malgun Gothic"/>
          <w:sz w:val="20"/>
          <w:szCs w:val="20"/>
        </w:rPr>
        <w:t xml:space="preserve">본 세션을 통해 ERP 프로세스 학습 시뮬레이터는 단일 목적의 교육 데모에서, 교육과 회계감사 대응을 함께 지원하는 업무 자산으로 전환되었습니다. 총 16개 이슈를 처리했으며, 코드 변경은 12건의 커밋으로 반영되어 모두 운영 환경에 배포되었습니다.</w:t>
      </w:r>
    </w:p>
    <w:p>
      <w:pPr>
        <w:spacing w:after="120" w:line="300"/>
      </w:pPr>
      <w:r>
        <w:rPr>
          <w:rFonts w:ascii="Malgun Gothic" w:cs="Malgun Gothic" w:eastAsia="Malgun Gothic" w:hAnsi="Malgun Gothic"/>
          <w:sz w:val="20"/>
          <w:szCs w:val="20"/>
        </w:rPr>
        <w:t xml:space="preserve">성과는 세 갈래로 요약됩니다. 첫째, 초보자 진입장벽을 제거했습니다. 기존에는 접속 즉시 잠긴 메뉴와 PIN 입력란만 노출되어 이 도구가 무엇인지 설명하는 화면이 전혀 없었고, 화면마다 10개 내외의 버튼이 동시에 표시되어 순서를 알기 어려웠습니다. 이제는 학습 성과와 커리큘럼을 소개하는 랜딩 페이지가 먼저 나오고, 각 화면은 "지금 할 일" 하나만 크게 보여준 뒤 나머지는 잠금 처리하여 순차적으로 열립니다.</w:t>
      </w:r>
    </w:p>
    <w:p>
      <w:pPr>
        <w:spacing w:after="120" w:line="300"/>
      </w:pPr>
      <w:r>
        <w:rPr>
          <w:rFonts w:ascii="Malgun Gothic" w:cs="Malgun Gothic" w:eastAsia="Malgun Gothic" w:hAnsi="Malgun Gothic"/>
          <w:sz w:val="20"/>
          <w:szCs w:val="20"/>
        </w:rPr>
        <w:t xml:space="preserve">둘째, 30분 단일 스토리 발표 체계를 갖추었습니다. 9개 챕터에 정확히 30분을 배분하고, 챕터마다 전면 스토리 슬라이드가 팝업된 뒤 실제 화면 시연으로 이어지는 리듬을 구현했습니다. 발표자는 경과 타이머와 챕터별 발표 포인트를 보며 진행할 수 있어, 별도 슬라이드 자료 없이 이 도구 하나로 발표가 가능합니다.</w:t>
      </w:r>
    </w:p>
    <w:p>
      <w:pPr>
        <w:spacing w:after="120" w:line="300"/>
      </w:pPr>
      <w:r>
        <w:rPr>
          <w:rFonts w:ascii="Malgun Gothic" w:cs="Malgun Gothic" w:eastAsia="Malgun Gothic" w:hAnsi="Malgun Gothic"/>
          <w:sz w:val="20"/>
          <w:szCs w:val="20"/>
        </w:rPr>
        <w:t xml:space="preserve">셋째, 그리고 가장 중요하게는 회계감사 대응 자료로서의 신뢰성을 확보했습니다. 외부 벤치마킹에 앞서 수행한 코드 점검에서, 감사인에게 제시할 분개원장이 시뮬레이션 변수와 연결되어 있지 않아 화면과 다른 금액을 출력할 수 있는 결함을 발견했습니다. 이는 감사 자료로서는 치명적인 문제였으며, 랜딩 페이지 신설보다 우선하여 해결했습니다. 이후 전표번호 체계, 선행문서 추적, 통제점 명시, 통제 매트릭스, 감사 패키지 인쇄, 재현용 스냅샷까지 감사 문서화의 표준 구성요소를 단계적으로 반영했습니다.</w:t>
      </w:r>
    </w:p>
    <w:p>
      <w:pPr>
        <w:pStyle w:val="Heading2"/>
        <w:spacing w:after="120" w:before="260"/>
      </w:pPr>
      <w:r>
        <w:rPr>
          <w:rFonts w:ascii="Malgun Gothic" w:cs="Malgun Gothic" w:eastAsia="Malgun Gothic" w:hAnsi="Malgun Gothic"/>
          <w:b/>
          <w:bCs/>
          <w:color w:val="1E3A5F"/>
          <w:sz w:val="22"/>
          <w:szCs w:val="22"/>
        </w:rPr>
        <w:t xml:space="preserve">2.2 발견된 중대 결함과 조치</w:t>
      </w:r>
    </w:p>
    <w:p>
      <w:pPr>
        <w:spacing w:after="120" w:line="300"/>
      </w:pPr>
      <w:r>
        <w:rPr>
          <w:rFonts w:ascii="Malgun Gothic" w:cs="Malgun Gothic" w:eastAsia="Malgun Gothic" w:hAnsi="Malgun Gothic"/>
          <w:sz w:val="20"/>
          <w:szCs w:val="20"/>
        </w:rPr>
        <w:t xml:space="preserve">본 세션의 가장 큰 실질적 가치는 선제적 코드 점검을 통한 결함 발견에 있습니다. 사용자가 "감사 대응 자료로 쓰겠다"는 목적을 제시한 시점에, 외부 리서치와 병행하여 기존 코드를 점검한 결과 세 건의 결함을 확인했습니다.</w:t>
      </w:r>
    </w:p>
    <w:p>
      <w:pPr>
        <w:spacing w:after="120" w:line="300"/>
      </w:pPr>
      <w:r>
        <w:rPr>
          <w:rFonts w:ascii="Malgun Gothic" w:cs="Malgun Gothic" w:eastAsia="Malgun Gothic" w:hAnsi="Malgun Gothic"/>
          <w:sz w:val="20"/>
          <w:szCs w:val="20"/>
        </w:rPr>
        <w:t xml:space="preserve">가장 심각한 것은 분개원장 화면이 시뮬레이션 변수를 전달받지 못한 채 고정된 금액을 코드에 직접 기재하고 있었다는 점입니다. 사용자가 변수 입력 화면에서 발주 단가를 변경하면 각 업무 탭은 즉시 새 금액을 반영하지만, 정작 인쇄하여 감사인에게 전달할 분개원장은 최초의 숫자를 그대로 유지했습니다. 감사 자료가 화면과 모순되는 상태였던 것입니다. 이 밖에 직전 세션에 신설한 일반경비 전표가 원장에 누락되어 있었고, 인쇄 기능은 있으나 인쇄 전용 서식이 없어 내비게이션과 사이드바가 함께 출력되는 문제가 있었습니다.</w:t>
      </w:r>
    </w:p>
    <w:p>
      <w:pPr>
        <w:spacing w:after="120" w:line="300"/>
      </w:pPr>
      <w:r>
        <w:rPr>
          <w:rFonts w:ascii="Malgun Gothic" w:cs="Malgun Gothic" w:eastAsia="Malgun Gothic" w:hAnsi="Malgun Gothic"/>
          <w:sz w:val="20"/>
          <w:szCs w:val="20"/>
        </w:rPr>
        <w:t xml:space="preserve">세 건 모두 수정 후 실제 브라우저에서 검증했습니다. 검증 방법으로 발주 단가를 5.00달러에서 4.00달러로 변경했고, 분개원장의 미착 계정이 500달러에서 400달러로, 구매가격차이가 50달러에서 150달러로 즉시 연동되는 것을 확인했습니다.</w:t>
      </w:r>
    </w:p>
    <w:p>
      <w:pPr>
        <w:pStyle w:val="Heading2"/>
        <w:spacing w:after="120" w:before="260"/>
      </w:pPr>
      <w:r>
        <w:rPr>
          <w:rFonts w:ascii="Malgun Gothic" w:cs="Malgun Gothic" w:eastAsia="Malgun Gothic" w:hAnsi="Malgun Gothic"/>
          <w:b/>
          <w:bCs/>
          <w:color w:val="1E3A5F"/>
          <w:sz w:val="22"/>
          <w:szCs w:val="22"/>
        </w:rPr>
        <w:t xml:space="preserve">2.3 투자 대비 효과</w:t>
      </w:r>
    </w:p>
    <w:p>
      <w:pPr>
        <w:spacing w:after="120" w:line="300"/>
      </w:pPr>
      <w:r>
        <w:rPr>
          <w:rFonts w:ascii="Malgun Gothic" w:cs="Malgun Gothic" w:eastAsia="Malgun Gothic" w:hAnsi="Malgun Gothic"/>
          <w:sz w:val="20"/>
          <w:szCs w:val="20"/>
        </w:rPr>
        <w:t xml:space="preserve">본 세션의 산출물은 별도 라이선스 비용이나 서버 운영비 없이 기존 자산의 활용 범위를 확장했습니다. 산출물 전체가 단일 HTML 파일이며 정적 호스팅으로 운영되므로 추가 인프라 투자가 발생하지 않습니다.</w:t>
      </w:r>
    </w:p>
    <w:p>
      <w:pPr>
        <w:spacing w:after="120" w:line="300"/>
      </w:pPr>
      <w:r>
        <w:rPr>
          <w:rFonts w:ascii="Malgun Gothic" w:cs="Malgun Gothic" w:eastAsia="Malgun Gothic" w:hAnsi="Malgun Gothic"/>
          <w:sz w:val="20"/>
          <w:szCs w:val="20"/>
        </w:rPr>
        <w:t xml:space="preserve">교육 측면에서는 신입 및 현업 대상 ERP 프로세스 교육을 외부 과정 없이 사내에서 진행할 수 있습니다. 감사 측면에서는 내부감사 또는 외부감사 질의 시 "우리 원가 프로세스는 이렇게 흐른다"를 설명하는 표준 자료로 활용할 수 있으며, 특히 감사인이 가장 먼저 묻는 표준원가와 실제원가의 차이를 재고와 매출원가 중 어디로 배부했는가라는 질문에 화면 토글 하나로 두 정책의 손익 영향을 대비하여 제시할 수 있습니다.</w:t>
      </w:r>
    </w:p>
    <w:p>
      <w:pPr>
        <w:pStyle w:val="Heading2"/>
        <w:spacing w:after="120" w:before="260"/>
      </w:pPr>
      <w:r>
        <w:rPr>
          <w:rFonts w:ascii="Malgun Gothic" w:cs="Malgun Gothic" w:eastAsia="Malgun Gothic" w:hAnsi="Malgun Gothic"/>
          <w:b/>
          <w:bCs/>
          <w:color w:val="1E3A5F"/>
          <w:sz w:val="22"/>
          <w:szCs w:val="22"/>
        </w:rPr>
        <w:t xml:space="preserve">2.4 잔여 리스크 및 권고</w:t>
      </w:r>
    </w:p>
    <w:p>
      <w:pPr>
        <w:spacing w:after="120" w:line="300"/>
      </w:pPr>
      <w:r>
        <w:rPr>
          <w:rFonts w:ascii="Malgun Gothic" w:cs="Malgun Gothic" w:eastAsia="Malgun Gothic" w:hAnsi="Malgun Gothic"/>
          <w:sz w:val="20"/>
          <w:szCs w:val="20"/>
        </w:rPr>
        <w:t xml:space="preserve">현재 main과 workspace 두 브랜치가 공통 이력 없이 분리 운영되고 있습니다. 당장의 운영에는 지장이 없으나, 향후 저장소를 정리하실 계획이라면 두 구조를 어떻게 통합할지 별도 검토가 필요합니다.</w:t>
      </w:r>
    </w:p>
    <w:p>
      <w:pPr>
        <w:spacing w:after="120" w:line="300"/>
      </w:pPr>
      <w:r>
        <w:rPr>
          <w:rFonts w:ascii="Malgun Gothic" w:cs="Malgun Gothic" w:eastAsia="Malgun Gothic" w:hAnsi="Malgun Gothic"/>
          <w:sz w:val="20"/>
          <w:szCs w:val="20"/>
        </w:rPr>
        <w:t xml:space="preserve">또한 본 시뮬레이터는 가상 회사와 가상 거래로 구성된 교육용 도구입니다. 감사 대응에 활용할 때는 실제 회계기록이 아니라 프로세스와 통제 구조를 설명하기 위한 참고자료임을 명확히 해야 하며, 이를 위해 인쇄되는 모든 페이지에 해당 취지의 문구가 자동으로 삽입되도록 처리했습니다.</w:t>
      </w:r>
    </w:p>
    <w:p>
      <w:pPr>
        <w:pStyle w:val="Heading1"/>
        <w:spacing w:after="120" w:before="260"/>
      </w:pPr>
      <w:r>
        <w:rPr>
          <w:rFonts w:ascii="Malgun Gothic" w:cs="Malgun Gothic" w:eastAsia="Malgun Gothic" w:hAnsi="Malgun Gothic"/>
          <w:b/>
          <w:bCs/>
          <w:color w:val="1E3A5F"/>
          <w:sz w:val="26"/>
          <w:szCs w:val="26"/>
        </w:rPr>
        <w:t xml:space="preserve">3. 개발자 보고</w:t>
      </w:r>
    </w:p>
    <w:p>
      <w:pPr>
        <w:pStyle w:val="Heading2"/>
        <w:spacing w:after="120" w:before="260"/>
      </w:pPr>
      <w:r>
        <w:rPr>
          <w:rFonts w:ascii="Malgun Gothic" w:cs="Malgun Gothic" w:eastAsia="Malgun Gothic" w:hAnsi="Malgun Gothic"/>
          <w:b/>
          <w:bCs/>
          <w:color w:val="1E3A5F"/>
          <w:sz w:val="22"/>
          <w:szCs w:val="22"/>
        </w:rPr>
        <w:t xml:space="preserve">3.1 아키텍처 제약과 그 영향</w:t>
      </w:r>
    </w:p>
    <w:p>
      <w:pPr>
        <w:spacing w:after="120" w:line="300"/>
      </w:pPr>
      <w:r>
        <w:rPr>
          <w:rFonts w:ascii="Malgun Gothic" w:cs="Malgun Gothic" w:eastAsia="Malgun Gothic" w:hAnsi="Malgun Gothic"/>
          <w:sz w:val="20"/>
          <w:szCs w:val="20"/>
        </w:rPr>
        <w:t xml:space="preserve">본 산출물은 React 18과 Tailwind CSS를 CDN으로 로드하고 브라우저에서 Babel이 JSX를 변환하는 빌드리스 단일 HTML 파일입니다. 파일 크기는 약 386KB, 약 5,300줄 규모입니다. 이 구조는 배포가 단순하고 의존성 관리 부담이 없다는 장점이 있는 반면, 모듈 분리가 불가능하여 모든 컴포넌트가 하나의 스크립트 블록에 존재합니다. 따라서 이번 세션의 모든 변경은 동일 파일 내 국소 수정으로 이루어졌으며, 컴포넌트 간 결합도를 낮추기 위해 공용 상수와 파생 함수를 단일 진실 공급원으로 두는 방식을 일관되게 적용했습니다.</w:t>
      </w:r>
    </w:p>
    <w:p>
      <w:pPr>
        <w:spacing w:after="120" w:line="300"/>
      </w:pPr>
      <w:r>
        <w:rPr>
          <w:rFonts w:ascii="Malgun Gothic" w:cs="Malgun Gothic" w:eastAsia="Malgun Gothic" w:hAnsi="Malgun Gothic"/>
          <w:sz w:val="20"/>
          <w:szCs w:val="20"/>
        </w:rPr>
        <w:t xml:space="preserve">PIN 값은 소스에 __APP_PIN__ 플레이스홀더로 존재하며 Vercel 빌드 시 build.js가 환경변수로 치환합니다. 로컬 검증 시에는 임시로 값을 넣고 검증 후 반드시 플레이스홀더로 복원하는 절차를 매 작업마다 수행했습니다.</w:t>
      </w:r>
    </w:p>
    <w:p>
      <w:pPr>
        <w:pStyle w:val="Heading2"/>
        <w:spacing w:after="120" w:before="260"/>
      </w:pPr>
      <w:r>
        <w:rPr>
          <w:rFonts w:ascii="Malgun Gothic" w:cs="Malgun Gothic" w:eastAsia="Malgun Gothic" w:hAnsi="Malgun Gothic"/>
          <w:b/>
          <w:bCs/>
          <w:color w:val="1E3A5F"/>
          <w:sz w:val="22"/>
          <w:szCs w:val="22"/>
        </w:rPr>
        <w:t xml:space="preserve">3.2 핵심 리팩터링 — 분개원장의 파생화</w:t>
      </w:r>
    </w:p>
    <w:p>
      <w:pPr>
        <w:spacing w:after="120" w:line="300"/>
      </w:pPr>
      <w:r>
        <w:rPr>
          <w:rFonts w:ascii="Malgun Gothic" w:cs="Malgun Gothic" w:eastAsia="Malgun Gothic" w:hAnsi="Malgun Gothic"/>
          <w:sz w:val="20"/>
          <w:szCs w:val="20"/>
        </w:rPr>
        <w:t xml:space="preserve">이번 세션의 기술적 중심은 분개원장을 파생 데이터로 재작성한 것입니다.</w:t>
      </w:r>
    </w:p>
    <w:p>
      <w:pPr>
        <w:spacing w:after="120" w:line="300"/>
      </w:pPr>
      <w:r>
        <w:rPr>
          <w:rFonts w:ascii="Malgun Gothic" w:cs="Malgun Gothic" w:eastAsia="Malgun Gothic" w:hAnsi="Malgun Gothic"/>
          <w:sz w:val="20"/>
          <w:szCs w:val="20"/>
        </w:rPr>
        <w:t xml:space="preserve">변경 전 LedgerTab은 simParams를 프로퍼티로 받지 않은 채 금액을 직접 기재했습니다. 반면 각 업무 탭은 buildJournals(simParams, materials, lang)가 반환한 값을 사용했습니다. 동일한 사실에 대해 두 개의 계산 경로가 존재했고, 그중 하나가 입력 변화에 반응하지 않는 구조였습니다.</w:t>
      </w:r>
    </w:p>
    <w:p>
      <w:pPr>
        <w:spacing w:after="120" w:line="300"/>
      </w:pPr>
      <w:r>
        <w:rPr>
          <w:rFonts w:ascii="Malgun Gothic" w:cs="Malgun Gothic" w:eastAsia="Malgun Gothic" w:hAnsi="Malgun Gothic"/>
          <w:sz w:val="20"/>
          <w:szCs w:val="20"/>
        </w:rPr>
        <w:t xml:space="preserve">변경 후에는 LEDGER_DOCS라는 명시적 문서 매핑 배열을 도입하여, 실행된 단계 키를 대응하는 저널 키로 연결하고 buildJournals의 출력에서 차변·대변 라인을 추출하는 방식으로 통일했습니다. 부수 효과로 원장 설명 문구가 언어 토글을 따르게 되었습니다. 기존에는 설명이 한국어로 하드코딩되어 영문 모드에서도 한국어가 표시되고 있었습니다.</w:t>
      </w:r>
    </w:p>
    <w:p>
      <w:pPr>
        <w:spacing w:after="120" w:line="300"/>
      </w:pPr>
      <w:r>
        <w:rPr>
          <w:rFonts w:ascii="Malgun Gothic" w:cs="Malgun Gothic" w:eastAsia="Malgun Gothic" w:hAnsi="Malgun Gothic"/>
          <w:sz w:val="20"/>
          <w:szCs w:val="20"/>
        </w:rPr>
        <w:t xml:space="preserve">계정별 잔액 패널 역시 고정값 7행이었으나, 전기된 분개 라인을 계정 기준으로 집계하는 시산표로 교체했습니다. 계정 문자열에 부가 설명이 붙어 있어 괄호 이하를 제거하는 정규화 함수를 두어 동일 계정이 한 행으로 합산되도록 했습니다. 차변 합계와 대변 합계의 일치 여부를 배지로 표시하여 복식부기 정합성이 화면에서 즉시 확인됩니다.</w:t>
      </w:r>
    </w:p>
    <w:p>
      <w:pPr>
        <w:spacing w:after="120" w:line="300"/>
      </w:pPr>
      <w:r>
        <w:rPr>
          <w:rFonts w:ascii="Malgun Gothic" w:cs="Malgun Gothic" w:eastAsia="Malgun Gothic" w:hAnsi="Malgun Gothic"/>
          <w:sz w:val="20"/>
          <w:szCs w:val="20"/>
        </w:rPr>
        <w:t xml:space="preserve">이후 감사 패키지 기능을 추가하면서 이 계산을 buildLedger() 함수로 추출하여 화면 탭과 인쇄 패키지가 동일한 계산을 공유하도록 했습니다. 두 산출물이 서로 다른 숫자를 낼 가능성을 구조적으로 차단한 것입니다.</w:t>
      </w:r>
    </w:p>
    <w:p>
      <w:pPr>
        <w:pStyle w:val="Heading2"/>
        <w:spacing w:after="120" w:before="260"/>
      </w:pPr>
      <w:r>
        <w:rPr>
          <w:rFonts w:ascii="Malgun Gothic" w:cs="Malgun Gothic" w:eastAsia="Malgun Gothic" w:hAnsi="Malgun Gothic"/>
          <w:b/>
          <w:bCs/>
          <w:color w:val="1E3A5F"/>
          <w:sz w:val="22"/>
          <w:szCs w:val="22"/>
        </w:rPr>
        <w:t xml:space="preserve">3.3 점진적 노출(Progressive Disclosure) 구현</w:t>
      </w:r>
    </w:p>
    <w:p>
      <w:pPr>
        <w:spacing w:after="120" w:line="300"/>
      </w:pPr>
      <w:r>
        <w:rPr>
          <w:rFonts w:ascii="Malgun Gothic" w:cs="Malgun Gothic" w:eastAsia="Malgun Gothic" w:hAnsi="Malgun Gothic"/>
          <w:sz w:val="20"/>
          <w:szCs w:val="20"/>
        </w:rPr>
        <w:t xml:space="preserve">StepButton 컴포넌트를 세 가지 상태로 분기하도록 재작성했습니다. 완료된 단계는 체크 표시가 붙은 한 줄 요약으로 축약되고, 다음에 실행할 단계는 전체 폭 CTA 버튼으로 강조되며, 아직 열리지 않은 단계는 자물쇠 아이콘의 흐린 한 줄로 표시됩니다. 다음 실행 단계는 steps 객체의 선언 순서에서 첫 번째 미완료 키를 찾는 방식으로 판정하므로, 호출부를 전혀 수정하지 않고 모든 탭에 동시 적용되었습니다.</w:t>
      </w:r>
    </w:p>
    <w:p>
      <w:pPr>
        <w:spacing w:after="120" w:line="300"/>
      </w:pPr>
      <w:r>
        <w:rPr>
          <w:rFonts w:ascii="Malgun Gothic" w:cs="Malgun Gothic" w:eastAsia="Malgun Gothic" w:hAnsi="Malgun Gothic"/>
          <w:sz w:val="20"/>
          <w:szCs w:val="20"/>
        </w:rPr>
        <w:t xml:space="preserve">부가 시나리오(반품, 재고실사, 후속차변, 고객반품, 자재재평가)는 AdvancedSection 컴포넌트로 감싸 기본 접힘 처리했습니다. 그 결과 생산 탭 기준으로 기존에 10개 버튼이 동시 노출되던 화면이 CTA 1개와 잠금 9줄로 정리되었습니다.</w:t>
      </w:r>
    </w:p>
    <w:p>
      <w:pPr>
        <w:pStyle w:val="Heading2"/>
        <w:spacing w:after="120" w:before="260"/>
      </w:pPr>
      <w:r>
        <w:rPr>
          <w:rFonts w:ascii="Malgun Gothic" w:cs="Malgun Gothic" w:eastAsia="Malgun Gothic" w:hAnsi="Malgun Gothic"/>
          <w:b/>
          <w:bCs/>
          <w:color w:val="1E3A5F"/>
          <w:sz w:val="22"/>
          <w:szCs w:val="22"/>
        </w:rPr>
        <w:t xml:space="preserve">3.4 감사 기능의 데이터 설계</w:t>
      </w:r>
    </w:p>
    <w:p>
      <w:pPr>
        <w:spacing w:after="120" w:line="300"/>
      </w:pPr>
      <w:r>
        <w:rPr>
          <w:rFonts w:ascii="Malgun Gothic" w:cs="Malgun Gothic" w:eastAsia="Malgun Gothic" w:hAnsi="Malgun Gothic"/>
          <w:sz w:val="20"/>
          <w:szCs w:val="20"/>
        </w:rPr>
        <w:t xml:space="preserve">감사 관련 기능은 세 개의 모듈 수준 상수를 단일 공급원으로 설계했습니다.</w:t>
      </w:r>
    </w:p>
    <w:p>
      <w:pPr>
        <w:pStyle w:val="ListParagraph"/>
        <w:numPr>
          <w:ilvl w:val="0"/>
          <w:numId w:val="1"/>
        </w:numPr>
        <w:spacing w:after="60" w:line="300"/>
      </w:pPr>
      <w:r>
        <w:rPr>
          <w:rFonts w:ascii="Malgun Gothic" w:cs="Malgun Gothic" w:eastAsia="Malgun Gothic" w:hAnsi="Malgun Gothic"/>
          <w:sz w:val="20"/>
          <w:szCs w:val="20"/>
        </w:rPr>
        <w:t xml:space="preserve">LEDGER_DOCS — 문서 순번과 선행 문서 관계. 중립 접두사(PO, MD, AC, PR, SO, DL, IV, CC, CK, ML, PA)와 선행 단계 키를 부여하여 실행 시점에 순번을 매기고 선행 문서 번호를 해석합니다. SAP 실제 번호대역을 사용하지 않은 것은 기존 디브랜딩 정책과의 일관성 때문입니다.</w:t>
      </w:r>
    </w:p>
    <w:p>
      <w:pPr>
        <w:pStyle w:val="ListParagraph"/>
        <w:numPr>
          <w:ilvl w:val="0"/>
          <w:numId w:val="1"/>
        </w:numPr>
        <w:spacing w:after="60" w:line="300"/>
      </w:pPr>
      <w:r>
        <w:rPr>
          <w:rFonts w:ascii="Malgun Gothic" w:cs="Malgun Gothic" w:eastAsia="Malgun Gothic" w:hAnsi="Malgun Gothic"/>
          <w:sz w:val="20"/>
          <w:szCs w:val="20"/>
        </w:rPr>
        <w:t xml:space="preserve">CONTROLS — 10개 통제점을 리스크, 통제 기술, 예방·적발 구분, 빈도, 방법, 재무제표 주장 컬럼과 함께 정의. 이 배열 하나가 단계 버튼 배지, 통제 매트릭스 탭, 워크스루 시트, 인쇄 패키지 네 곳에 동시 공급됩니다.</w:t>
      </w:r>
    </w:p>
    <w:p>
      <w:pPr>
        <w:pStyle w:val="ListParagraph"/>
        <w:numPr>
          <w:ilvl w:val="0"/>
          <w:numId w:val="1"/>
        </w:numPr>
        <w:spacing w:after="60" w:line="300"/>
      </w:pPr>
      <w:r>
        <w:rPr>
          <w:rFonts w:ascii="Malgun Gothic" w:cs="Malgun Gothic" w:eastAsia="Malgun Gothic" w:hAnsi="Malgun Gothic"/>
          <w:sz w:val="20"/>
          <w:szCs w:val="20"/>
        </w:rPr>
        <w:t xml:space="preserve">GLOSSARY — 14개 약어 정의. 용어집 모달과 인쇄 패키지에 공급됩니다.</w:t>
      </w:r>
    </w:p>
    <w:p>
      <w:pPr>
        <w:spacing w:after="160" w:line="300"/>
      </w:pPr>
      <w:r>
        <w:rPr>
          <w:rFonts w:ascii="Malgun Gothic" w:cs="Malgun Gothic" w:eastAsia="Malgun Gothic" w:hAnsi="Malgun Gothic"/>
          <w:sz w:val="20"/>
          <w:szCs w:val="20"/>
        </w:rPr>
        <w:t xml:space="preserve">인쇄 패키지는 body.print-pack 클래스와 @media print 규칙을 조합하여, 인쇄 시에만 앱 본체를 숨기고 감사 문서를 노출하는 방식으로 구현했습니다. 화면 표시에는 전혀 영향을 주지 않으며 외부 PDF 라이브러리를 추가하지 않았습니다.</w:t>
      </w:r>
    </w:p>
    <w:p>
      <w:pPr>
        <w:pStyle w:val="Heading2"/>
        <w:spacing w:after="120" w:before="260"/>
      </w:pPr>
      <w:r>
        <w:rPr>
          <w:rFonts w:ascii="Malgun Gothic" w:cs="Malgun Gothic" w:eastAsia="Malgun Gothic" w:hAnsi="Malgun Gothic"/>
          <w:b/>
          <w:bCs/>
          <w:color w:val="1E3A5F"/>
          <w:sz w:val="22"/>
          <w:szCs w:val="22"/>
        </w:rPr>
        <w:t xml:space="preserve">3.5 검증 방법</w:t>
      </w:r>
    </w:p>
    <w:p>
      <w:pPr>
        <w:spacing w:after="120" w:line="300"/>
      </w:pPr>
      <w:r>
        <w:rPr>
          <w:rFonts w:ascii="Malgun Gothic" w:cs="Malgun Gothic" w:eastAsia="Malgun Gothic" w:hAnsi="Malgun Gothic"/>
          <w:sz w:val="20"/>
          <w:szCs w:val="20"/>
        </w:rPr>
        <w:t xml:space="preserve">모든 변경은 로컬 정적 서버에서 실제 브라우저를 구동하여 검증했습니다. 콘솔 오류 확인, DOM 상태 조회, 단계 실행 후 상태 전이 확인을 반복했으며, 특히 다음 항목은 결과를 수치로 확인했습니다.</w:t>
      </w:r>
    </w:p>
    <w:p>
      <w:pPr>
        <w:pStyle w:val="ListParagraph"/>
        <w:numPr>
          <w:ilvl w:val="0"/>
          <w:numId w:val="1"/>
        </w:numPr>
        <w:spacing w:after="60" w:line="300"/>
      </w:pPr>
      <w:r>
        <w:rPr>
          <w:rFonts w:ascii="Malgun Gothic" w:cs="Malgun Gothic" w:eastAsia="Malgun Gothic" w:hAnsi="Malgun Gothic"/>
          <w:sz w:val="20"/>
          <w:szCs w:val="20"/>
        </w:rPr>
        <w:t xml:space="preserve">발주 단가 변경 시 원장 연동: GR/IR 500달러 → 400달러, 구매가격차이 50달러 → 150달러</w:t>
      </w:r>
    </w:p>
    <w:p>
      <w:pPr>
        <w:pStyle w:val="ListParagraph"/>
        <w:numPr>
          <w:ilvl w:val="0"/>
          <w:numId w:val="1"/>
        </w:numPr>
        <w:spacing w:after="60" w:line="300"/>
      </w:pPr>
      <w:r>
        <w:rPr>
          <w:rFonts w:ascii="Malgun Gothic" w:cs="Malgun Gothic" w:eastAsia="Malgun Gothic" w:hAnsi="Malgun Gothic"/>
          <w:sz w:val="20"/>
          <w:szCs w:val="20"/>
        </w:rPr>
        <w:t xml:space="preserve">시산표 차변·대변 일치 배지 표시</w:t>
      </w:r>
    </w:p>
    <w:p>
      <w:pPr>
        <w:pStyle w:val="ListParagraph"/>
        <w:numPr>
          <w:ilvl w:val="0"/>
          <w:numId w:val="1"/>
        </w:numPr>
        <w:spacing w:after="60" w:line="300"/>
      </w:pPr>
      <w:r>
        <w:rPr>
          <w:rFonts w:ascii="Malgun Gothic" w:cs="Malgun Gothic" w:eastAsia="Malgun Gothic" w:hAnsi="Malgun Gothic"/>
          <w:sz w:val="20"/>
          <w:szCs w:val="20"/>
        </w:rPr>
        <w:t xml:space="preserve">문서 추적 체인: PO-0001 → MD-0001 → AC-0001 → AC-0002</w:t>
      </w:r>
    </w:p>
    <w:p>
      <w:pPr>
        <w:pStyle w:val="ListParagraph"/>
        <w:numPr>
          <w:ilvl w:val="0"/>
          <w:numId w:val="1"/>
        </w:numPr>
        <w:spacing w:after="60" w:line="300"/>
      </w:pPr>
      <w:r>
        <w:rPr>
          <w:rFonts w:ascii="Malgun Gothic" w:cs="Malgun Gothic" w:eastAsia="Malgun Gothic" w:hAnsi="Malgun Gothic"/>
          <w:sz w:val="20"/>
          <w:szCs w:val="20"/>
        </w:rPr>
        <w:t xml:space="preserve">스냅샷 왕복: 단계 추가와 단가 변경(3.75달러)이 복원 후 정확히 재현</w:t>
      </w:r>
    </w:p>
    <w:p>
      <w:pPr>
        <w:pStyle w:val="ListParagraph"/>
        <w:numPr>
          <w:ilvl w:val="0"/>
          <w:numId w:val="1"/>
        </w:numPr>
        <w:spacing w:after="60" w:line="300"/>
      </w:pPr>
      <w:r>
        <w:rPr>
          <w:rFonts w:ascii="Malgun Gothic" w:cs="Malgun Gothic" w:eastAsia="Malgun Gothic" w:hAnsi="Malgun Gothic"/>
          <w:sz w:val="20"/>
          <w:szCs w:val="20"/>
        </w:rPr>
        <w:t xml:space="preserve">발표 모드 9개 챕터 순회 및 마지막 챕터에서 다음 버튼 비활성화</w:t>
      </w:r>
    </w:p>
    <w:p>
      <w:pPr>
        <w:spacing w:after="160" w:line="300"/>
      </w:pPr>
      <w:r>
        <w:rPr>
          <w:rFonts w:ascii="Malgun Gothic" w:cs="Malgun Gothic" w:eastAsia="Malgun Gothic" w:hAnsi="Malgun Gothic"/>
          <w:sz w:val="20"/>
          <w:szCs w:val="20"/>
        </w:rPr>
        <w:t xml:space="preserve">검증 과정에서 브라우저 프리뷰 도구가 수차례 응답 지연을 일으켰으나, 정적 서버는 정상 응답(HTTP 200, 386KB)했고 도구 재시작 후 동일 코드가 정상 동작함을 확인하여 애플리케이션 결함이 아닌 자동화 도구 측 문제로 판정했습니다.</w:t>
      </w:r>
    </w:p>
    <w:p>
      <w:pPr>
        <w:pStyle w:val="Heading1"/>
        <w:spacing w:after="120" w:before="260"/>
      </w:pPr>
      <w:r>
        <w:rPr>
          <w:rFonts w:ascii="Malgun Gothic" w:cs="Malgun Gothic" w:eastAsia="Malgun Gothic" w:hAnsi="Malgun Gothic"/>
          <w:b/>
          <w:bCs/>
          <w:color w:val="1E3A5F"/>
          <w:sz w:val="26"/>
          <w:szCs w:val="26"/>
        </w:rPr>
        <w:t xml:space="preserve">4. 개발 항목 전체 목록</w:t>
      </w:r>
    </w:p>
    <w:tbl>
      <w:tblPr>
        <w:tblW w:type="dxa" w:w="14040"/>
        <w:tblBorders>
          <w:top w:val="single" w:color="CBD5E1" w:sz="2"/>
          <w:left w:val="single" w:color="CBD5E1" w:sz="2"/>
          <w:bottom w:val="single" w:color="CBD5E1" w:sz="2"/>
          <w:right w:val="single" w:color="CBD5E1" w:sz="2"/>
          <w:insideH w:val="single" w:color="E2E8F0" w:sz="1"/>
          <w:insideV w:val="single" w:color="E2E8F0" w:sz="1"/>
        </w:tblBorders>
        <w:tblLayout w:type="fixed"/>
      </w:tblPr>
      <w:tblGrid>
        <w:gridCol w:w="420"/>
        <w:gridCol w:w="1700"/>
        <w:gridCol w:w="2160"/>
        <w:gridCol w:w="2400"/>
        <w:gridCol w:w="1180"/>
        <w:gridCol w:w="2100"/>
        <w:gridCol w:w="2080"/>
        <w:gridCol w:w="2000"/>
      </w:tblGrid>
      <w:tr>
        <w:trPr>
          <w:tblHeader/>
        </w:trPr>
        <w:tc>
          <w:tcPr>
            <w:tcW w:type="dxa" w:w="42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w:t>
            </w:r>
          </w:p>
        </w:tc>
        <w:tc>
          <w:tcPr>
            <w:tcW w:type="dxa" w:w="17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항목</w:t>
            </w:r>
          </w:p>
        </w:tc>
        <w:tc>
          <w:tcPr>
            <w:tcW w:type="dxa" w:w="216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필요성</w:t>
            </w:r>
          </w:p>
        </w:tc>
        <w:tc>
          <w:tcPr>
            <w:tcW w:type="dxa" w:w="24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개발 경과</w:t>
            </w:r>
          </w:p>
        </w:tc>
        <w:tc>
          <w:tcPr>
            <w:tcW w:type="dxa" w:w="118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산출물</w:t>
            </w:r>
          </w:p>
        </w:tc>
        <w:tc>
          <w:tcPr>
            <w:tcW w:type="dxa" w:w="21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기대 효과</w:t>
            </w:r>
          </w:p>
        </w:tc>
        <w:tc>
          <w:tcPr>
            <w:tcW w:type="dxa" w:w="208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투자 활용 방안</w:t>
            </w:r>
          </w:p>
        </w:tc>
        <w:tc>
          <w:tcPr>
            <w:tcW w:type="dxa" w:w="20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사례·근거</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일반경비 메뉴 기획 및 UI 벤치마킹 리서치</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SG&amp;A성 간접비 처리 흐름이 부재하여 원가 전체 그림이 미완성. 메뉴 구성의 객관적 개선 기준 필요</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프로세스 설계와 UI 리서치를 병렬 수행. 원가센터 2종·원가요소 5종과 4단계 흐름 도출</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설계안 (F33~F36 단계 정의, 분개, 메뉴 배치)</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신규 메뉴의 SAP 정합성 확보, 개선 우선순위 근거 확보</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향후 모듈 추가 시 동일한 설계-검증 절차를 표준으로 재사용</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NetSuite 역할 대시보드, Odoo 앱 스위처, QuickBooks 사이드바</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2</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전역 진행 스테퍼 및 다음 할 일 배지</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전체 15개 탭 중 현재 위치와 잔여 작업을 알 수 없어 학습자가 순서를 잃음</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헤더에 5개 모듈 진행률 표시, StepButton이 첫 미완료 단계를 자동 판정</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8ef8a82</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학습자가 다음 행동을 즉시 인지, 이탈 감소</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사내 교육 진행률 점검 지표로 활용 가능</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Duolingo·Codecademy 단계별 학습 흐름</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3</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색맹 대응 이중 인코딩</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진행 상태를 색상만으로 구분하여 색각 이상 사용자가 판별 불가</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색상에 아이콘과 수치 비율을 병기 (완료·부분·미착수)</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8ef8a82</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접근성 확보, 교육 대상 범위 확대</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사내 접근성 기준 충족 자료로 활용</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PatternFly Progress Stepper 접근성 지침</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4</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역할 카드 지금 할 일 위젯</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현업 모드 홈에서 각 역할의 다음 작업을 확인하려면 탭을 열어야 함</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역할별 첫 미완료 단계를 홈 카드에 직접 표시</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5a6ff66</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홈 화면에서 전체 진행 상황 파악</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역할별 교육 배정 및 진도 관리에 활용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NetSuite 역할 기반 대시보드</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5</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학습 도구 앱 스위처 통합</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헤더에 개별 버튼 3개가 산재하여 폭을 점유하고 정보 위계가 불명확</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그리드 드롭다운으로 통합, 미사용 래퍼 컴포넌트 제거</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5a6ff66</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헤더 정리, 학습 보조 도구의 인지적 그룹화</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향후 도구 추가 시 확장 지점으로 사용</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Odoo 앱 스위처</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6</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일반경비 메뉴 신설 (F33~F36)</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제조원가만 다루고 판매관리비 흐름이 없어 손익 설명이 불완전</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원가센터 발생·조회·배분·손익반영 4단계 구현, T-code 매핑 4행 추가</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78ebec8</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원가 전 과정의 완결성 확보</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판관비 배부 정책 설명 자료로 감사 대응에 직접 활용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SAP CO 표준 Assessment 사이클</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7</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둘러보기 투어 40초 확장</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신규 기능이 늘었으나 투어는 7개 장면 15초로 고정되어 현행과 불일치</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10개 장면으로 확장, 듀얼뷰·일반경비·진행 스테퍼 장면 추가</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5d4a06c</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첫 방문자가 전체 구조를 정확히 파악</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영업·홍보용 짧은 소개 영상 대체</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Navattic 인터랙티브 데모 패턴</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8</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좌측 슬림 사이드바</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상단 2단 내비게이션이 헤더 폭을 과도하게 점유</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640px 이상에서 세로 아이콘 바로 전환, 모바일은 기존 유지</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c956f5d</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콘텐츠 영역 확대, 정보 위계 명확화</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향후 메뉴 증가 시 확장 여유 확보</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QuickBooks Online 좌측 사이드바</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9</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Notion 스타일 라이트 테마</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어두운 그라데이션 헤더와 높은 정보 밀도로 초보자에게 위압적</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화이트 헤더·웜뉴트럴 캔버스로 전환, 다크모드 호환 유지</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985e4c7</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학습 도구에 적합한 차분한 톤 확보</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사내 표준 디자인 톤으로 타 도구에 이식 가능</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Notion 문서형 미니멀 디자인</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10</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전면 단계형 노출</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화면당 버튼 10개가 동시 노출되어 순서 파악 불가</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완료 축약·단일 CTA·잠금 3분기 처리, 부가 시나리오 기본 접힘</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985e4c7</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생산 탭 기준 CTA 1개+잠금 9줄로 정리, 인지 부하 대폭 감소</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초보자 자율 학습 교재로 활용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Coursera 모듈 단계 개방 방식</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11</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30분 발표 모드 및 메뉴 재배열</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전체 내용을 하나의 스토리로 발표할 수단이 없음</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9챕터 30분 배분, 경과 타이머·발표 포인트·이전/다음, 메뉴를 스토리 순서로 재배열</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1ea4f83</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별도 슬라이드 없이 도구 하나로 발표 가능</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경영진 보고, 신입 오리엔테이션, 감사인 브리핑에 공통 활용</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ERPsim 팀 단위 운영 구조</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12</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챕터 스토리 슬라이드 팝업</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발표 시 각 챕터의 스토리가 청중에게 직관적으로 전달되지 않음</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챕터 진입 시 전면 슬라이드 팝업, 클릭 시 실제 화면 시연으로 전환</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ae976ff</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슬라이드 소개 후 시연이라는 발표 리듬 확립</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외부 세미나·교육 과정에 그대로 사용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프레젠테이션 도구의 챕터 인터스티셜</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13</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분개원장 결함 수정 (최우선)</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원장이 변수와 미연동되어 감사 자료가 화면과 불일치할 수 있는 중대 결함</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buildJournals 파생으로 재작성, 일반경비 전표 누락 보완, 시산표 도입, 인쇄 CSS 신설</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5c63db1</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 자료 신뢰성 확보, 복식부기 정합성 화면 검증</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 제출 자료의 기본 요건 충족</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Workiva 연결 데이터 모델</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14</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랜딩 페이지 신설</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첫 화면에 도구 설명이 전무하여 신규 사용자가 목적을 알 수 없음</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Hero·학습성과 5개·9챕터 커리큘럼·소요시간 배지·면책 구성, PIN 문구 재프레이밍</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26bd575</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신규 사용자 이해도 및 학습 시작률 향상</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사내 교육 포털 링크의 도착 페이지로 활용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Coursera 강의 소개, ERPsim 랜딩</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15</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 추적성 3종</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전표번호·선행문서·통제점이 없어 감사 추적이 불가</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중립 번호체계와 선행문서 체인, 통제 10건 배지, 용어집 14항목</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5e03881</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문서 추적성 확보, 통제 위치의 시각적 명시</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내부통제 문서화의 기초 자료로 활용</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AuditBoard 통제 ID 상호 링크, SOX RCM 표준</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16</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통제 매트릭스 및 감사 패키지</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감사인에게 전달할 통합 문서 형태가 없음</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RCM 탭 신설, 표지·내러티브·전표목록·시산표·RCM·용어집 단일 인쇄 문서</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d693814</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 질의 대응 자료를 즉시 출력 가능</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 시즌 표준 제출 패키지로 정례 활용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AuditBoard·TeamMate+ 감사 문서 구성</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17</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차이 배부 폭포도</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감사인의 핵심 질문인 차이 배부 정책이 시각화되지 않음</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실제 파라미터 기반 폭포도, 재고 안분 대 전액 COGS 토글과 결과 대비</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c645890</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 질의에 즉답 가능, 정책별 손익 영향 정량 제시</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원가정책 의사결정 시뮬레이션 도구로 확장</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Big4 원가회계 기술자료의 차이 배부 논점</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18</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워크스루 시트</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감사인이 가장 먼저 요구하는 표본 추적 문서가 없음</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실행 전표를 확인사항·증빙·통제와 함께 나열</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c645890</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설계 유효성 입증 자료 확보</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내부감사 자체 점검 체크리스트로 활용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AuditBoard 워크스루 문서</w:t>
            </w:r>
          </w:p>
        </w:tc>
      </w:tr>
      <w:tr>
        <w:tc>
          <w:tcPr>
            <w:tcW w:type="dxa" w:w="42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19</w:t>
            </w:r>
          </w:p>
        </w:tc>
        <w:tc>
          <w:tcPr>
            <w:tcW w:type="dxa" w:w="17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스냅샷 저장·불러오기</w:t>
            </w:r>
          </w:p>
        </w:tc>
        <w:tc>
          <w:tcPr>
            <w:tcW w:type="dxa" w:w="216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인쇄 자료의 숫자를 제3자가 재현할 수단이 없음</w:t>
            </w:r>
          </w:p>
        </w:tc>
        <w:tc>
          <w:tcPr>
            <w:tcW w:type="dxa" w:w="2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파라미터와 11개 단계 그룹을 JSON으로 왕복</w:t>
            </w:r>
          </w:p>
        </w:tc>
        <w:tc>
          <w:tcPr>
            <w:tcW w:type="dxa" w:w="11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c645890</w:t>
            </w:r>
          </w:p>
        </w:tc>
        <w:tc>
          <w:tcPr>
            <w:tcW w:type="dxa" w:w="21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재현성 확보로 자료 신뢰도 상승</w:t>
            </w:r>
          </w:p>
        </w:tc>
        <w:tc>
          <w:tcPr>
            <w:tcW w:type="dxa" w:w="208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감사인에게 자료와 함께 제공하여 검증 지원</w:t>
            </w:r>
          </w:p>
        </w:tc>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Workiva 재현 가능 데이터 연결</w:t>
            </w:r>
          </w:p>
        </w:tc>
      </w:tr>
      <w:tr>
        <w:tc>
          <w:tcPr>
            <w:tcW w:type="dxa" w:w="42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20</w:t>
            </w:r>
          </w:p>
        </w:tc>
        <w:tc>
          <w:tcPr>
            <w:tcW w:type="dxa" w:w="17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배포 및 이력 관리</w:t>
            </w:r>
          </w:p>
        </w:tc>
        <w:tc>
          <w:tcPr>
            <w:tcW w:type="dxa" w:w="216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변경 사항의 운영 반영과 추적 필요</w:t>
            </w:r>
          </w:p>
        </w:tc>
        <w:tc>
          <w:tcPr>
            <w:tcW w:type="dxa" w:w="2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dist 서브모듈 main 푸시, 부모 저장소 workspace 브랜치 분리 운영, CLAUDE.md 이력 기록</w:t>
            </w:r>
          </w:p>
        </w:tc>
        <w:tc>
          <w:tcPr>
            <w:tcW w:type="dxa" w:w="11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커밋 dedc062 외</w:t>
            </w:r>
          </w:p>
        </w:tc>
        <w:tc>
          <w:tcPr>
            <w:tcW w:type="dxa" w:w="21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배포 자동화 유지, 변경 이력 추적 가능</w:t>
            </w:r>
          </w:p>
        </w:tc>
        <w:tc>
          <w:tcPr>
            <w:tcW w:type="dxa" w:w="208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향후 세션의 기준선으로 활용</w:t>
            </w:r>
          </w:p>
        </w:tc>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표준 Git 서브모듈 운영</w:t>
            </w:r>
          </w:p>
        </w:tc>
      </w:tr>
    </w:tbl>
    <w:p>
      <w:pPr>
        <w:pStyle w:val="Heading1"/>
        <w:spacing w:after="120" w:before="260"/>
      </w:pPr>
      <w:r>
        <w:rPr>
          <w:rFonts w:ascii="Malgun Gothic" w:cs="Malgun Gothic" w:eastAsia="Malgun Gothic" w:hAnsi="Malgun Gothic"/>
          <w:b/>
          <w:bCs/>
          <w:color w:val="1E3A5F"/>
          <w:sz w:val="26"/>
          <w:szCs w:val="26"/>
        </w:rPr>
        <w:t xml:space="preserve">5. 커밋 이력</w:t>
      </w:r>
    </w:p>
    <w:p>
      <w:pPr>
        <w:pStyle w:val="Heading2"/>
        <w:spacing w:after="120" w:before="260"/>
      </w:pPr>
      <w:r>
        <w:rPr>
          <w:rFonts w:ascii="Malgun Gothic" w:cs="Malgun Gothic" w:eastAsia="Malgun Gothic" w:hAnsi="Malgun Gothic"/>
          <w:b/>
          <w:bCs/>
          <w:color w:val="1E3A5F"/>
          <w:sz w:val="22"/>
          <w:szCs w:val="22"/>
        </w:rPr>
        <w:t xml:space="preserve">5.1 배포 저장소 dist (GitHub main)</w:t>
      </w:r>
    </w:p>
    <w:tbl>
      <w:tblPr>
        <w:tblW w:type="dxa" w:w="14040"/>
        <w:tblBorders>
          <w:top w:val="single" w:color="CBD5E1" w:sz="2"/>
          <w:left w:val="single" w:color="CBD5E1" w:sz="2"/>
          <w:bottom w:val="single" w:color="CBD5E1" w:sz="2"/>
          <w:right w:val="single" w:color="CBD5E1" w:sz="2"/>
          <w:insideH w:val="single" w:color="E2E8F0" w:sz="1"/>
          <w:insideV w:val="single" w:color="E2E8F0" w:sz="1"/>
        </w:tblBorders>
        <w:tblLayout w:type="fixed"/>
      </w:tblPr>
      <w:tblGrid>
        <w:gridCol w:w="2000"/>
        <w:gridCol w:w="12040"/>
      </w:tblGrid>
      <w:tr>
        <w:trPr>
          <w:tblHeader/>
        </w:trPr>
        <w:tc>
          <w:tcPr>
            <w:tcW w:type="dxa" w:w="20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커밋</w:t>
            </w:r>
          </w:p>
        </w:tc>
        <w:tc>
          <w:tcPr>
            <w:tcW w:type="dxa" w:w="1204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내용</w:t>
            </w:r>
          </w:p>
        </w:tc>
      </w:tr>
      <w:tr>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8ef8a82</w:t>
            </w:r>
          </w:p>
        </w:tc>
        <w:tc>
          <w:tcPr>
            <w:tcW w:type="dxa" w:w="120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전역 진행 스테퍼 및 다음 할 일 배지</w:t>
            </w:r>
          </w:p>
        </w:tc>
      </w:tr>
      <w:tr>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5a6ff66</w:t>
            </w:r>
          </w:p>
        </w:tc>
        <w:tc>
          <w:tcPr>
            <w:tcW w:type="dxa" w:w="120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역할 카드 위젯 및 학습 도구 스위처</w:t>
            </w:r>
          </w:p>
        </w:tc>
      </w:tr>
      <w:tr>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78ebec8</w:t>
            </w:r>
          </w:p>
        </w:tc>
        <w:tc>
          <w:tcPr>
            <w:tcW w:type="dxa" w:w="120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일반경비 메뉴 신설</w:t>
            </w:r>
          </w:p>
        </w:tc>
      </w:tr>
      <w:tr>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5d4a06c</w:t>
            </w:r>
          </w:p>
        </w:tc>
        <w:tc>
          <w:tcPr>
            <w:tcW w:type="dxa" w:w="120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둘러보기 투어 40초 확장</w:t>
            </w:r>
          </w:p>
        </w:tc>
      </w:tr>
      <w:tr>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c956f5d</w:t>
            </w:r>
          </w:p>
        </w:tc>
        <w:tc>
          <w:tcPr>
            <w:tcW w:type="dxa" w:w="120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좌측 슬림 사이드바</w:t>
            </w:r>
          </w:p>
        </w:tc>
      </w:tr>
      <w:tr>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985e4c7</w:t>
            </w:r>
          </w:p>
        </w:tc>
        <w:tc>
          <w:tcPr>
            <w:tcW w:type="dxa" w:w="120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Notion 스타일 라이트 테마 및 단계형 노출</w:t>
            </w:r>
          </w:p>
        </w:tc>
      </w:tr>
      <w:tr>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1ea4f83</w:t>
            </w:r>
          </w:p>
        </w:tc>
        <w:tc>
          <w:tcPr>
            <w:tcW w:type="dxa" w:w="120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30분 발표 모드 및 메뉴 재배열</w:t>
            </w:r>
          </w:p>
        </w:tc>
      </w:tr>
      <w:tr>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ae976ff</w:t>
            </w:r>
          </w:p>
        </w:tc>
        <w:tc>
          <w:tcPr>
            <w:tcW w:type="dxa" w:w="120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챕터 스토리 슬라이드 팝업</w:t>
            </w:r>
          </w:p>
        </w:tc>
      </w:tr>
      <w:tr>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5c63db1</w:t>
            </w:r>
          </w:p>
        </w:tc>
        <w:tc>
          <w:tcPr>
            <w:tcW w:type="dxa" w:w="120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분개원장 결함 수정, 일반경비 전표 보완, 인쇄 CSS</w:t>
            </w:r>
          </w:p>
        </w:tc>
      </w:tr>
      <w:tr>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26bd575</w:t>
            </w:r>
          </w:p>
        </w:tc>
        <w:tc>
          <w:tcPr>
            <w:tcW w:type="dxa" w:w="120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랜딩 페이지 신설</w:t>
            </w:r>
          </w:p>
        </w:tc>
      </w:tr>
      <w:tr>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5e03881</w:t>
            </w:r>
          </w:p>
        </w:tc>
        <w:tc>
          <w:tcPr>
            <w:tcW w:type="dxa" w:w="120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전표번호·통제점·용어집</w:t>
            </w:r>
          </w:p>
        </w:tc>
      </w:tr>
      <w:tr>
        <w:tc>
          <w:tcPr>
            <w:tcW w:type="dxa" w:w="20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d693814</w:t>
            </w:r>
          </w:p>
        </w:tc>
        <w:tc>
          <w:tcPr>
            <w:tcW w:type="dxa" w:w="120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통제 매트릭스 탭 및 감사 패키지 인쇄</w:t>
            </w:r>
          </w:p>
        </w:tc>
      </w:tr>
      <w:tr>
        <w:tc>
          <w:tcPr>
            <w:tcW w:type="dxa" w:w="20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c645890</w:t>
            </w:r>
          </w:p>
        </w:tc>
        <w:tc>
          <w:tcPr>
            <w:tcW w:type="dxa" w:w="120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차이 배부 폭포도·워크스루·스냅샷</w:t>
            </w:r>
          </w:p>
        </w:tc>
      </w:tr>
    </w:tbl>
    <w:p>
      <w:pPr>
        <w:pStyle w:val="Heading2"/>
        <w:spacing w:after="120" w:before="260"/>
      </w:pPr>
      <w:r>
        <w:rPr>
          <w:rFonts w:ascii="Malgun Gothic" w:cs="Malgun Gothic" w:eastAsia="Malgun Gothic" w:hAnsi="Malgun Gothic"/>
          <w:b/>
          <w:bCs/>
          <w:color w:val="1E3A5F"/>
          <w:sz w:val="22"/>
          <w:szCs w:val="22"/>
        </w:rPr>
        <w:t xml:space="preserve">5.2 부모 저장소 (GitHub workspace)</w:t>
      </w:r>
    </w:p>
    <w:tbl>
      <w:tblPr>
        <w:tblW w:type="dxa" w:w="14040"/>
        <w:tblBorders>
          <w:top w:val="single" w:color="CBD5E1" w:sz="2"/>
          <w:left w:val="single" w:color="CBD5E1" w:sz="2"/>
          <w:bottom w:val="single" w:color="CBD5E1" w:sz="2"/>
          <w:right w:val="single" w:color="CBD5E1" w:sz="2"/>
          <w:insideH w:val="single" w:color="E2E8F0" w:sz="1"/>
          <w:insideV w:val="single" w:color="E2E8F0" w:sz="1"/>
        </w:tblBorders>
        <w:tblLayout w:type="fixed"/>
      </w:tblPr>
      <w:tblGrid>
        <w:gridCol w:w="2600"/>
        <w:gridCol w:w="11440"/>
      </w:tblGrid>
      <w:tr>
        <w:trPr>
          <w:tblHeader/>
        </w:trPr>
        <w:tc>
          <w:tcPr>
            <w:tcW w:type="dxa" w:w="26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커밋</w:t>
            </w:r>
          </w:p>
        </w:tc>
        <w:tc>
          <w:tcPr>
            <w:tcW w:type="dxa" w:w="1144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내용</w:t>
            </w:r>
          </w:p>
        </w:tc>
      </w:tr>
      <w:tr>
        <w:tc>
          <w:tcPr>
            <w:tcW w:type="dxa" w:w="2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0b1f02c</w:t>
            </w:r>
          </w:p>
        </w:tc>
        <w:tc>
          <w:tcPr>
            <w:tcW w:type="dxa" w:w="11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서브모듈 포인터 갱신 (사이드바)</w:t>
            </w:r>
          </w:p>
        </w:tc>
      </w:tr>
      <w:tr>
        <w:tc>
          <w:tcPr>
            <w:tcW w:type="dxa" w:w="2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dc3f264</w:t>
            </w:r>
          </w:p>
        </w:tc>
        <w:tc>
          <w:tcPr>
            <w:tcW w:type="dxa" w:w="11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원격 rebase 후 포인터 정정</w:t>
            </w:r>
          </w:p>
        </w:tc>
      </w:tr>
      <w:tr>
        <w:tc>
          <w:tcPr>
            <w:tcW w:type="dxa" w:w="2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549a339 · afa2126</w:t>
            </w:r>
          </w:p>
        </w:tc>
        <w:tc>
          <w:tcPr>
            <w:tcW w:type="dxa" w:w="11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Notion 스타일 반영 및 이력 기록</w:t>
            </w:r>
          </w:p>
        </w:tc>
      </w:tr>
      <w:tr>
        <w:tc>
          <w:tcPr>
            <w:tcW w:type="dxa" w:w="2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c57e9cb</w:t>
            </w:r>
          </w:p>
        </w:tc>
        <w:tc>
          <w:tcPr>
            <w:tcW w:type="dxa" w:w="11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30분 발표 모드 반영 및 이력 기록</w:t>
            </w:r>
          </w:p>
        </w:tc>
      </w:tr>
      <w:tr>
        <w:tc>
          <w:tcPr>
            <w:tcW w:type="dxa" w:w="26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92015c9</w:t>
            </w:r>
          </w:p>
        </w:tc>
        <w:tc>
          <w:tcPr>
            <w:tcW w:type="dxa" w:w="11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스토리 슬라이드 반영 및 이력 기록</w:t>
            </w:r>
          </w:p>
        </w:tc>
      </w:tr>
      <w:tr>
        <w:tc>
          <w:tcPr>
            <w:tcW w:type="dxa" w:w="26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dedc062</w:t>
            </w:r>
          </w:p>
        </w:tc>
        <w:tc>
          <w:tcPr>
            <w:tcW w:type="dxa" w:w="11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교육·감사 대응 개선 반영 및 이력 기록</w:t>
            </w:r>
          </w:p>
        </w:tc>
      </w:tr>
    </w:tbl>
    <w:p>
      <w:pPr>
        <w:pStyle w:val="Heading1"/>
        <w:spacing w:after="120" w:before="260"/>
      </w:pPr>
      <w:r>
        <w:rPr>
          <w:rFonts w:ascii="Malgun Gothic" w:cs="Malgun Gothic" w:eastAsia="Malgun Gothic" w:hAnsi="Malgun Gothic"/>
          <w:b/>
          <w:bCs/>
          <w:color w:val="1E3A5F"/>
          <w:sz w:val="26"/>
          <w:szCs w:val="26"/>
        </w:rPr>
        <w:t xml:space="preserve">6. 향후 과제</w:t>
      </w:r>
    </w:p>
    <w:tbl>
      <w:tblPr>
        <w:tblW w:type="dxa" w:w="14040"/>
        <w:tblBorders>
          <w:top w:val="single" w:color="CBD5E1" w:sz="2"/>
          <w:left w:val="single" w:color="CBD5E1" w:sz="2"/>
          <w:bottom w:val="single" w:color="CBD5E1" w:sz="2"/>
          <w:right w:val="single" w:color="CBD5E1" w:sz="2"/>
          <w:insideH w:val="single" w:color="E2E8F0" w:sz="1"/>
          <w:insideV w:val="single" w:color="E2E8F0" w:sz="1"/>
        </w:tblBorders>
        <w:tblLayout w:type="fixed"/>
      </w:tblPr>
      <w:tblGrid>
        <w:gridCol w:w="1200"/>
        <w:gridCol w:w="4400"/>
        <w:gridCol w:w="8440"/>
      </w:tblGrid>
      <w:tr>
        <w:trPr>
          <w:tblHeader/>
        </w:trPr>
        <w:tc>
          <w:tcPr>
            <w:tcW w:type="dxa" w:w="12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우선순위</w:t>
            </w:r>
          </w:p>
        </w:tc>
        <w:tc>
          <w:tcPr>
            <w:tcW w:type="dxa" w:w="440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과제</w:t>
            </w:r>
          </w:p>
        </w:tc>
        <w:tc>
          <w:tcPr>
            <w:tcW w:type="dxa" w:w="8440"/>
            <w:shd w:fill="1E3A5F" w:color="auto" w:val="clear"/>
            <w:tcMar>
              <w:top w:type="dxa" w:w="60"/>
              <w:left w:type="dxa" w:w="80"/>
              <w:bottom w:type="dxa" w:w="60"/>
              <w:right w:type="dxa" w:w="80"/>
            </w:tcMar>
          </w:tcPr>
          <w:p>
            <w:pPr>
              <w:spacing w:after="0" w:line="260"/>
            </w:pPr>
            <w:r>
              <w:rPr>
                <w:rFonts w:ascii="Malgun Gothic" w:cs="Malgun Gothic" w:eastAsia="Malgun Gothic" w:hAnsi="Malgun Gothic"/>
                <w:b/>
                <w:bCs/>
                <w:color w:val="FFFFFF"/>
                <w:sz w:val="15"/>
                <w:szCs w:val="15"/>
              </w:rPr>
              <w:t xml:space="preserve">배경</w:t>
            </w:r>
          </w:p>
        </w:tc>
      </w:tr>
      <w:tr>
        <w:tc>
          <w:tcPr>
            <w:tcW w:type="dxa" w:w="12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중</w:t>
            </w:r>
          </w:p>
        </w:tc>
        <w:tc>
          <w:tcPr>
            <w:tcW w:type="dxa" w:w="4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저장소 구조 정리 방안 결정</w:t>
            </w:r>
          </w:p>
        </w:tc>
        <w:tc>
          <w:tcPr>
            <w:tcW w:type="dxa" w:w="8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main과 workspace가 공통 이력 없이 분리되어 Pull Request 생성 불가</w:t>
            </w:r>
          </w:p>
        </w:tc>
      </w:tr>
      <w:tr>
        <w:tc>
          <w:tcPr>
            <w:tcW w:type="dxa" w:w="12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중</w:t>
            </w:r>
          </w:p>
        </w:tc>
        <w:tc>
          <w:tcPr>
            <w:tcW w:type="dxa" w:w="4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반응형 전면 리팩터링</w:t>
            </w:r>
          </w:p>
        </w:tc>
        <w:tc>
          <w:tcPr>
            <w:tcW w:type="dxa" w:w="8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모바일·태블릿 레이아웃은 현재 최소 대응 수준</w:t>
            </w:r>
          </w:p>
        </w:tc>
      </w:tr>
      <w:tr>
        <w:tc>
          <w:tcPr>
            <w:tcW w:type="dxa" w:w="12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하</w:t>
            </w:r>
          </w:p>
        </w:tc>
        <w:tc>
          <w:tcPr>
            <w:tcW w:type="dxa" w:w="440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역할별 무관 메뉴 완전 숨김</w:t>
            </w:r>
          </w:p>
        </w:tc>
        <w:tc>
          <w:tcPr>
            <w:tcW w:type="dxa" w:w="8440"/>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현재는 안내 배너로만 구분</w:t>
            </w:r>
          </w:p>
        </w:tc>
      </w:tr>
      <w:tr>
        <w:tc>
          <w:tcPr>
            <w:tcW w:type="dxa" w:w="12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하</w:t>
            </w:r>
          </w:p>
        </w:tc>
        <w:tc>
          <w:tcPr>
            <w:tcW w:type="dxa" w:w="440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접근성 대비비 전수 검증</w:t>
            </w:r>
          </w:p>
        </w:tc>
        <w:tc>
          <w:tcPr>
            <w:tcW w:type="dxa" w:w="8440"/>
            <w:shd w:fill="F8FAFC" w:color="auto" w:val="clear"/>
            <w:tcMar>
              <w:top w:type="dxa" w:w="60"/>
              <w:left w:type="dxa" w:w="80"/>
              <w:bottom w:type="dxa" w:w="60"/>
              <w:right w:type="dxa" w:w="80"/>
            </w:tcMar>
          </w:tcPr>
          <w:p>
            <w:pPr>
              <w:spacing w:after="0" w:line="260"/>
            </w:pPr>
            <w:r>
              <w:rPr>
                <w:rFonts w:ascii="Malgun Gothic" w:cs="Malgun Gothic" w:eastAsia="Malgun Gothic" w:hAnsi="Malgun Gothic"/>
                <w:sz w:val="15"/>
                <w:szCs w:val="15"/>
              </w:rPr>
              <w:t xml:space="preserve">WCAG 기준 컬러 토큰 일괄 점검 미실시</w:t>
            </w:r>
          </w:p>
        </w:tc>
      </w:tr>
    </w:tbl>
    <w:p>
      <w:pPr>
        <w:spacing w:after="200" w:line="300"/>
      </w:pPr>
      <w:r>
        <w:rPr>
          <w:rFonts w:ascii="Malgun Gothic" w:cs="Malgun Gothic" w:eastAsia="Malgun Gothic" w:hAnsi="Malgun Gothic"/>
          <w:sz w:val="20"/>
          <w:szCs w:val="20"/>
        </w:rPr>
        <w:t xml:space="preserve"/>
      </w:r>
    </w:p>
    <w:p>
      <w:pPr>
        <w:pBdr>
          <w:top w:val="single" w:color="CBD5E1" w:sz="4" w:space="8"/>
        </w:pBdr>
        <w:spacing w:before="200"/>
      </w:pPr>
      <w:r>
        <w:rPr>
          <w:rFonts w:ascii="Malgun Gothic" w:cs="Malgun Gothic" w:eastAsia="Malgun Gothic" w:hAnsi="Malgun Gothic"/>
          <w:i/>
          <w:iCs/>
          <w:color w:val="64748B"/>
          <w:sz w:val="16"/>
          <w:szCs w:val="16"/>
        </w:rPr>
        <w:t xml:space="preserve">본 시뮬레이터는 가상 회사와 가상 거래로 구성된 독립 교육용 도구이며, 실제 회계기록이 아닙니다. SAP SE 및 Oracle과 제휴·후원·보증 관계가 없습니다.</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2026-07-22T19:30:54.361Z</dcterms:created>
  <dcterms:modified xsi:type="dcterms:W3CDTF">2026-07-22T19:30:54.363Z</dcterms:modified>
</cp:coreProperties>
</file>

<file path=docProps/custom.xml><?xml version="1.0" encoding="utf-8"?>
<Properties xmlns="http://schemas.openxmlformats.org/officeDocument/2006/custom-properties" xmlns:vt="http://schemas.openxmlformats.org/officeDocument/2006/docPropsVTypes"/>
</file>