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量化交易中的量价确认机制、努力与结果法则的数学转化，及异常数据过滤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在现代高频量化交易与算法执行的严苛语境下，传统的理查德·威科夫（Richard Wyckoff）理论与基于主观视觉的量价分析（Volume Price Analysis, VPA）已无法满足低延迟、高并发的系统决策需求。加密货币及外汇等全天候市场（24/7 Markets）所独有的时区潮汐效应、流动性碎片化以及高频做市商的算法博弈，要求架构师必须将经典的“盘感”转化为绝对严格的统计学与数学模型。量价确认机制的彻底算法化路径，旨在构建基于时间戳特征的特定时段相对成交量（ToD RVOL）与动态 Z-Score 自适应阈值体系。同时，通过引入 K 线几何学（Bar Geometry）与威廉姆斯变异离散量（WVAD）重构合成订单流，能够在缺乏逐笔订单流（Tick Order Flow）数据的受限基底下，实现对限价单簿（LOB）内部“吸收（Absorption）”与“派发（Distribution）”的逆向逼近。最终，本报告确立了基于智能货币概念（Smart Money Concepts, SMC）中结构破坏（BOS）与订单块（Order Block）微观确认的数学边界，并提出了异常数据过滤的量化规则，旨在为架构全天候高频量价交易系统提供系统性的理论与算法基石。</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算法化相对量能与动态阈值 (ToD RVOL &amp; Dynamic Thresholds)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导师讲解：资金博弈原理与时区潮汐效应的扭曲</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在传统的股票市场中，交易时间被严格限制在固定的时段（如纽约时间 09:30 至 16:00），市场流动性呈现出标准的“U型”分布特征。这一特征表现为开盘与收盘阶段成交量激增，而盘中（如午间的 Lunch Lull）则相对萎缩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。由于这种日内流动性的分布相对固定，传统技术分析倾向于使用简单的成交量移动平均线（例如 20 周期或 50 周期 SMA）来界定当前 K 线是否“放量”或“缩量”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。然而，在加密货币等 24/7 持续运转的全天候市场中，这种简单的均量线逻辑存在致命的统计学缺陷。</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全天候市场的流动性受全球三大主要交易时区（亚洲盘、欧洲盘、美洲盘）的交替控制，形成了极具规律的“时区潮汐效应”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。宏观流动性会在一天之内呈现出多次峰谷交替。例如，亚洲时段的平均峰值流动性往往仅为美洲时段开盘时的三分之一甚至更低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。如果量化系统在纽约时间上午 10:00 采用过去 20 个小时（包含处于流动性枯竭期的亚洲深夜时段）的简单移动平均线作为基准，那么纽约早盘的任何微小波动都会被系统错误地标记为“极端放量”；反之，在亚洲时段，即使出现了相对该时段而言极具统计显著性的局部资金异动，也会因为其绝对数值远远低于全天全局均线而被系统漏判。简单移动平均线（MA）从根本上假设了时间序列的同方差性（Homoscedasticity），而 24/7 市场的成交量呈现出强烈的异方差性与周期性偏度。</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为了解决这一问题，现代高频与量化资金流向架构必须抛弃全局均量线，转而采用特定时段相对成交量（Time-of-Day Relative Volume, ToD RVOL）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。ToD RVOL 的核心逻辑是横向历史对比：将今日特定时间戳（如 09:30）的 5 分钟 K 线成交量，仅与过去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3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天同一时刻（09:30）的 5 分钟 K 线成交量进行严格对比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。这种方法彻底剥离了时区带来的基线漂移，还原了真实的流动性异动。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更为深入地看，即使采用了 ToD RVOL，使用固定的倍数阈值（如 RVOL &gt; 2.0 即为放量）在多品种量化系统中仍然是不严谨的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。不同市值、不同波动率的标的，其成交量的离散程度差异巨大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。为实现阈值的动态自适应，系统必须引入基于标准差的统计学 Z-Score（Volume Z-Score）模型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。Z-Score 衡量了当前成交量偏离特定时段历史均值的标准差倍数，使得阈值不再是绝对的经验常数，而是基于概率密度分布的统计学极值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。这种标准化处理使得算法能够对全市场成千上万个标的进行无差别的异常检测，无论其绝对市值大小，从而精准捕捉做市商的建仓与试探行为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机器规则：参数与伪代码实现</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特定时间相对成交量 (ToD RVOL) 算法公式</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为消除 24/7 市场的日内周期性，需定义特定时间窗口的历史均值基准。假设当前时间戳所在的 K 线为 </w:t>
      </w:r>
      <w:r w:rsidDel="00000000" w:rsidR="00000000" w:rsidRPr="00000000">
        <w:rPr>
          <w:rFonts w:ascii="Google Sans" w:cs="Google Sans" w:eastAsia="Google Sans" w:hAnsi="Google Sans"/>
          <w:color w:val="1f1f1f"/>
        </w:rPr>
        <w:drawing>
          <wp:inline distB="19050" distT="19050" distL="19050" distR="19050">
            <wp:extent cx="66576" cy="246332"/>
            <wp:effectExtent b="0" l="0" r="0" t="0"/>
            <wp:docPr id="3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6576" cy="2463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，其时间特征为 </w:t>
      </w:r>
      <w:r w:rsidDel="00000000" w:rsidR="00000000" w:rsidRPr="00000000">
        <w:rPr>
          <w:rFonts w:ascii="Google Sans" w:cs="Google Sans" w:eastAsia="Google Sans" w:hAnsi="Google Sans"/>
          <w:color w:val="1f1f1f"/>
        </w:rPr>
        <w:drawing>
          <wp:inline distB="19050" distT="19050" distL="19050" distR="19050">
            <wp:extent cx="655043" cy="235307"/>
            <wp:effectExtent b="0" l="0" r="0" t="0"/>
            <wp:docPr id="32"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655043" cy="235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（例如 14:15），回溯周期为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3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天（量化行业标准通常取 20 至 30 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基础的算术平均值公式如下：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9194"/>
            <wp:effectExtent b="0" l="0" r="0" t="0"/>
            <wp:docPr id="34"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905500" cy="52919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然而，在加密货币市场中，为了防止某单一历史极端事件（如某日同一时刻的暴跌清算脉冲）大幅拉高均值并导致后续信号失效，量化系统中通常将算术平均值替换为稳健的截尾平均数（Trimmed Mean）或中位数（Median）：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38"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基于上述稳健基准，当前 K 线的 ToD RVOL 计算公式为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2499"/>
            <wp:effectExtent b="0" l="0" r="0" t="0"/>
            <wp:docPr id="37"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905500" cy="45249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动态自适应阈值：Volume Z-Score 数学模型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为了捕捉具有统计学显著意义的异常值，计算该特定时段成交量的总体标准差 </w:t>
      </w:r>
      <w:r w:rsidDel="00000000" w:rsidR="00000000" w:rsidRPr="00000000">
        <w:rPr>
          <w:rFonts w:ascii="Google Sans" w:cs="Google Sans" w:eastAsia="Google Sans" w:hAnsi="Google Sans"/>
          <w:color w:val="1f1f1f"/>
        </w:rPr>
        <w:drawing>
          <wp:inline distB="19050" distT="19050" distL="19050" distR="19050">
            <wp:extent cx="590847" cy="235068"/>
            <wp:effectExtent b="0" l="0" r="0" t="0"/>
            <wp:docPr id="4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90847" cy="235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是算法的核心步骤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6037"/>
            <wp:effectExtent b="0" l="0" r="0" t="0"/>
            <wp:docPr id="41"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05500" cy="55603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进而推导出当前 K 线的特定时段 Volume Z-Score 算法式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665"/>
            <wp:effectExtent b="0" l="0" r="0" t="0"/>
            <wp:docPr id="48"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905500" cy="44866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根据正态分布特征与高频交易的经验分布规律，算法系统对“显著放量”、“温和放量”和“极度缩量”设定了具体的动态数值边界。相关矩阵定义如表 1 所示。</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量能状态 (Volume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Z-Score 数值边界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ToD RVOL 辅助边界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资金博弈特征解读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常规波动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Z_Vol_t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温和放量 (Loading)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54931" cy="209919"/>
                  <wp:effectExtent b="0" l="0" r="0" t="0"/>
                  <wp:docPr id="44"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1354931" cy="20991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82811" cy="210289"/>
                  <wp:effectExtent b="0" l="0" r="0" t="0"/>
                  <wp:docPr id="46"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1382811" cy="21028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暗池或算法切片订单（Iceberg Orders）的建仓足迹，做市商正在隐蔽地摄取流动性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显著放量 (Climax)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33550" cy="209572"/>
                  <wp:effectExtent b="0" l="0" r="0" t="0"/>
                  <wp:docPr id="4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933550" cy="20957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61434" cy="210115"/>
                  <wp:effectExtent b="0" l="0" r="0" t="0"/>
                  <wp:docPr id="51"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961434" cy="2101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发生概率极低（约 0.13%）的统计学极值，通常对应做市商的流动性猎杀、洗盘或高潮反转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极度缩量 (Dry 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59161" cy="210556"/>
                  <wp:effectExtent b="0" l="0" r="0" t="0"/>
                  <wp:docPr id="53"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1059161" cy="2105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61434" cy="210115"/>
                  <wp:effectExtent b="0" l="0" r="0" t="0"/>
                  <wp:docPr id="55"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961434" cy="2101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浮动供应完全枯竭，主动卖盘或买盘消失，常出现在无供应（No Supply）的测试确认阶段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(表 1：特定时段相对量能的统计学动态界定矩阵)</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在实际的底层架构设计中，若 </w:t>
      </w:r>
      <w:r w:rsidDel="00000000" w:rsidR="00000000" w:rsidRPr="00000000">
        <w:rPr>
          <w:rFonts w:ascii="Google Sans" w:cs="Google Sans" w:eastAsia="Google Sans" w:hAnsi="Google Sans"/>
          <w:color w:val="1f1f1f"/>
        </w:rPr>
        <w:drawing>
          <wp:inline distB="19050" distT="19050" distL="19050" distR="19050">
            <wp:extent cx="590847" cy="235068"/>
            <wp:effectExtent b="0" l="0" r="0" t="0"/>
            <wp:docPr id="57"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90847" cy="235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 0（例如某些极度冷门标的在回溯窗口内完全无交易），则算法应直接返回无效状态或使用平滑因子处理，以避免除零崩溃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。上述自适应算法确立了量价确认的基础算力层。</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努力与结果法则的数学背离 (Quantifying Effort vs. Result)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导师讲解：做市商吸收与派发的原理剖析</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理查德·威科夫的量价核心精髓之一是“努力与结果法则”（The Law of Effort vs. Result）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。在微观限价单簿（Limit Order Book, LOB）的生态中，“努力”代表了市场中执行的成交量（Volume），即主动买单（Market Buy）或主动卖单（Market Sell）向市场倾泻的力度；而“结果”则代表了价格的实际位移（Price Spread，即 K 线的振幅）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正常的健康趋势中，努力与结果应当是守恒与和谐的：巨大的成交量理应扫平限价单簿上的阻碍，推动价格出现大幅度的单边位移。如果主动买盘汹涌，价格必须坚决地上涨；如果主动卖盘沉重，价格必须大幅度下跌。然而，当做市商（Composite Man）开始在关键的支撑位或阻力位进行“吸收（Absorption）”或“派发（Distribution）”时，LOB 的微观结构会发生颠覆性的剧变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例如，在一个长期的下跌趋势末端，散户因恐慌或止损被触发而疯狂抛售，形成了极高的主动卖出量（巨大的“努力”）。此时，如果具有信息与资金优势的做市商判断该资产被低估，他们会在当前的低位区域铺设海量的被动限价买单（Limit Buys）。散户的市价卖单撞击在做市商的限价买单墙上，如同泥牛入海，抛压被像海绵一样完全吸收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。这种博弈在宏观 K 线和成交量上的表象就是：成交量出现了极端的天量（系统检测到极高的 Z-Score），但该 K 线的实体振幅却异常狭小，或者留下了极长的下影线，价格未能有效向下推进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这种“放量滞跌”或“放量滞涨”现象，其本质是主动流动性（Taker）被被动流动性（Maker）彻底吞噬的数学背离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。量化系统的核心任务，就是剔除主观肉眼对“长影线”、“小实体”等模糊形容词的依赖，通过计算“成交量比率”与“振幅比率”的数学负相关性，将这种威科夫背离转化为客观的、可计算的二维坐标系统。</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同时，面临数据基底的严格限制——在仅能获取 OHLCV 数据而无法获得逐笔 Tick 订单流数据来识别内外盘主动买卖比例的情况下——必须运用 K 线几何学（Bar Geometry）与威廉姆斯变异离散量（WVAD）等公式推导，从开盘价、收盘价与极值（最高/最低价）之间的空间比例关系中，逆向“倒推”并合成出隐含的内部净买卖压力（Synthetic Net Flow）。通过这种倒推机制，算法可以在不依赖昂贵、庞大的 Tick 数据集的前提下，高效识别出隐藏的主力吸收陷阱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机器规则：数学背离矩阵与净流入倒推算法</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努力与结果背离的定量转化规则</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 K 线的“结果”定义为基于真实波动幅度（ATR）标准化的振幅比率（Spread Ratio）。令 </w:t>
      </w:r>
      <w:r w:rsidDel="00000000" w:rsidR="00000000" w:rsidRPr="00000000">
        <w:rPr>
          <w:rFonts w:ascii="Google Sans" w:cs="Google Sans" w:eastAsia="Google Sans" w:hAnsi="Google Sans"/>
          <w:color w:val="1f1f1f"/>
        </w:rPr>
        <w:drawing>
          <wp:inline distB="19050" distT="19050" distL="19050" distR="19050">
            <wp:extent cx="1986953" cy="234879"/>
            <wp:effectExtent b="0" l="0" r="0" t="0"/>
            <wp:docPr id="58"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986953" cy="234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。通过除以 </w:t>
      </w:r>
      <w:r w:rsidDel="00000000" w:rsidR="00000000" w:rsidRPr="00000000">
        <w:rPr>
          <w:rFonts w:ascii="Google Sans" w:cs="Google Sans" w:eastAsia="Google Sans" w:hAnsi="Google Sans"/>
          <w:color w:val="1f1f1f"/>
        </w:rPr>
        <w:drawing>
          <wp:inline distB="19050" distT="19050" distL="19050" distR="19050">
            <wp:extent cx="715367" cy="236326"/>
            <wp:effectExtent b="0" l="0" r="0" t="0"/>
            <wp:docPr id="59"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715367" cy="236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，算法排除了标的自身长期波动率差异的影响，使得比率具备跨品种比较的普适性。</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0995"/>
            <wp:effectExtent b="0" l="0" r="0" t="0"/>
            <wp:docPr id="60"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5905500" cy="44099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同时，将“努力”定义为前文求得的 </w:t>
      </w:r>
      <w:r w:rsidDel="00000000" w:rsidR="00000000" w:rsidRPr="00000000">
        <w:rPr>
          <w:rFonts w:ascii="Google Sans" w:cs="Google Sans" w:eastAsia="Google Sans" w:hAnsi="Google Sans"/>
          <w:color w:val="1f1f1f"/>
        </w:rPr>
        <w:drawing>
          <wp:inline distB="19050" distT="19050" distL="19050" distR="19050">
            <wp:extent cx="585093" cy="237895"/>
            <wp:effectExtent b="0" l="0" r="0" t="0"/>
            <wp:docPr id="2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85093" cy="237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。据此，系统构建二维坐标象限并严格锁定努力与结果背离的触发条件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。判定逻辑如表 2 所示。</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量价博弈象限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数学判定条件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底层微观特征与操作指示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和谐推进 (Harmony)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33550" cy="209572"/>
                  <wp:effectExtent b="0" l="0" r="0" t="0"/>
                  <wp:docPr id="22"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933550" cy="2095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且 </w:t>
            </w:r>
            <w:r w:rsidDel="00000000" w:rsidR="00000000" w:rsidRPr="00000000">
              <w:rPr>
                <w:rFonts w:ascii="Google Sans" w:cs="Google Sans" w:eastAsia="Google Sans" w:hAnsi="Google Sans"/>
                <w:color w:val="1f1f1f"/>
                <w:shd w:fill="auto" w:val="clear"/>
              </w:rPr>
              <w:drawing>
                <wp:inline distB="19050" distT="19050" distL="19050" distR="19050">
                  <wp:extent cx="1454448" cy="209593"/>
                  <wp:effectExtent b="0" l="0" r="0" t="0"/>
                  <wp:docPr id="2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454448" cy="2095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大成交量驱动大振幅，证明趋势阻力极小，限价单被顺利击穿，趋势将健康延续。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主力吸收陷阱 (Absorption)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33550" cy="209572"/>
                  <wp:effectExtent b="0" l="0" r="0" t="0"/>
                  <wp:docPr id="2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933550" cy="2095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且 </w:t>
            </w:r>
            <w:r w:rsidDel="00000000" w:rsidR="00000000" w:rsidRPr="00000000">
              <w:rPr>
                <w:rFonts w:ascii="Google Sans" w:cs="Google Sans" w:eastAsia="Google Sans" w:hAnsi="Google Sans"/>
                <w:color w:val="1f1f1f"/>
                <w:shd w:fill="auto" w:val="clear"/>
              </w:rPr>
              <w:drawing>
                <wp:inline distB="19050" distT="19050" distL="19050" distR="19050">
                  <wp:extent cx="1535116" cy="210203"/>
                  <wp:effectExtent b="0" l="0" r="0" t="0"/>
                  <wp:docPr id="25"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1535116" cy="21020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成交量偏离均值 2 个标准差以上，但价格位移不足历史均值的 75%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。巨大的动能撞击了“流动性墙”，努力未能转化为结果，触发强烈的结构反转警告。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流动性真空 (Liquidity Void)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33550" cy="209572"/>
                  <wp:effectExtent b="0" l="0" r="0" t="0"/>
                  <wp:docPr id="26"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933550" cy="2095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且 </w:t>
            </w:r>
            <w:r w:rsidDel="00000000" w:rsidR="00000000" w:rsidRPr="00000000">
              <w:rPr>
                <w:rFonts w:ascii="Google Sans" w:cs="Google Sans" w:eastAsia="Google Sans" w:hAnsi="Google Sans"/>
                <w:color w:val="1f1f1f"/>
                <w:shd w:fill="auto" w:val="clear"/>
              </w:rPr>
              <w:drawing>
                <wp:inline distB="19050" distT="19050" distL="19050" distR="19050">
                  <wp:extent cx="1454448" cy="209593"/>
                  <wp:effectExtent b="0" l="0" r="0" t="0"/>
                  <wp:docPr id="2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454448" cy="2095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极小的成交量造成了巨大的价格位移。市场单侧缺乏限价单阻力，常留下公允价值缺口（FVG），极易被后续回抽填补。</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(表 2：努力与结果法则的量化转化矩阵)</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OHLCV 倒推净买卖力量的合成算法</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为了在无 Tick 数据支撑下界定单根蜡烛图内部的主导力量，算法融合了 K 线几何学买入比例（Buy Fraction）与威廉姆斯变异离散量（WVAD）重构模型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步骤 A：价格行为内部买盘控制比例估算 (Buy Fraction)</w:t>
      </w:r>
      <w:r w:rsidDel="00000000" w:rsidR="00000000" w:rsidRPr="00000000">
        <w:rPr>
          <w:rFonts w:ascii="Google Sans" w:cs="Google Sans" w:eastAsia="Google Sans" w:hAnsi="Google Sans"/>
          <w:color w:val="1f1f1f"/>
          <w:rtl w:val="0"/>
        </w:rPr>
        <w:t xml:space="preserve"> 该算法基于一个核心推论：收盘价距离最低价的距离越远，表明多头在收盘前吸收抛压并反向推高价格的控制力越强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7160"/>
            <wp:effectExtent b="0" l="0" r="0" t="0"/>
            <wp:docPr id="28"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905500" cy="43716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若 </w:t>
      </w:r>
      <w:r w:rsidDel="00000000" w:rsidR="00000000" w:rsidRPr="00000000">
        <w:rPr>
          <w:rFonts w:ascii="Google Sans" w:cs="Google Sans" w:eastAsia="Google Sans" w:hAnsi="Google Sans"/>
          <w:color w:val="1f1f1f"/>
        </w:rPr>
        <w:drawing>
          <wp:inline distB="19050" distT="19050" distL="19050" distR="19050">
            <wp:extent cx="1726997" cy="235789"/>
            <wp:effectExtent b="0" l="0" r="0" t="0"/>
            <wp:docPr id="29"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1726997" cy="235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：视为强烈的买盘控制（对应长下影线形态）。</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若 </w:t>
      </w:r>
      <w:r w:rsidDel="00000000" w:rsidR="00000000" w:rsidRPr="00000000">
        <w:rPr>
          <w:rFonts w:ascii="Google Sans" w:cs="Google Sans" w:eastAsia="Google Sans" w:hAnsi="Google Sans"/>
          <w:color w:val="1f1f1f"/>
        </w:rPr>
        <w:drawing>
          <wp:inline distB="19050" distT="19050" distL="19050" distR="19050">
            <wp:extent cx="1726997" cy="235789"/>
            <wp:effectExtent b="0" l="0" r="0" t="0"/>
            <wp:docPr id="30"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1726997" cy="235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：视为强烈的卖盘派发（对应长上影线形态）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步骤 B：基于 WVAD 的合成订单流压差 (Synthetic Order Flow)</w:t>
      </w:r>
      <w:r w:rsidDel="00000000" w:rsidR="00000000" w:rsidRPr="00000000">
        <w:rPr>
          <w:rFonts w:ascii="Google Sans" w:cs="Google Sans" w:eastAsia="Google Sans" w:hAnsi="Google Sans"/>
          <w:color w:val="1f1f1f"/>
          <w:rtl w:val="0"/>
        </w:rPr>
        <w:t xml:space="preserve"> WVAD（Williams Variable Accumulation Distribution）算法利用开盘价与收盘价的差值（实体）占总极值振幅的比例，对当前成交量进行有向赋分，计算出该 K 线内的近似净买卖压差（Net Flow）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665"/>
            <wp:effectExtent b="0" l="0" r="0" t="0"/>
            <wp:docPr id="1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05500" cy="44866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[隐藏的主力吸收测谎算法逻辑]</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结合“努力-结果背离”与“合成订单流”，系统判定底部吸收（Bullish Absorption）的终极测谎条件必须同时严格满足以下三项布尔逻辑：</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高努力无结果</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933605" cy="234942"/>
            <wp:effectExtent b="0" l="0" r="0" t="0"/>
            <wp:docPr id="1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933605" cy="23494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表象空头诱导</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240041" cy="235290"/>
            <wp:effectExtent b="0" l="0" r="0" t="0"/>
            <wp:docPr id="13"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1240041" cy="235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（蜡烛图表面为阴线，诱导视觉散户追空）</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多头隐性拦截</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819180" cy="235348"/>
            <wp:effectExtent b="0" l="0" r="0" t="0"/>
            <wp:docPr id="14"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1819180" cy="235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（尽管收跌，但收盘价被强行推回实体中上部，说明暗中存在天量限价买单完成托底吸收）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当算法成功捕获上述交集特征时，系统将该区域强行标记为高置信度的“潜在看涨订单块（Potential Bullish Order Block）”，并锁定区域上下沿，准备进入下一阶段的微观结构确认。</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VPA 与 PA 结构的终极测谎仪 (Microstructure Confirmation)</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导师讲解：微观结构的量价确权机制</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近年来，基于智能货币概念（Smart Money Concepts, SMC）的价格行为（PA）分析极大地丰富了交易者的工具箱。SMC 强调寻找市场的订单块（Order Block, OB）、结构破坏（Break of Structure, BOS）、以及公允价值缺口（FVG）等微观结构节点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。然而，单纯依赖纯价格维度的 K 线形态去盲目交易订单块或追逐突破，往往会沦为做市商流动性猎杀（Liquidity Sweep / Stop Hunt）的牺牲品。</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在量化资金流向架构的严密体系中，确立了一个不可撼动的公理：没有任何 PA 结构是天然有效的，除非它在形成的瞬间得到了底层量能分布的绝对数学确认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。做市商在操控市场流动性时的真实意图，不可避免地会在限价单与市价单的碰撞中暴露，进而形成两种关键的 VPA 确权现象：</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第一种是突破时的“推演行为（Push Through）”。真实的结构破坏（BOS）意味着机构资金试图开启新一轮的单边趋势，这必然是一种主动发起的价格攻击。打破关键阻力位需要大量资金吃掉挂载于此的历史解套盘与做空限价单墙。因此，真实的 BOS 绝不可能是缩量的，它必须在数学上展现出“高量能”与“大振幅”的极度和谐匹配。如果价格仅仅是微弱越过前高，随后迅速回落，且伴随着缩量或放量滞涨，那仅仅是对前高止损盘的猎杀，属于假突破。</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第二种是回踩时的“停止行为（Stopping Volume）”与“供应枯竭（No Supply）”。当价格从高位回踩被标记的看涨订单块（OB）时，若该趋势健康且机构确实在该 OB 内留有防守头寸，他们绝不希望价格跌破其建仓成本区。在这个过程中，我们会观察到明显的两段式量价特征：首先，在回调的下行波段中，成交量必须呈现极度萎缩的统计特征（即 No Supply，说明市场上主动抛售的散户已经枯竭）；其次，当价格触及 OB 的上沿或腹地时，会瞬间涌现出精准的防御性成交量，将跌幅强制阻止，并形成强烈的拒绝形态（Stopping Volume）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。缺乏这两套严密量价确认机制的裸 PA 交易系统，其胜率往往无法越过统计学上的抛硬币概率。</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机器规则：回调与突破的伪代码过滤逻辑</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 PA 判定的纯客观性，以下提取了验证结构破坏（BOS）与订单块（OB）回踩的系统逻辑阈值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[突破真伪过滤]：BOS 的纯客观校验规则</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假设算法检测到一个向上的结构破坏，即价格尝试突破前序高点（Swing High）。系统将调用校验模块对突破 K 线（Breakout Bar）进行多重约束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真突破必须同时满足以下逻辑条件：</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位移确权 (Displacement Check)</w:t>
      </w:r>
      <w:r w:rsidDel="00000000" w:rsidR="00000000" w:rsidRPr="00000000">
        <w:rPr>
          <w:rFonts w:ascii="Google Sans" w:cs="Google Sans" w:eastAsia="Google Sans" w:hAnsi="Google Sans"/>
          <w:color w:val="1f1f1f"/>
          <w:rtl w:val="0"/>
        </w:rPr>
        <w:t xml:space="preserve">：突破 K 线的收盘价 </w:t>
      </w:r>
      <w:r w:rsidDel="00000000" w:rsidR="00000000" w:rsidRPr="00000000">
        <w:rPr>
          <w:rFonts w:ascii="Google Sans" w:cs="Google Sans" w:eastAsia="Google Sans" w:hAnsi="Google Sans"/>
          <w:color w:val="1f1f1f"/>
        </w:rPr>
        <w:drawing>
          <wp:inline distB="19050" distT="19050" distL="19050" distR="19050">
            <wp:extent cx="957853" cy="234706"/>
            <wp:effectExtent b="0" l="0" r="0" t="0"/>
            <wp:docPr id="1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957853" cy="234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必须严格大于前高。若仅有最高价 </w:t>
      </w:r>
      <w:r w:rsidDel="00000000" w:rsidR="00000000" w:rsidRPr="00000000">
        <w:rPr>
          <w:rFonts w:ascii="Google Sans" w:cs="Google Sans" w:eastAsia="Google Sans" w:hAnsi="Google Sans"/>
          <w:color w:val="1f1f1f"/>
        </w:rPr>
        <w:drawing>
          <wp:inline distB="19050" distT="19050" distL="19050" distR="19050">
            <wp:extent cx="432792" cy="239005"/>
            <wp:effectExtent b="0" l="0" r="0" t="0"/>
            <wp:docPr id="1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432792" cy="239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刺穿而收盘价回落，判定为流动性猎杀（Liquidity Sweep），判定 BOS 失效。</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量能门槛 (Volume Threshold)</w:t>
      </w:r>
      <w:r w:rsidDel="00000000" w:rsidR="00000000" w:rsidRPr="00000000">
        <w:rPr>
          <w:rFonts w:ascii="Google Sans" w:cs="Google Sans" w:eastAsia="Google Sans" w:hAnsi="Google Sans"/>
          <w:color w:val="1f1f1f"/>
          <w:rtl w:val="0"/>
        </w:rPr>
        <w:t xml:space="preserve">：要求具备显著的动能支持。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8481"/>
            <wp:effectExtent b="0" l="0" r="0" t="0"/>
            <wp:docPr id="17"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05500" cy="33848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和谐推演 (Harmonic Push Through)</w:t>
      </w:r>
      <w:r w:rsidDel="00000000" w:rsidR="00000000" w:rsidRPr="00000000">
        <w:rPr>
          <w:rFonts w:ascii="Google Sans" w:cs="Google Sans" w:eastAsia="Google Sans" w:hAnsi="Google Sans"/>
          <w:color w:val="1f1f1f"/>
          <w:rtl w:val="0"/>
        </w:rPr>
        <w:t xml:space="preserve">：要求突破毫不拖泥带水，体现机构的一致性决断。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8481"/>
            <wp:effectExtent b="0" l="0" r="0" t="0"/>
            <wp:docPr id="1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05500" cy="33848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(说明：振幅超越平时 1.5 倍以上，且收盘价极度接近最高价，没有遭到上方的卖压拦截)</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若系统侦测到价格破位但 </w:t>
      </w:r>
      <w:r w:rsidDel="00000000" w:rsidR="00000000" w:rsidRPr="00000000">
        <w:rPr>
          <w:rFonts w:ascii="Google Sans" w:cs="Google Sans" w:eastAsia="Google Sans" w:hAnsi="Google Sans"/>
          <w:color w:val="1f1f1f"/>
        </w:rPr>
        <w:drawing>
          <wp:inline distB="19050" distT="19050" distL="19050" distR="19050">
            <wp:extent cx="1372886" cy="235170"/>
            <wp:effectExtent b="0" l="0" r="0" t="0"/>
            <wp:docPr id="19"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1372886" cy="235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，或者 </w:t>
      </w:r>
      <w:r w:rsidDel="00000000" w:rsidR="00000000" w:rsidRPr="00000000">
        <w:rPr>
          <w:rFonts w:ascii="Google Sans" w:cs="Google Sans" w:eastAsia="Google Sans" w:hAnsi="Google Sans"/>
          <w:color w:val="1f1f1f"/>
        </w:rPr>
        <w:drawing>
          <wp:inline distB="19050" distT="19050" distL="19050" distR="19050">
            <wp:extent cx="2176662" cy="234800"/>
            <wp:effectExtent b="0" l="0" r="0" t="0"/>
            <wp:docPr id="20"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2176662" cy="234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（留下了长上影线），算法不仅会标记为假突破（False Breakout / Upthrust），更会将其视作一个反向做空的做市商诱多陷阱信号进行储备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[回调确认规则]：订单块 (OB) 踩点的通过条件</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当价格进入预先标记的看涨订单块区间 $$ 时，触发校验系统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。算法要求必须通过“无供应测试”和“停止确认”双重锁。相关的确认规则如表 3 所示。</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验证阶段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目标区域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量化通过条件公式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底层涵义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第一级验证</w:t>
            </w:r>
            <w:r w:rsidDel="00000000" w:rsidR="00000000" w:rsidRPr="00000000">
              <w:rPr>
                <w:rFonts w:ascii="Google Sans" w:cs="Google Sans" w:eastAsia="Google Sans" w:hAnsi="Google Sans"/>
                <w:color w:val="1f1f1f"/>
                <w:shd w:fill="auto" w:val="clear"/>
                <w:rtl w:val="0"/>
              </w:rPr>
              <w:t xml:space="preserve">：缩量回踩 (Dry 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触及 OB 前的回调波段 (Last 3 Bars)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存在至少 1 根 K 线满足：</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13517" cy="210353"/>
                  <wp:effectExtent b="0" l="0" r="0" t="0"/>
                  <wp:docPr id="1"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1013517" cy="2103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或 </w:t>
            </w:r>
            <w:r w:rsidDel="00000000" w:rsidR="00000000" w:rsidRPr="00000000">
              <w:rPr>
                <w:rFonts w:ascii="Google Sans" w:cs="Google Sans" w:eastAsia="Google Sans" w:hAnsi="Google Sans"/>
                <w:color w:val="1f1f1f"/>
                <w:shd w:fill="auto" w:val="clear"/>
              </w:rPr>
              <w:drawing>
                <wp:inline distB="19050" distT="19050" distL="19050" distR="19050">
                  <wp:extent cx="912614" cy="209141"/>
                  <wp:effectExtent b="0" l="0" r="0" t="0"/>
                  <wp:docPr id="2"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912614" cy="20914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证明做空动能已在沿途衰竭，浮动供应筹码被清理干净，市场失去内生下跌动力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第二级验证</w:t>
            </w:r>
            <w:r w:rsidDel="00000000" w:rsidR="00000000" w:rsidRPr="00000000">
              <w:rPr>
                <w:rFonts w:ascii="Google Sans" w:cs="Google Sans" w:eastAsia="Google Sans" w:hAnsi="Google Sans"/>
                <w:color w:val="1f1f1f"/>
                <w:shd w:fill="auto" w:val="clear"/>
                <w:rtl w:val="0"/>
              </w:rPr>
              <w:t xml:space="preserve">：停止行为 (Stopping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首次接触 </w:t>
            </w:r>
            <w:r w:rsidDel="00000000" w:rsidR="00000000" w:rsidRPr="00000000">
              <w:rPr>
                <w:rFonts w:ascii="Google Sans" w:cs="Google Sans" w:eastAsia="Google Sans" w:hAnsi="Google Sans"/>
                <w:color w:val="1f1f1f"/>
                <w:shd w:fill="auto" w:val="clear"/>
              </w:rPr>
              <w:drawing>
                <wp:inline distB="19050" distT="19050" distL="19050" distR="19050">
                  <wp:extent cx="485180" cy="210670"/>
                  <wp:effectExtent b="0" l="0" r="0" t="0"/>
                  <wp:docPr id="3"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485180" cy="21067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及以内区域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接触 K 线必须同时满足：</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color w:val="1f1f1f"/>
                <w:shd w:fill="auto" w:val="clear"/>
              </w:rPr>
              <w:drawing>
                <wp:inline distB="19050" distT="19050" distL="19050" distR="19050">
                  <wp:extent cx="887909" cy="210799"/>
                  <wp:effectExtent b="0" l="0" r="0" t="0"/>
                  <wp:docPr id="4"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887909" cy="2107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(局部放量)</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color w:val="1f1f1f"/>
                <w:shd w:fill="auto" w:val="clear"/>
              </w:rPr>
              <w:drawing>
                <wp:inline distB="19050" distT="19050" distL="19050" distR="19050">
                  <wp:extent cx="1405633" cy="208945"/>
                  <wp:effectExtent b="0" l="0" r="0" t="0"/>
                  <wp:docPr id="5"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1405633" cy="2089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(实体受阻)</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t>
            </w:r>
            <w:r w:rsidDel="00000000" w:rsidR="00000000" w:rsidRPr="00000000">
              <w:rPr>
                <w:rFonts w:ascii="Google Sans" w:cs="Google Sans" w:eastAsia="Google Sans" w:hAnsi="Google Sans"/>
                <w:color w:val="1f1f1f"/>
                <w:shd w:fill="auto" w:val="clear"/>
              </w:rPr>
              <w:drawing>
                <wp:inline distB="19050" distT="19050" distL="19050" distR="19050">
                  <wp:extent cx="1543050" cy="209550"/>
                  <wp:effectExtent b="0" l="0" r="0" t="0"/>
                  <wp:docPr id="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54305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(下影线拒绝)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机构启动限价单墙防守成本区，精准吸收剩余抛压并强行制止价格下行，确认底部支撑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只有当“缩量回踩”与“OB 内的停止防守”在时间序列上串联成立时，底层引擎才会判定 PA 结构有效，并输出最终的交易执行指令。</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异常数据过滤与系统级风控 (Anomaly Filtration &amp; System Integration)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导师讲解：加密市场的暗面与欺诈量能清洗</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在将量价确认机制应用于加密货币等 24/7 全时段网络市场时，架构师面临的最大技术梦魇并非缺乏流动性，而是充满恶意的欺诈量能与高频噪音。特别是二三线交易所或低市值的山寨币交易对，其底层 OHLCV 数据常常遭到系统性的人为污染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这种数据层面的污染主要包括：高频机器人的“对敲刷量（Wash Trading）”、由于交易所 API 故障导致的瞬时错误数据脉冲（Bad Ticks）、以及游资或恶意庄家策划的“拉高出货（Pump &amp; Dump）”流动性陷阱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。在这些情境下，K 线的成交量数据（Effort）虽然表现出极其惊人的 Z-Score 峰值，但这并非来源于真实市场博弈中的有效资金流，而是中心化服务器中虚拟的数字游戏。</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如果高频量化系统毫无鉴别能力地对所有高 Z-Score 放量信号照单全收，极容易在“拉高出货”的末期成为高位接盘的牺牲品，或被对敲刷量的虚假流动性骗入毫无波动空间的死胡同。因此，在触发任何相对量能模块与微观 VPA 判定模块之前，必须在底层架构中串入一道强力的“终极净化层（Anomaly Filtration）”。通过复杂的统计算法与机器学习模型，剥离那些非自然的流动性突变，确保核心分析引擎输入数据的纯净度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机器规则：硬性防火墙与隔离森林清洗算法</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为应对不同类型的异常数据，异常过滤模块被划分为规则硬清洗与无监督模型清洗两大层级。</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虚假刷量 (Wash Trading) 与劣质数据识别</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针对无真实意图的对敲刷量，算法的核心抓手是检测局部 K 线的“干净度（Cleanliness）”以及单边绝对阻力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。对敲刷量的典型特征是：在保持巨额成交量的同时，价格在极其微小的极值范围内无限震荡，净位移绝对趋近于零。</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引入 K 线连续性位移法则：</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1673"/>
            <wp:effectExtent b="0" l="0" r="0" t="0"/>
            <wp:docPr id="7"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905500" cy="47167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清洗规则</w:t>
      </w:r>
      <w:r w:rsidDel="00000000" w:rsidR="00000000" w:rsidRPr="00000000">
        <w:rPr>
          <w:rFonts w:ascii="Google Sans" w:cs="Google Sans" w:eastAsia="Google Sans" w:hAnsi="Google Sans"/>
          <w:color w:val="1f1f1f"/>
          <w:rtl w:val="0"/>
        </w:rPr>
        <w:t xml:space="preserve">：若检测到 </w:t>
      </w:r>
      <w:r w:rsidDel="00000000" w:rsidR="00000000" w:rsidRPr="00000000">
        <w:rPr>
          <w:rFonts w:ascii="Google Sans" w:cs="Google Sans" w:eastAsia="Google Sans" w:hAnsi="Google Sans"/>
          <w:color w:val="1f1f1f"/>
        </w:rPr>
        <w:drawing>
          <wp:inline distB="19050" distT="19050" distL="19050" distR="19050">
            <wp:extent cx="1014508" cy="234605"/>
            <wp:effectExtent b="0" l="0" r="0" t="0"/>
            <wp:docPr id="8"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1014508" cy="234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（发生巨额放量），但在过去 </w:t>
      </w:r>
      <w:r w:rsidDel="00000000" w:rsidR="00000000" w:rsidRPr="00000000">
        <w:rPr>
          <w:rFonts w:ascii="Google Sans" w:cs="Google Sans" w:eastAsia="Google Sans" w:hAnsi="Google Sans"/>
          <w:color w:val="1f1f1f"/>
        </w:rPr>
        <w:drawing>
          <wp:inline distB="19050" distT="19050" distL="19050" distR="19050">
            <wp:extent cx="506313" cy="237134"/>
            <wp:effectExtent b="0" l="0" r="0" t="0"/>
            <wp:docPr id="9"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06313" cy="23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根 K 线内 </w:t>
      </w:r>
      <w:r w:rsidDel="00000000" w:rsidR="00000000" w:rsidRPr="00000000">
        <w:rPr>
          <w:rFonts w:ascii="Google Sans" w:cs="Google Sans" w:eastAsia="Google Sans" w:hAnsi="Google Sans"/>
          <w:color w:val="1f1f1f"/>
        </w:rPr>
        <w:drawing>
          <wp:inline distB="19050" distT="19050" distL="19050" distR="19050">
            <wp:extent cx="1448591" cy="216018"/>
            <wp:effectExtent b="0" l="0" r="0" t="0"/>
            <wp:docPr id="10"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1448591" cy="216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，且这段时间的累计真实波幅极低。算法将判定此区域遭遇机器对敲刷量（Wash Trading）。此时，该体积脉冲不计入真实的机构努力（Effort），系统在接下来的周期内屏蔽所有基于此标的的突破买入信号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拉高出货 (Pump &amp; Dump) 熔断防火墙</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对于低市值标的，恶意的拉高出货具有极高破坏性，其特征是毫无征兆的瞬时数据断层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。为此建立硬性熔断（Circuit Breaker）过滤规则：</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Pump 陷阱检测器（严禁高位追多）</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若单根 1 分钟 K 线同步满足以下联合条件：</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瞬时暴涨 (Price Return)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728788" cy="234305"/>
            <wp:effectExtent b="0" l="0" r="0" t="0"/>
            <wp:docPr id="36"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1728788" cy="23430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极端异常量 (Volume Anomaly)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197969" cy="234523"/>
            <wp:effectExtent b="0" l="0" r="0" t="0"/>
            <wp:docPr id="39"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1197969" cy="23452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单侧买盘失衡 (One-Sided Pressure)</w:t>
      </w:r>
      <w:r w:rsidDel="00000000" w:rsidR="00000000" w:rsidRPr="00000000">
        <w:rPr>
          <w:rFonts w:ascii="Google Sans" w:cs="Google Sans" w:eastAsia="Google Sans" w:hAnsi="Google Sans"/>
          <w:color w:val="1f1f1f"/>
          <w:rtl w:val="0"/>
        </w:rPr>
        <w:t xml:space="preserve">：基于合成的 </w:t>
      </w:r>
      <w:r w:rsidDel="00000000" w:rsidR="00000000" w:rsidRPr="00000000">
        <w:rPr>
          <w:rFonts w:ascii="Google Sans" w:cs="Google Sans" w:eastAsia="Google Sans" w:hAnsi="Google Sans"/>
          <w:color w:val="1f1f1f"/>
        </w:rPr>
        <w:drawing>
          <wp:inline distB="19050" distT="19050" distL="19050" distR="19050">
            <wp:extent cx="1481633" cy="234275"/>
            <wp:effectExtent b="0" l="0" r="0" t="0"/>
            <wp:docPr id="40"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1481633" cy="234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color w:val="1f1f1f"/>
        </w:rPr>
        <w:drawing>
          <wp:inline distB="19050" distT="19050" distL="19050" distR="19050">
            <wp:extent cx="1763411" cy="235546"/>
            <wp:effectExtent b="0" l="0" r="0" t="0"/>
            <wp:docPr id="42"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1763411" cy="235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当上述条件触发时，系统不将其视为健康的 BOS 突破，而是强制标记为 ALERT_PUMP_TRAP。系统将针对该资产执行 15 分钟的绝对冷却期（Cooldown Mechanism），冷却期内冻结任何顺势做多的指令，以规避接盘崩塌的风险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隔离森林 (Isolation Forest) 的无监督多维打分</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在复杂度更高的实盘风控体系中，量价架构常集成轻量级的隔离森林（Isolation Forest）算法进行多维度的无监督实时异常打分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架构将每根 K 线的特征聚合为高维向量，包含：1) 日内收益率 </w:t>
      </w:r>
      <w:r w:rsidDel="00000000" w:rsidR="00000000" w:rsidRPr="00000000">
        <w:rPr>
          <w:rFonts w:ascii="Google Sans" w:cs="Google Sans" w:eastAsia="Google Sans" w:hAnsi="Google Sans"/>
          <w:color w:val="1f1f1f"/>
        </w:rPr>
        <w:drawing>
          <wp:inline distB="19050" distT="19050" distL="19050" distR="19050">
            <wp:extent cx="139006" cy="233783"/>
            <wp:effectExtent b="0" l="0" r="0" t="0"/>
            <wp:docPr id="45"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139006" cy="2337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；2) 振幅比率 </w:t>
      </w:r>
      <w:r w:rsidDel="00000000" w:rsidR="00000000" w:rsidRPr="00000000">
        <w:rPr>
          <w:rFonts w:ascii="Google Sans" w:cs="Google Sans" w:eastAsia="Google Sans" w:hAnsi="Google Sans"/>
          <w:color w:val="1f1f1f"/>
        </w:rPr>
        <w:drawing>
          <wp:inline distB="19050" distT="19050" distL="19050" distR="19050">
            <wp:extent cx="1180509" cy="234833"/>
            <wp:effectExtent b="0" l="0" r="0" t="0"/>
            <wp:docPr id="47"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1180509" cy="234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；3) 体积异常度 </w:t>
      </w:r>
      <w:r w:rsidDel="00000000" w:rsidR="00000000" w:rsidRPr="00000000">
        <w:rPr>
          <w:rFonts w:ascii="Google Sans" w:cs="Google Sans" w:eastAsia="Google Sans" w:hAnsi="Google Sans"/>
          <w:color w:val="1f1f1f"/>
        </w:rPr>
        <w:drawing>
          <wp:inline distB="19050" distT="19050" distL="19050" distR="19050">
            <wp:extent cx="585093" cy="237895"/>
            <wp:effectExtent b="0" l="0" r="0" t="0"/>
            <wp:docPr id="5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85093" cy="237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；4) 合成净流入 </w:t>
      </w:r>
      <w:r w:rsidDel="00000000" w:rsidR="00000000" w:rsidRPr="00000000">
        <w:rPr>
          <w:rFonts w:ascii="Google Sans" w:cs="Google Sans" w:eastAsia="Google Sans" w:hAnsi="Google Sans"/>
          <w:color w:val="1f1f1f"/>
        </w:rPr>
        <w:drawing>
          <wp:inline distB="19050" distT="19050" distL="19050" distR="19050">
            <wp:extent cx="872529" cy="233939"/>
            <wp:effectExtent b="0" l="0" r="0" t="0"/>
            <wp:docPr id="52"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872529" cy="233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隔离森林算法通过构建多棵随机决策树，依据路径长度的原理来分离异常点。对于诸如“突发巨量但毫无价格反馈”或“价格瞬时闪崩但全无成交量”这类背离常理的孤立样本，由于其特征在空间中的稀疏性，它们会被极快地隔离（其在树中的平均路径长度异常短）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当模型为某根 K 线输出的 decision_function 异常分数跌破系统预设的安全下限时，系统立即将其标记为底层操纵数据（ANOM）。更重要的是，在计算后续历史时间窗口的动态均值（</w:t>
      </w:r>
      <w:r w:rsidDel="00000000" w:rsidR="00000000" w:rsidRPr="00000000">
        <w:rPr>
          <w:rFonts w:ascii="Google Sans" w:cs="Google Sans" w:eastAsia="Google Sans" w:hAnsi="Google Sans"/>
          <w:color w:val="1f1f1f"/>
        </w:rPr>
        <w:drawing>
          <wp:inline distB="19050" distT="19050" distL="19050" distR="19050">
            <wp:extent cx="386656" cy="234529"/>
            <wp:effectExtent b="0" l="0" r="0" t="0"/>
            <wp:docPr id="54"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386656" cy="234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）和标准差（</w:t>
      </w:r>
      <w:r w:rsidDel="00000000" w:rsidR="00000000" w:rsidRPr="00000000">
        <w:rPr>
          <w:rFonts w:ascii="Google Sans" w:cs="Google Sans" w:eastAsia="Google Sans" w:hAnsi="Google Sans"/>
          <w:color w:val="1f1f1f"/>
        </w:rPr>
        <w:drawing>
          <wp:inline distB="19050" distT="19050" distL="19050" distR="19050">
            <wp:extent cx="380801" cy="234827"/>
            <wp:effectExtent b="0" l="0" r="0" t="0"/>
            <wp:docPr id="56"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380801" cy="234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）时，系统会自动将这些被污染的 ANOM 样本剔除，从而确保未来自适应阈值计算的绝对稳健与安全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通过上述四个模块的递进式解析，本报告完成了从传统威科夫量价理论向全天候高频量化架构的深刻演进。通过时间戳标准化的 ToD RVOL 与动态 Z-Score、基于 K 线几何学倒推的合成订单流、微观结构 PA 确权，以及多维度的异常数据过滤机制，该架构成功剔除了主观人类的视觉错觉与情绪偏差，为现代资金流向分析提供了兼具深度洞察与冰冷执行力的机器级法则。</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Relative Volume RVOL? Complete Trading Guide 2026 - Stock Titan, 访问时间为 五月 7, 2026， </w:t>
      </w:r>
      <w:hyperlink r:id="rId61">
        <w:r w:rsidDel="00000000" w:rsidR="00000000" w:rsidRPr="00000000">
          <w:rPr>
            <w:rFonts w:ascii="Google Sans" w:cs="Google Sans" w:eastAsia="Google Sans" w:hAnsi="Google Sans"/>
            <w:color w:val="0000ee"/>
            <w:sz w:val="24"/>
            <w:szCs w:val="24"/>
            <w:u w:val="single"/>
            <w:rtl w:val="0"/>
          </w:rPr>
          <w:t xml:space="preserve">https://www.stocktitan.net/articles/relative-volume-rvol-trading-indicator</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Volume (RVOL) - ChartSchool - StockCharts.com, 访问时间为 五月 7, 2026， </w:t>
      </w:r>
      <w:hyperlink r:id="rId62">
        <w:r w:rsidDel="00000000" w:rsidR="00000000" w:rsidRPr="00000000">
          <w:rPr>
            <w:rFonts w:ascii="Google Sans" w:cs="Google Sans" w:eastAsia="Google Sans" w:hAnsi="Google Sans"/>
            <w:color w:val="0000ee"/>
            <w:sz w:val="24"/>
            <w:szCs w:val="24"/>
            <w:u w:val="single"/>
            <w:rtl w:val="0"/>
          </w:rPr>
          <w:t xml:space="preserve">https://chartschool.stockcharts.com/table-of-contents/technical-indicators-and-overlays/technical-indicators/relative-volume-rvol</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Price Risk—A Durations Perspective - MDPI, 访问时间为 五月 7, 2026， </w:t>
      </w:r>
      <w:hyperlink r:id="rId63">
        <w:r w:rsidDel="00000000" w:rsidR="00000000" w:rsidRPr="00000000">
          <w:rPr>
            <w:rFonts w:ascii="Google Sans" w:cs="Google Sans" w:eastAsia="Google Sans" w:hAnsi="Google Sans"/>
            <w:color w:val="0000ee"/>
            <w:sz w:val="24"/>
            <w:szCs w:val="24"/>
            <w:u w:val="single"/>
            <w:rtl w:val="0"/>
          </w:rPr>
          <w:t xml:space="preserve">https://www.mdpi.com/1911-8074/13/7/157</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determine relative volume for any particular day? : r/Daytrading - Reddit, 访问时间为 五月 7, 2026， </w:t>
      </w:r>
      <w:hyperlink r:id="rId64">
        <w:r w:rsidDel="00000000" w:rsidR="00000000" w:rsidRPr="00000000">
          <w:rPr>
            <w:rFonts w:ascii="Google Sans" w:cs="Google Sans" w:eastAsia="Google Sans" w:hAnsi="Google Sans"/>
            <w:color w:val="0000ee"/>
            <w:sz w:val="24"/>
            <w:szCs w:val="24"/>
            <w:u w:val="single"/>
            <w:rtl w:val="0"/>
          </w:rPr>
          <w:t xml:space="preserve">https://www.reddit.com/r/Daytrading/comments/pvubp1/how_do_you_determine_relative_volume_for_any/</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Volume at Time - TradingView, 访问时间为 五月 7, 2026， </w:t>
      </w:r>
      <w:hyperlink r:id="rId65">
        <w:r w:rsidDel="00000000" w:rsidR="00000000" w:rsidRPr="00000000">
          <w:rPr>
            <w:rFonts w:ascii="Google Sans" w:cs="Google Sans" w:eastAsia="Google Sans" w:hAnsi="Google Sans"/>
            <w:color w:val="0000ee"/>
            <w:sz w:val="24"/>
            <w:szCs w:val="24"/>
            <w:u w:val="single"/>
            <w:rtl w:val="0"/>
          </w:rPr>
          <w:t xml:space="preserve">https://www.tradingview.com/support/solutions/43000705489-relative-volume-at-time/</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Volume Definition: Day Trading Terminology - Warrior Trading, 访问时间为 五月 7, 2026， </w:t>
      </w:r>
      <w:hyperlink r:id="rId66">
        <w:r w:rsidDel="00000000" w:rsidR="00000000" w:rsidRPr="00000000">
          <w:rPr>
            <w:rFonts w:ascii="Google Sans" w:cs="Google Sans" w:eastAsia="Google Sans" w:hAnsi="Google Sans"/>
            <w:color w:val="0000ee"/>
            <w:sz w:val="24"/>
            <w:szCs w:val="24"/>
            <w:u w:val="single"/>
            <w:rtl w:val="0"/>
          </w:rPr>
          <w:t xml:space="preserve">https://www.warriortrading.com/relative-volume-day-trading-terminology/</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RVOL In Trading Explained: What Is Relative Volume? - Plus500, 访问时间为 五月 7, 2026， </w:t>
      </w:r>
      <w:hyperlink r:id="rId67">
        <w:r w:rsidDel="00000000" w:rsidR="00000000" w:rsidRPr="00000000">
          <w:rPr>
            <w:rFonts w:ascii="Google Sans" w:cs="Google Sans" w:eastAsia="Google Sans" w:hAnsi="Google Sans"/>
            <w:color w:val="0000ee"/>
            <w:sz w:val="24"/>
            <w:szCs w:val="24"/>
            <w:u w:val="single"/>
            <w:rtl w:val="0"/>
          </w:rPr>
          <w:t xml:space="preserve">https://us.plus500.com/academy/rvol-in-trading-explained-what-is-relative-volume~27</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rolling vol Z-score with absorption detection: three phases loading, confirmation, move ends (crypto) : r/pinescript - Reddit, 访问时间为 五月 7, 2026， </w:t>
      </w:r>
      <w:hyperlink r:id="rId68">
        <w:r w:rsidDel="00000000" w:rsidR="00000000" w:rsidRPr="00000000">
          <w:rPr>
            <w:rFonts w:ascii="Google Sans" w:cs="Google Sans" w:eastAsia="Google Sans" w:hAnsi="Google Sans"/>
            <w:color w:val="0000ee"/>
            <w:sz w:val="24"/>
            <w:szCs w:val="24"/>
            <w:u w:val="single"/>
            <w:rtl w:val="0"/>
          </w:rPr>
          <w:t xml:space="preserve">https://www.reddit.com/r/pinescript/comments/1s00don/built_a_rolling_vol_zscore_with_absorption/</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Real-Time Crypto Pump-and-Dump Detector with SQL | RisingWave, 访问时间为 五月 7, 2026， </w:t>
      </w:r>
      <w:hyperlink r:id="rId69">
        <w:r w:rsidDel="00000000" w:rsidR="00000000" w:rsidRPr="00000000">
          <w:rPr>
            <w:rFonts w:ascii="Google Sans" w:cs="Google Sans" w:eastAsia="Google Sans" w:hAnsi="Google Sans"/>
            <w:color w:val="0000ee"/>
            <w:sz w:val="24"/>
            <w:szCs w:val="24"/>
            <w:u w:val="single"/>
            <w:rtl w:val="0"/>
          </w:rPr>
          <w:t xml:space="preserve">https://risingwave.com/blog/build-real-time-crypto-pump-dump-detector-sql/</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Factor-based deep reinforcement learning for asset allocation: Comparative analysis of static and dynamic beta reward designs - PMC, 访问时间为 五月 7, 2026，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https://pmc.ncbi.nlm.nih.gov/articles/PMC12753089/</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AI Agents: Foundations, Frameworks, and Real-World Deployment - dokumen.pub, 访问时间为 五月 7, 2026， </w:t>
      </w:r>
      <w:hyperlink r:id="rId71">
        <w:r w:rsidDel="00000000" w:rsidR="00000000" w:rsidRPr="00000000">
          <w:rPr>
            <w:rFonts w:ascii="Google Sans" w:cs="Google Sans" w:eastAsia="Google Sans" w:hAnsi="Google Sans"/>
            <w:color w:val="0000ee"/>
            <w:sz w:val="24"/>
            <w:szCs w:val="24"/>
            <w:u w:val="single"/>
            <w:rtl w:val="0"/>
          </w:rPr>
          <w:t xml:space="preserve">https://dokumen.pub/securing-ai-agents-foundations-frameworks-and-real-world-deployment.html</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Investor Strategies Detailed Analysis | PDF | Market Trend - Scribd, 访问时间为 五月 7, 2026， </w:t>
      </w:r>
      <w:hyperlink r:id="rId72">
        <w:r w:rsidDel="00000000" w:rsidR="00000000" w:rsidRPr="00000000">
          <w:rPr>
            <w:rFonts w:ascii="Google Sans" w:cs="Google Sans" w:eastAsia="Google Sans" w:hAnsi="Google Sans"/>
            <w:color w:val="0000ee"/>
            <w:sz w:val="24"/>
            <w:szCs w:val="24"/>
            <w:u w:val="single"/>
            <w:rtl w:val="0"/>
          </w:rPr>
          <w:t xml:space="preserve">https://www.scribd.com/document/998178459/Technical-Investor-Strategies-Detailed-Analysis</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Wyckoff Trading Patterns | PDF | Market (Economics) | Economies - Scribd, 访问时间为 五月 7, 2026， </w:t>
      </w:r>
      <w:hyperlink r:id="rId73">
        <w:r w:rsidDel="00000000" w:rsidR="00000000" w:rsidRPr="00000000">
          <w:rPr>
            <w:rFonts w:ascii="Google Sans" w:cs="Google Sans" w:eastAsia="Google Sans" w:hAnsi="Google Sans"/>
            <w:color w:val="0000ee"/>
            <w:sz w:val="24"/>
            <w:szCs w:val="24"/>
            <w:u w:val="single"/>
            <w:rtl w:val="0"/>
          </w:rPr>
          <w:t xml:space="preserve">https://www.scribd.com/document/924916579/Wyckoff-Patterns-Explained-in-Detail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Activity Profiler Indicator - cTrader Store, 访问时间为 五月 7, 2026， </w:t>
      </w:r>
      <w:hyperlink r:id="rId74">
        <w:r w:rsidDel="00000000" w:rsidR="00000000" w:rsidRPr="00000000">
          <w:rPr>
            <w:rFonts w:ascii="Google Sans" w:cs="Google Sans" w:eastAsia="Google Sans" w:hAnsi="Google Sans"/>
            <w:color w:val="0000ee"/>
            <w:sz w:val="24"/>
            <w:szCs w:val="24"/>
            <w:u w:val="single"/>
            <w:rtl w:val="0"/>
          </w:rPr>
          <w:t xml:space="preserve">https://ctrader.com/products/2990</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 Ventura, 访问时间为 五月 7, 2026， </w:t>
      </w:r>
      <w:hyperlink r:id="rId75">
        <w:r w:rsidDel="00000000" w:rsidR="00000000" w:rsidRPr="00000000">
          <w:rPr>
            <w:rFonts w:ascii="Google Sans" w:cs="Google Sans" w:eastAsia="Google Sans" w:hAnsi="Google Sans"/>
            <w:color w:val="0000ee"/>
            <w:sz w:val="24"/>
            <w:szCs w:val="24"/>
            <w:u w:val="single"/>
            <w:rtl w:val="0"/>
          </w:rPr>
          <w:t xml:space="preserve">https://www.venturasecurities.com/share-market-glossary/glossary/</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Social Stock Pumping in the Russian Equity Market Using Machine Learning, 访问时间为 五月 7,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https://www.researchgate.net/publication/395760740_Detecting_Social_Stock_Pumping_in_the_Russian_Equity_Market_Using_Machine_Learning</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Order Flow Indicators To Spot Buying and Selling Pressure - Optimus Futures, 访问时间为 五月 7, 2026， </w:t>
      </w:r>
      <w:hyperlink r:id="rId77">
        <w:r w:rsidDel="00000000" w:rsidR="00000000" w:rsidRPr="00000000">
          <w:rPr>
            <w:rFonts w:ascii="Google Sans" w:cs="Google Sans" w:eastAsia="Google Sans" w:hAnsi="Google Sans"/>
            <w:color w:val="0000ee"/>
            <w:sz w:val="24"/>
            <w:szCs w:val="24"/>
            <w:u w:val="single"/>
            <w:rtl w:val="0"/>
          </w:rPr>
          <w:t xml:space="preserve">https://optimusfutures.com/blog/best-order-flow-indicators/</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Course Notes | PDF | Option (Finance) - Scribd, 访问时间为 五月 7, 2026， </w:t>
      </w:r>
      <w:hyperlink r:id="rId78">
        <w:r w:rsidDel="00000000" w:rsidR="00000000" w:rsidRPr="00000000">
          <w:rPr>
            <w:rFonts w:ascii="Google Sans" w:cs="Google Sans" w:eastAsia="Google Sans" w:hAnsi="Google Sans"/>
            <w:color w:val="0000ee"/>
            <w:sz w:val="24"/>
            <w:szCs w:val="24"/>
            <w:u w:val="single"/>
            <w:rtl w:val="0"/>
          </w:rPr>
          <w:t xml:space="preserve">https://www.scribd.com/document/1020463109/Stock-Market-Course-Notes</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Orderflows Pressure Indicator Presentation - YouTube, 访问时间为 五月 7, 2026， </w:t>
      </w:r>
      <w:hyperlink r:id="rId79">
        <w:r w:rsidDel="00000000" w:rsidR="00000000" w:rsidRPr="00000000">
          <w:rPr>
            <w:rFonts w:ascii="Google Sans" w:cs="Google Sans" w:eastAsia="Google Sans" w:hAnsi="Google Sans"/>
            <w:color w:val="0000ee"/>
            <w:sz w:val="24"/>
            <w:szCs w:val="24"/>
            <w:u w:val="single"/>
            <w:rtl w:val="0"/>
          </w:rPr>
          <w:t xml:space="preserve">https://www.youtube.com/watch?v=jJpBe0YZOJ4</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Williams Variable Accumulation Distribution Index - Infront Investment Manager, 访问时间为 五月 7, 2026， </w:t>
      </w:r>
      <w:hyperlink r:id="rId80">
        <w:r w:rsidDel="00000000" w:rsidR="00000000" w:rsidRPr="00000000">
          <w:rPr>
            <w:rFonts w:ascii="Google Sans" w:cs="Google Sans" w:eastAsia="Google Sans" w:hAnsi="Google Sans"/>
            <w:color w:val="0000ee"/>
            <w:sz w:val="24"/>
            <w:szCs w:val="24"/>
            <w:u w:val="single"/>
            <w:rtl w:val="0"/>
          </w:rPr>
          <w:t xml:space="preserve">https://infront-investment-manager.helpcenter.infront.co/en/im/latest/williams-variable-accumulation-distribution-index</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Spread Analysis Tutorial: Boost Trading - ChartsWatcher, 访问时间为 五月 7, 2026， </w:t>
      </w:r>
      <w:hyperlink r:id="rId81">
        <w:r w:rsidDel="00000000" w:rsidR="00000000" w:rsidRPr="00000000">
          <w:rPr>
            <w:rFonts w:ascii="Google Sans" w:cs="Google Sans" w:eastAsia="Google Sans" w:hAnsi="Google Sans"/>
            <w:color w:val="0000ee"/>
            <w:sz w:val="24"/>
            <w:szCs w:val="24"/>
            <w:u w:val="single"/>
            <w:rtl w:val="0"/>
          </w:rPr>
          <w:t xml:space="preserve">https://chartswatcher.com/pages/blog/volume-spread-analysis-tutorial-boost-trading</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of a Valid Order Block in Smart Money Concepts - ACY Securities, 访问时间为 五月 7, 2026， </w:t>
      </w:r>
      <w:hyperlink r:id="rId82">
        <w:r w:rsidDel="00000000" w:rsidR="00000000" w:rsidRPr="00000000">
          <w:rPr>
            <w:rFonts w:ascii="Google Sans" w:cs="Google Sans" w:eastAsia="Google Sans" w:hAnsi="Google Sans"/>
            <w:color w:val="0000ee"/>
            <w:sz w:val="24"/>
            <w:szCs w:val="24"/>
            <w:u w:val="single"/>
            <w:rtl w:val="0"/>
          </w:rPr>
          <w:t xml:space="preserve">https://acy.com/en/market-news/education/anatomy-of-a-valid-order-block-j-o-20251110-092434/</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 of Structure (BOS) Explained - Flux Charts, 访问时间为 五月 7, 2026， </w:t>
      </w:r>
      <w:hyperlink r:id="rId83">
        <w:r w:rsidDel="00000000" w:rsidR="00000000" w:rsidRPr="00000000">
          <w:rPr>
            <w:rFonts w:ascii="Google Sans" w:cs="Google Sans" w:eastAsia="Google Sans" w:hAnsi="Google Sans"/>
            <w:color w:val="0000ee"/>
            <w:sz w:val="24"/>
            <w:szCs w:val="24"/>
            <w:u w:val="single"/>
            <w:rtl w:val="0"/>
          </w:rPr>
          <w:t xml:space="preserve">https://www.fluxcharts.com/articles/break-of-structure-bos-explained</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7: How To Mark Order Blocks Correctly – Best Practices, Confirmation Rules, And Examples | Trading Strategy Guides, 访问时间为 五月 7, 2026， </w:t>
      </w:r>
      <w:hyperlink r:id="rId84">
        <w:r w:rsidDel="00000000" w:rsidR="00000000" w:rsidRPr="00000000">
          <w:rPr>
            <w:rFonts w:ascii="Google Sans" w:cs="Google Sans" w:eastAsia="Google Sans" w:hAnsi="Google Sans"/>
            <w:color w:val="0000ee"/>
            <w:sz w:val="24"/>
            <w:szCs w:val="24"/>
            <w:u w:val="single"/>
            <w:rtl w:val="0"/>
          </w:rPr>
          <w:t xml:space="preserve">https://tradingstrategyguides.com/lecture-7-how-to-mark-order-blocks-correctly-best-practices-confirmation-rules-and-examples/</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TradeGuider U.S. Mentorship Course Overview | PDF | Market (Economics) - Scribd, 访问时间为 五月 7, 2026， </w:t>
      </w:r>
      <w:hyperlink r:id="rId85">
        <w:r w:rsidDel="00000000" w:rsidR="00000000" w:rsidRPr="00000000">
          <w:rPr>
            <w:rFonts w:ascii="Google Sans" w:cs="Google Sans" w:eastAsia="Google Sans" w:hAnsi="Google Sans"/>
            <w:color w:val="0000ee"/>
            <w:sz w:val="24"/>
            <w:szCs w:val="24"/>
            <w:u w:val="single"/>
            <w:rtl w:val="0"/>
          </w:rPr>
          <w:t xml:space="preserve">https://www.scribd.com/document/461846691/toms-slides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Spread Analysis - InstaForex, 访问时间为 五月 7, 2026， </w:t>
      </w:r>
      <w:hyperlink r:id="rId86">
        <w:r w:rsidDel="00000000" w:rsidR="00000000" w:rsidRPr="00000000">
          <w:rPr>
            <w:rFonts w:ascii="Google Sans" w:cs="Google Sans" w:eastAsia="Google Sans" w:hAnsi="Google Sans"/>
            <w:color w:val="0000ee"/>
            <w:sz w:val="24"/>
            <w:szCs w:val="24"/>
            <w:u w:val="single"/>
            <w:rtl w:val="0"/>
          </w:rPr>
          <w:t xml:space="preserve">https://www.instaforex.com/knowledge_base/466-volume-spread-analysis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 of Structure (BOS) Trading Guide - Alchemy Markets, 访问时间为 五月 7, 2026， </w:t>
      </w:r>
      <w:hyperlink r:id="rId87">
        <w:r w:rsidDel="00000000" w:rsidR="00000000" w:rsidRPr="00000000">
          <w:rPr>
            <w:rFonts w:ascii="Google Sans" w:cs="Google Sans" w:eastAsia="Google Sans" w:hAnsi="Google Sans"/>
            <w:color w:val="0000ee"/>
            <w:sz w:val="24"/>
            <w:szCs w:val="24"/>
            <w:u w:val="single"/>
            <w:rtl w:val="0"/>
          </w:rPr>
          <w:t xml:space="preserve">https://alchemymarkets.com/education/strategies/break-of-structure-bos-trading/</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CRT Trading Strategy: A Comprehensive Guide, 访问时间为 五月 7, 2026， </w:t>
      </w:r>
      <w:hyperlink r:id="rId88">
        <w:r w:rsidDel="00000000" w:rsidR="00000000" w:rsidRPr="00000000">
          <w:rPr>
            <w:rFonts w:ascii="Google Sans" w:cs="Google Sans" w:eastAsia="Google Sans" w:hAnsi="Google Sans"/>
            <w:color w:val="0000ee"/>
            <w:sz w:val="24"/>
            <w:szCs w:val="24"/>
            <w:u w:val="single"/>
            <w:rtl w:val="0"/>
          </w:rPr>
          <w:t xml:space="preserve">https://covid.fabriciano.mg.gov.br/official-origin/advanced-crt-trading-strategy-a-comprehensive-guide-1767647820</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Wyckoff Method for Advanced Traders | PDF | Market Trend - Scribd, 访问时间为 五月 7, 2026， </w:t>
      </w:r>
      <w:hyperlink r:id="rId89">
        <w:r w:rsidDel="00000000" w:rsidR="00000000" w:rsidRPr="00000000">
          <w:rPr>
            <w:rFonts w:ascii="Google Sans" w:cs="Google Sans" w:eastAsia="Google Sans" w:hAnsi="Google Sans"/>
            <w:color w:val="0000ee"/>
            <w:sz w:val="24"/>
            <w:szCs w:val="24"/>
            <w:u w:val="single"/>
            <w:rtl w:val="0"/>
          </w:rPr>
          <w:t xml:space="preserve">https://www.scribd.com/document/908528751/THE-WYCKOFF-METHODOLOGTH-HOW-TO-TRADE-FINANCIAL-MARKETS-LOGICALLY-IN-ROMAN-URDU</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Toxic combinations: when small signals add up to a security incident - The Cloudflare Blog, 访问时间为 五月 7, 2026， </w:t>
      </w:r>
      <w:hyperlink r:id="rId90">
        <w:r w:rsidDel="00000000" w:rsidR="00000000" w:rsidRPr="00000000">
          <w:rPr>
            <w:rFonts w:ascii="Google Sans" w:cs="Google Sans" w:eastAsia="Google Sans" w:hAnsi="Google Sans"/>
            <w:color w:val="0000ee"/>
            <w:sz w:val="24"/>
            <w:szCs w:val="24"/>
            <w:u w:val="single"/>
            <w:rtl w:val="0"/>
          </w:rPr>
          <w:t xml:space="preserve">https://blog.cloudflare.com/toxic-combinations-security/</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Yahoo Finance Using Real Time Anomaly Detection with Isolation Forest, 访问时间为 五月 7, 2026， </w:t>
      </w:r>
      <w:hyperlink r:id="rId91">
        <w:r w:rsidDel="00000000" w:rsidR="00000000" w:rsidRPr="00000000">
          <w:rPr>
            <w:rFonts w:ascii="Google Sans" w:cs="Google Sans" w:eastAsia="Google Sans" w:hAnsi="Google Sans"/>
            <w:color w:val="0000ee"/>
            <w:sz w:val="24"/>
            <w:szCs w:val="24"/>
            <w:u w:val="single"/>
            <w:rtl w:val="0"/>
          </w:rPr>
          <w:t xml:space="preserve">https://www.youtube.com/watch?v=Kph-Mad4GHs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84" Type="http://schemas.openxmlformats.org/officeDocument/2006/relationships/hyperlink" Target="https://tradingstrategyguides.com/lecture-7-how-to-mark-order-blocks-correctly-best-practices-confirmation-rules-and-examples/" TargetMode="External"/><Relationship Id="rId83" Type="http://schemas.openxmlformats.org/officeDocument/2006/relationships/hyperlink" Target="https://www.fluxcharts.com/articles/break-of-structure-bos-explained" TargetMode="External"/><Relationship Id="rId42" Type="http://schemas.openxmlformats.org/officeDocument/2006/relationships/image" Target="media/image14.png"/><Relationship Id="rId86" Type="http://schemas.openxmlformats.org/officeDocument/2006/relationships/hyperlink" Target="https://www.instaforex.com/knowledge_base/466-volume-spread-analysis" TargetMode="External"/><Relationship Id="rId41" Type="http://schemas.openxmlformats.org/officeDocument/2006/relationships/image" Target="media/image17.png"/><Relationship Id="rId85" Type="http://schemas.openxmlformats.org/officeDocument/2006/relationships/hyperlink" Target="https://www.scribd.com/document/461846691/toms-slides" TargetMode="External"/><Relationship Id="rId44" Type="http://schemas.openxmlformats.org/officeDocument/2006/relationships/image" Target="media/image2.png"/><Relationship Id="rId88" Type="http://schemas.openxmlformats.org/officeDocument/2006/relationships/hyperlink" Target="https://covid.fabriciano.mg.gov.br/official-origin/advanced-crt-trading-strategy-a-comprehensive-guide-1767647820" TargetMode="External"/><Relationship Id="rId43" Type="http://schemas.openxmlformats.org/officeDocument/2006/relationships/image" Target="media/image8.png"/><Relationship Id="rId87" Type="http://schemas.openxmlformats.org/officeDocument/2006/relationships/hyperlink" Target="https://alchemymarkets.com/education/strategies/break-of-structure-bos-trading/" TargetMode="External"/><Relationship Id="rId46" Type="http://schemas.openxmlformats.org/officeDocument/2006/relationships/image" Target="media/image23.png"/><Relationship Id="rId45" Type="http://schemas.openxmlformats.org/officeDocument/2006/relationships/image" Target="media/image6.png"/><Relationship Id="rId89" Type="http://schemas.openxmlformats.org/officeDocument/2006/relationships/hyperlink" Target="https://www.scribd.com/document/908528751/THE-WYCKOFF-METHODOLOGTH-HOW-TO-TRADE-FINANCIAL-MARKETS-LOGICALLY-IN-ROMAN-URDU" TargetMode="External"/><Relationship Id="rId80" Type="http://schemas.openxmlformats.org/officeDocument/2006/relationships/hyperlink" Target="https://infront-investment-manager.helpcenter.infront.co/en/im/latest/williams-variable-accumulation-distribution-index" TargetMode="External"/><Relationship Id="rId82" Type="http://schemas.openxmlformats.org/officeDocument/2006/relationships/hyperlink" Target="https://acy.com/en/market-news/education/anatomy-of-a-valid-order-block-j-o-20251110-092434/" TargetMode="External"/><Relationship Id="rId81" Type="http://schemas.openxmlformats.org/officeDocument/2006/relationships/hyperlink" Target="https://chartswatcher.com/pages/blog/volume-spread-analysis-tutorial-boost-t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10.png"/><Relationship Id="rId47" Type="http://schemas.openxmlformats.org/officeDocument/2006/relationships/image" Target="media/image15.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21.png"/><Relationship Id="rId8" Type="http://schemas.openxmlformats.org/officeDocument/2006/relationships/image" Target="media/image45.png"/><Relationship Id="rId73" Type="http://schemas.openxmlformats.org/officeDocument/2006/relationships/hyperlink" Target="https://www.scribd.com/document/924916579/Wyckoff-Patterns-Explained-in-Detail" TargetMode="External"/><Relationship Id="rId72" Type="http://schemas.openxmlformats.org/officeDocument/2006/relationships/hyperlink" Target="https://www.scribd.com/document/998178459/Technical-Investor-Strategies-Detailed-Analysis" TargetMode="External"/><Relationship Id="rId31" Type="http://schemas.openxmlformats.org/officeDocument/2006/relationships/image" Target="media/image38.png"/><Relationship Id="rId75" Type="http://schemas.openxmlformats.org/officeDocument/2006/relationships/hyperlink" Target="https://www.venturasecurities.com/share-market-glossary/glossary/" TargetMode="External"/><Relationship Id="rId30" Type="http://schemas.openxmlformats.org/officeDocument/2006/relationships/image" Target="media/image25.png"/><Relationship Id="rId74" Type="http://schemas.openxmlformats.org/officeDocument/2006/relationships/hyperlink" Target="https://ctrader.com/products/2990" TargetMode="External"/><Relationship Id="rId33" Type="http://schemas.openxmlformats.org/officeDocument/2006/relationships/image" Target="media/image7.png"/><Relationship Id="rId77" Type="http://schemas.openxmlformats.org/officeDocument/2006/relationships/hyperlink" Target="https://optimusfutures.com/blog/best-order-flow-indicators/" TargetMode="External"/><Relationship Id="rId32" Type="http://schemas.openxmlformats.org/officeDocument/2006/relationships/image" Target="media/image12.png"/><Relationship Id="rId76" Type="http://schemas.openxmlformats.org/officeDocument/2006/relationships/hyperlink" Target="https://www.researchgate.net/publication/395760740_Detecting_Social_Stock_Pumping_in_the_Russian_Equity_Market_Using_Machine_Learning" TargetMode="External"/><Relationship Id="rId35" Type="http://schemas.openxmlformats.org/officeDocument/2006/relationships/image" Target="media/image11.png"/><Relationship Id="rId79" Type="http://schemas.openxmlformats.org/officeDocument/2006/relationships/hyperlink" Target="https://www.youtube.com/watch?v=jJpBe0YZOJ4" TargetMode="External"/><Relationship Id="rId34" Type="http://schemas.openxmlformats.org/officeDocument/2006/relationships/image" Target="media/image22.png"/><Relationship Id="rId78" Type="http://schemas.openxmlformats.org/officeDocument/2006/relationships/hyperlink" Target="https://www.scribd.com/document/1020463109/Stock-Market-Course-Notes" TargetMode="External"/><Relationship Id="rId71" Type="http://schemas.openxmlformats.org/officeDocument/2006/relationships/hyperlink" Target="https://dokumen.pub/securing-ai-agents-foundations-frameworks-and-real-world-deployment.html" TargetMode="External"/><Relationship Id="rId70" Type="http://schemas.openxmlformats.org/officeDocument/2006/relationships/hyperlink" Target="https://pmc.ncbi.nlm.nih.gov/articles/PMC12753089/" TargetMode="External"/><Relationship Id="rId37" Type="http://schemas.openxmlformats.org/officeDocument/2006/relationships/image" Target="media/image9.png"/><Relationship Id="rId36" Type="http://schemas.openxmlformats.org/officeDocument/2006/relationships/image" Target="media/image3.png"/><Relationship Id="rId39" Type="http://schemas.openxmlformats.org/officeDocument/2006/relationships/image" Target="media/image4.png"/><Relationship Id="rId38" Type="http://schemas.openxmlformats.org/officeDocument/2006/relationships/image" Target="media/image5.png"/><Relationship Id="rId62" Type="http://schemas.openxmlformats.org/officeDocument/2006/relationships/hyperlink" Target="https://chartschool.stockcharts.com/table-of-contents/technical-indicators-and-overlays/technical-indicators/relative-volume-rvol" TargetMode="External"/><Relationship Id="rId61" Type="http://schemas.openxmlformats.org/officeDocument/2006/relationships/hyperlink" Target="https://www.stocktitan.net/articles/relative-volume-rvol-trading-indicator" TargetMode="External"/><Relationship Id="rId20" Type="http://schemas.openxmlformats.org/officeDocument/2006/relationships/image" Target="media/image47.png"/><Relationship Id="rId64" Type="http://schemas.openxmlformats.org/officeDocument/2006/relationships/hyperlink" Target="https://www.reddit.com/r/Daytrading/comments/pvubp1/how_do_you_determine_relative_volume_for_any/" TargetMode="External"/><Relationship Id="rId63" Type="http://schemas.openxmlformats.org/officeDocument/2006/relationships/hyperlink" Target="https://www.mdpi.com/1911-8074/13/7/157" TargetMode="External"/><Relationship Id="rId22" Type="http://schemas.openxmlformats.org/officeDocument/2006/relationships/image" Target="media/image54.png"/><Relationship Id="rId66" Type="http://schemas.openxmlformats.org/officeDocument/2006/relationships/hyperlink" Target="https://www.warriortrading.com/relative-volume-day-trading-terminology/" TargetMode="External"/><Relationship Id="rId21" Type="http://schemas.openxmlformats.org/officeDocument/2006/relationships/image" Target="media/image50.png"/><Relationship Id="rId65" Type="http://schemas.openxmlformats.org/officeDocument/2006/relationships/hyperlink" Target="https://www.tradingview.com/support/solutions/43000705489-relative-volume-at-time/" TargetMode="External"/><Relationship Id="rId24" Type="http://schemas.openxmlformats.org/officeDocument/2006/relationships/image" Target="media/image16.png"/><Relationship Id="rId68" Type="http://schemas.openxmlformats.org/officeDocument/2006/relationships/hyperlink" Target="https://www.reddit.com/r/pinescript/comments/1s00don/built_a_rolling_vol_zscore_with_absorption/" TargetMode="External"/><Relationship Id="rId23" Type="http://schemas.openxmlformats.org/officeDocument/2006/relationships/image" Target="media/image55.png"/><Relationship Id="rId67" Type="http://schemas.openxmlformats.org/officeDocument/2006/relationships/hyperlink" Target="https://us.plus500.com/academy/rvol-in-trading-explained-what-is-relative-volume~27" TargetMode="External"/><Relationship Id="rId60" Type="http://schemas.openxmlformats.org/officeDocument/2006/relationships/image" Target="media/image48.png"/><Relationship Id="rId26" Type="http://schemas.openxmlformats.org/officeDocument/2006/relationships/image" Target="media/image20.png"/><Relationship Id="rId25" Type="http://schemas.openxmlformats.org/officeDocument/2006/relationships/image" Target="media/image24.png"/><Relationship Id="rId69" Type="http://schemas.openxmlformats.org/officeDocument/2006/relationships/hyperlink" Target="https://risingwave.com/blog/build-real-time-crypto-pump-dump-detector-sql/" TargetMode="External"/><Relationship Id="rId28" Type="http://schemas.openxmlformats.org/officeDocument/2006/relationships/image" Target="media/image35.png"/><Relationship Id="rId27" Type="http://schemas.openxmlformats.org/officeDocument/2006/relationships/image" Target="media/image32.png"/><Relationship Id="rId29" Type="http://schemas.openxmlformats.org/officeDocument/2006/relationships/image" Target="media/image31.png"/><Relationship Id="rId51" Type="http://schemas.openxmlformats.org/officeDocument/2006/relationships/image" Target="media/image18.png"/><Relationship Id="rId50" Type="http://schemas.openxmlformats.org/officeDocument/2006/relationships/image" Target="media/image19.png"/><Relationship Id="rId53" Type="http://schemas.openxmlformats.org/officeDocument/2006/relationships/image" Target="media/image28.png"/><Relationship Id="rId52" Type="http://schemas.openxmlformats.org/officeDocument/2006/relationships/image" Target="media/image34.png"/><Relationship Id="rId11" Type="http://schemas.openxmlformats.org/officeDocument/2006/relationships/image" Target="media/image30.png"/><Relationship Id="rId55" Type="http://schemas.openxmlformats.org/officeDocument/2006/relationships/image" Target="media/image49.png"/><Relationship Id="rId10" Type="http://schemas.openxmlformats.org/officeDocument/2006/relationships/image" Target="media/image40.png"/><Relationship Id="rId54" Type="http://schemas.openxmlformats.org/officeDocument/2006/relationships/image" Target="media/image52.png"/><Relationship Id="rId13" Type="http://schemas.openxmlformats.org/officeDocument/2006/relationships/image" Target="media/image29.png"/><Relationship Id="rId57" Type="http://schemas.openxmlformats.org/officeDocument/2006/relationships/image" Target="media/image46.png"/><Relationship Id="rId12" Type="http://schemas.openxmlformats.org/officeDocument/2006/relationships/image" Target="media/image33.png"/><Relationship Id="rId56" Type="http://schemas.openxmlformats.org/officeDocument/2006/relationships/image" Target="media/image37.png"/><Relationship Id="rId91" Type="http://schemas.openxmlformats.org/officeDocument/2006/relationships/hyperlink" Target="https://www.youtube.com/watch?v=Kph-Mad4GHs" TargetMode="External"/><Relationship Id="rId90" Type="http://schemas.openxmlformats.org/officeDocument/2006/relationships/hyperlink" Target="https://blog.cloudflare.com/toxic-combinations-security/" TargetMode="External"/><Relationship Id="rId15" Type="http://schemas.openxmlformats.org/officeDocument/2006/relationships/image" Target="media/image42.png"/><Relationship Id="rId59" Type="http://schemas.openxmlformats.org/officeDocument/2006/relationships/image" Target="media/image51.png"/><Relationship Id="rId14" Type="http://schemas.openxmlformats.org/officeDocument/2006/relationships/image" Target="media/image41.png"/><Relationship Id="rId58" Type="http://schemas.openxmlformats.org/officeDocument/2006/relationships/image" Target="media/image53.png"/><Relationship Id="rId17" Type="http://schemas.openxmlformats.org/officeDocument/2006/relationships/image" Target="media/image27.png"/><Relationship Id="rId16" Type="http://schemas.openxmlformats.org/officeDocument/2006/relationships/image" Target="media/image43.png"/><Relationship Id="rId19" Type="http://schemas.openxmlformats.org/officeDocument/2006/relationships/image" Target="media/image44.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