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F73" w14:textId="77777777" w:rsidR="005E70B9" w:rsidRDefault="00D40956">
      <w:pPr>
        <w:jc w:val="both"/>
        <w:rPr>
          <w:rFonts w:ascii="Times New Roman" w:eastAsia="Times New Roman" w:hAnsi="Times New Roman" w:cs="Times New Roman"/>
          <w:b/>
        </w:rPr>
      </w:pPr>
      <w:r>
        <w:rPr>
          <w:rFonts w:ascii="Times New Roman" w:eastAsia="Times New Roman" w:hAnsi="Times New Roman" w:cs="Times New Roman"/>
          <w:b/>
        </w:rPr>
        <w:t>FINA4380 Project Report</w:t>
      </w:r>
    </w:p>
    <w:p w14:paraId="34D3D774" w14:textId="77777777" w:rsidR="005E70B9" w:rsidRDefault="00D40956">
      <w:pPr>
        <w:jc w:val="both"/>
        <w:rPr>
          <w:rFonts w:ascii="Times New Roman" w:eastAsia="Times New Roman" w:hAnsi="Times New Roman" w:cs="Times New Roman"/>
          <w:b/>
        </w:rPr>
      </w:pPr>
      <w:r>
        <w:rPr>
          <w:rFonts w:ascii="Times New Roman" w:eastAsia="Times New Roman" w:hAnsi="Times New Roman" w:cs="Times New Roman"/>
          <w:b/>
        </w:rPr>
        <w:t xml:space="preserve">Group2: </w:t>
      </w:r>
      <w:proofErr w:type="spellStart"/>
      <w:r>
        <w:rPr>
          <w:rFonts w:ascii="Times New Roman" w:eastAsia="Times New Roman" w:hAnsi="Times New Roman" w:cs="Times New Roman"/>
          <w:b/>
        </w:rPr>
        <w:t>Markehance</w:t>
      </w:r>
      <w:proofErr w:type="spellEnd"/>
    </w:p>
    <w:p w14:paraId="3DFD4D77" w14:textId="77777777" w:rsidR="005E70B9" w:rsidRDefault="005E70B9">
      <w:pPr>
        <w:jc w:val="both"/>
        <w:rPr>
          <w:rFonts w:ascii="Times New Roman" w:eastAsia="Times New Roman" w:hAnsi="Times New Roman" w:cs="Times New Roman"/>
        </w:rPr>
      </w:pPr>
    </w:p>
    <w:p w14:paraId="39919D48"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SID:</w:t>
      </w:r>
    </w:p>
    <w:p w14:paraId="224B9ED6"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 xml:space="preserve">Wong Chung Yu </w:t>
      </w:r>
      <w:r>
        <w:rPr>
          <w:rFonts w:ascii="Times New Roman" w:eastAsia="Times New Roman" w:hAnsi="Times New Roman" w:cs="Times New Roman"/>
        </w:rPr>
        <w:tab/>
      </w:r>
      <w:r>
        <w:rPr>
          <w:rFonts w:ascii="Times New Roman" w:eastAsia="Times New Roman" w:hAnsi="Times New Roman" w:cs="Times New Roman"/>
        </w:rPr>
        <w:tab/>
        <w:t>1155126787</w:t>
      </w:r>
    </w:p>
    <w:p w14:paraId="4A193CC0"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 xml:space="preserve">Li Wing Ho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1155108494</w:t>
      </w:r>
    </w:p>
    <w:p w14:paraId="453C76C1"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 xml:space="preserve">Poon Hoi Fung </w:t>
      </w:r>
      <w:r>
        <w:rPr>
          <w:rFonts w:ascii="Times New Roman" w:eastAsia="Times New Roman" w:hAnsi="Times New Roman" w:cs="Times New Roman"/>
        </w:rPr>
        <w:tab/>
      </w:r>
      <w:r>
        <w:rPr>
          <w:rFonts w:ascii="Times New Roman" w:eastAsia="Times New Roman" w:hAnsi="Times New Roman" w:cs="Times New Roman"/>
        </w:rPr>
        <w:tab/>
        <w:t>1155142237</w:t>
      </w:r>
    </w:p>
    <w:p w14:paraId="3BA49E42"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Kwok Chi Long Jason</w:t>
      </w:r>
      <w:r>
        <w:rPr>
          <w:rFonts w:ascii="Times New Roman" w:eastAsia="Times New Roman" w:hAnsi="Times New Roman" w:cs="Times New Roman"/>
        </w:rPr>
        <w:tab/>
      </w:r>
      <w:r>
        <w:rPr>
          <w:rFonts w:ascii="Times New Roman" w:eastAsia="Times New Roman" w:hAnsi="Times New Roman" w:cs="Times New Roman"/>
        </w:rPr>
        <w:tab/>
        <w:t>1155126557</w:t>
      </w:r>
    </w:p>
    <w:p w14:paraId="35582324" w14:textId="77777777" w:rsidR="005E70B9" w:rsidRDefault="005E70B9">
      <w:pPr>
        <w:jc w:val="both"/>
        <w:rPr>
          <w:rFonts w:ascii="Times New Roman" w:eastAsia="Times New Roman" w:hAnsi="Times New Roman" w:cs="Times New Roman"/>
        </w:rPr>
      </w:pPr>
    </w:p>
    <w:p w14:paraId="1148FBC4" w14:textId="77777777" w:rsidR="005E70B9" w:rsidRDefault="005E70B9">
      <w:pPr>
        <w:jc w:val="both"/>
        <w:rPr>
          <w:rFonts w:ascii="Times New Roman" w:eastAsia="Times New Roman" w:hAnsi="Times New Roman" w:cs="Times New Roman"/>
        </w:rPr>
      </w:pPr>
    </w:p>
    <w:p w14:paraId="37EF3FF5" w14:textId="77777777" w:rsidR="005E70B9" w:rsidRDefault="005E70B9">
      <w:pPr>
        <w:jc w:val="both"/>
        <w:rPr>
          <w:rFonts w:ascii="Times New Roman" w:eastAsia="Times New Roman" w:hAnsi="Times New Roman" w:cs="Times New Roman"/>
        </w:rPr>
      </w:pPr>
    </w:p>
    <w:p w14:paraId="707564DB" w14:textId="77777777" w:rsidR="005E70B9" w:rsidRDefault="005E70B9">
      <w:pPr>
        <w:jc w:val="both"/>
        <w:rPr>
          <w:rFonts w:ascii="Times New Roman" w:eastAsia="Times New Roman" w:hAnsi="Times New Roman" w:cs="Times New Roman"/>
        </w:rPr>
      </w:pPr>
    </w:p>
    <w:p w14:paraId="62AB1101" w14:textId="77777777" w:rsidR="005E70B9" w:rsidRDefault="00D40956">
      <w:pPr>
        <w:jc w:val="both"/>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b/>
        </w:rPr>
        <w:tab/>
        <w:t>Qualitative Ideas</w:t>
      </w:r>
    </w:p>
    <w:p w14:paraId="57B83F7C" w14:textId="77777777" w:rsidR="005E70B9" w:rsidRDefault="005E70B9">
      <w:pPr>
        <w:jc w:val="both"/>
        <w:rPr>
          <w:rFonts w:ascii="Times New Roman" w:eastAsia="Times New Roman" w:hAnsi="Times New Roman" w:cs="Times New Roman"/>
          <w:b/>
        </w:rPr>
      </w:pPr>
    </w:p>
    <w:p w14:paraId="52685602"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 xml:space="preserve">The motivation of our project is to explore the potential of outperforming S&amp;P500 using its own constituents. Therefore, the stocks in S&amp;P500 is the target of our trading strategy. </w:t>
      </w:r>
    </w:p>
    <w:p w14:paraId="07B85C07" w14:textId="77777777" w:rsidR="005E70B9" w:rsidRDefault="005E70B9">
      <w:pPr>
        <w:jc w:val="both"/>
        <w:rPr>
          <w:rFonts w:ascii="Times New Roman" w:eastAsia="Times New Roman" w:hAnsi="Times New Roman" w:cs="Times New Roman"/>
        </w:rPr>
      </w:pPr>
    </w:p>
    <w:p w14:paraId="46AF2F17"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S&amp;P500 is well-diversified with different industries and therefore, to be</w:t>
      </w:r>
      <w:r>
        <w:rPr>
          <w:rFonts w:ascii="Times New Roman" w:eastAsia="Times New Roman" w:hAnsi="Times New Roman" w:cs="Times New Roman"/>
        </w:rPr>
        <w:t>tter predict the return of the stocks, we use factors from different asset classes to cover more aspects of variables in order to minimize the omitted factors. In our project, we used 97 different asset class indices which include interest rates, FX, commo</w:t>
      </w:r>
      <w:r>
        <w:rPr>
          <w:rFonts w:ascii="Times New Roman" w:eastAsia="Times New Roman" w:hAnsi="Times New Roman" w:cs="Times New Roman"/>
        </w:rPr>
        <w:t>dities and so on.</w:t>
      </w:r>
    </w:p>
    <w:p w14:paraId="49AE6830" w14:textId="77777777" w:rsidR="005E70B9" w:rsidRDefault="005E70B9">
      <w:pPr>
        <w:jc w:val="both"/>
        <w:rPr>
          <w:rFonts w:ascii="Times New Roman" w:eastAsia="Times New Roman" w:hAnsi="Times New Roman" w:cs="Times New Roman"/>
        </w:rPr>
      </w:pPr>
    </w:p>
    <w:p w14:paraId="42DFC351"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We aim to use the weekly data of different factors to predict the future performance of the 500 stocks and come out with a weekly rebalancing portfolio. Such rebalancing frequency is to balance the trading cost and capture short term pri</w:t>
      </w:r>
      <w:r>
        <w:rPr>
          <w:rFonts w:ascii="Times New Roman" w:eastAsia="Times New Roman" w:hAnsi="Times New Roman" w:cs="Times New Roman"/>
        </w:rPr>
        <w:t>ce movements.</w:t>
      </w:r>
    </w:p>
    <w:p w14:paraId="1D54D803" w14:textId="77777777" w:rsidR="005E70B9" w:rsidRDefault="005E70B9">
      <w:pPr>
        <w:jc w:val="both"/>
        <w:rPr>
          <w:rFonts w:ascii="Times New Roman" w:eastAsia="Times New Roman" w:hAnsi="Times New Roman" w:cs="Times New Roman"/>
        </w:rPr>
      </w:pPr>
    </w:p>
    <w:p w14:paraId="5AEFBFE8" w14:textId="77777777" w:rsidR="005E70B9" w:rsidRDefault="005E70B9">
      <w:pPr>
        <w:jc w:val="both"/>
        <w:rPr>
          <w:rFonts w:ascii="Times New Roman" w:eastAsia="Times New Roman" w:hAnsi="Times New Roman" w:cs="Times New Roman"/>
        </w:rPr>
      </w:pPr>
    </w:p>
    <w:p w14:paraId="3AA218CC" w14:textId="77777777" w:rsidR="005E70B9" w:rsidRDefault="00D40956">
      <w:pPr>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rPr>
        <w:tab/>
        <w:t>Methodology</w:t>
      </w:r>
    </w:p>
    <w:p w14:paraId="779E2B10" w14:textId="77777777" w:rsidR="005E70B9" w:rsidRDefault="005E70B9">
      <w:pPr>
        <w:jc w:val="both"/>
        <w:rPr>
          <w:rFonts w:ascii="Times New Roman" w:eastAsia="Times New Roman" w:hAnsi="Times New Roman" w:cs="Times New Roman"/>
        </w:rPr>
      </w:pPr>
    </w:p>
    <w:p w14:paraId="09E706AB" w14:textId="77777777" w:rsidR="005E70B9" w:rsidRDefault="00D40956">
      <w:pPr>
        <w:jc w:val="both"/>
        <w:rPr>
          <w:rFonts w:ascii="Times New Roman" w:eastAsia="Times New Roman" w:hAnsi="Times New Roman" w:cs="Times New Roman"/>
          <w:u w:val="single"/>
        </w:rPr>
      </w:pPr>
      <w:r>
        <w:rPr>
          <w:rFonts w:ascii="Times New Roman" w:eastAsia="Times New Roman" w:hAnsi="Times New Roman" w:cs="Times New Roman"/>
          <w:u w:val="single"/>
        </w:rPr>
        <w:t>Step 1: Principal Components Analysis (PCA)</w:t>
      </w:r>
    </w:p>
    <w:p w14:paraId="7EF7795A"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Among all the 97 factors, we will use PCA to select the most relevant factors and change the basis of the data by using the first few principal components explaining 80% of variati</w:t>
      </w:r>
      <w:r>
        <w:rPr>
          <w:rFonts w:ascii="Times New Roman" w:eastAsia="Times New Roman" w:hAnsi="Times New Roman" w:cs="Times New Roman"/>
        </w:rPr>
        <w:t>ons. By considering the correlation between each factor and principal component, we set the maximum factor correlation in order to prevent duplicated factors. As a result, PCA provides the independent factors with high explanatory power for prediction.</w:t>
      </w:r>
    </w:p>
    <w:p w14:paraId="76F76A7A" w14:textId="77777777" w:rsidR="005E70B9" w:rsidRDefault="005E70B9">
      <w:pPr>
        <w:jc w:val="both"/>
        <w:rPr>
          <w:rFonts w:ascii="Times New Roman" w:eastAsia="Times New Roman" w:hAnsi="Times New Roman" w:cs="Times New Roman"/>
        </w:rPr>
      </w:pPr>
    </w:p>
    <w:p w14:paraId="0CBCC309" w14:textId="77777777" w:rsidR="005E70B9" w:rsidRDefault="00D40956">
      <w:pPr>
        <w:jc w:val="both"/>
        <w:rPr>
          <w:rFonts w:ascii="Times New Roman" w:eastAsia="Times New Roman" w:hAnsi="Times New Roman" w:cs="Times New Roman"/>
          <w:u w:val="single"/>
        </w:rPr>
      </w:pPr>
      <w:r>
        <w:rPr>
          <w:rFonts w:ascii="Times New Roman" w:eastAsia="Times New Roman" w:hAnsi="Times New Roman" w:cs="Times New Roman"/>
          <w:u w:val="single"/>
        </w:rPr>
        <w:t>St</w:t>
      </w:r>
      <w:r>
        <w:rPr>
          <w:rFonts w:ascii="Times New Roman" w:eastAsia="Times New Roman" w:hAnsi="Times New Roman" w:cs="Times New Roman"/>
          <w:u w:val="single"/>
        </w:rPr>
        <w:t>ep 2: Support Vector Regression (SVR)</w:t>
      </w:r>
    </w:p>
    <w:p w14:paraId="4092D55C"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After selecting the factors, the SVR model is trained by trailing 100-week filtered factors’ and stocks’ returns for each week. Then, we will input the filtered factors of that week into the trained SVR model, in order</w:t>
      </w:r>
      <w:r>
        <w:rPr>
          <w:rFonts w:ascii="Times New Roman" w:eastAsia="Times New Roman" w:hAnsi="Times New Roman" w:cs="Times New Roman"/>
        </w:rPr>
        <w:t xml:space="preserve"> to predict every stock’s return and select the top 25 greatest expected return stocks as weekly components of the portfolio.</w:t>
      </w:r>
    </w:p>
    <w:p w14:paraId="5C1000E3" w14:textId="77777777" w:rsidR="005E70B9" w:rsidRDefault="005E70B9">
      <w:pPr>
        <w:jc w:val="both"/>
        <w:rPr>
          <w:rFonts w:ascii="Times New Roman" w:eastAsia="Times New Roman" w:hAnsi="Times New Roman" w:cs="Times New Roman"/>
        </w:rPr>
      </w:pPr>
    </w:p>
    <w:p w14:paraId="6CFEF5D4" w14:textId="77777777" w:rsidR="005E70B9" w:rsidRDefault="00D40956">
      <w:pPr>
        <w:jc w:val="both"/>
        <w:rPr>
          <w:rFonts w:ascii="Times New Roman" w:eastAsia="Times New Roman" w:hAnsi="Times New Roman" w:cs="Times New Roman"/>
          <w:u w:val="single"/>
        </w:rPr>
      </w:pPr>
      <w:r>
        <w:rPr>
          <w:rFonts w:ascii="Times New Roman" w:eastAsia="Times New Roman" w:hAnsi="Times New Roman" w:cs="Times New Roman"/>
          <w:u w:val="single"/>
        </w:rPr>
        <w:t>Step 3: Covariance Matrix Modelling</w:t>
      </w:r>
    </w:p>
    <w:p w14:paraId="0C29BF67"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After running SVR, we need to forecast the covariance matrix for smart beta optimization. To account for serial correlation and conditional heteroscedasticity in stock returns, we fit in the univariate GARCH(1,1) models for returns of each stock then forec</w:t>
      </w:r>
      <w:r>
        <w:rPr>
          <w:rFonts w:ascii="Times New Roman" w:eastAsia="Times New Roman" w:hAnsi="Times New Roman" w:cs="Times New Roman"/>
        </w:rPr>
        <w:t>ast their volatility one period ahead.</w:t>
      </w:r>
    </w:p>
    <w:p w14:paraId="38A08FC9" w14:textId="77777777" w:rsidR="005E70B9" w:rsidRDefault="00D40956">
      <w:pPr>
        <w:rPr>
          <w:rFonts w:ascii="Times New Roman" w:eastAsia="Times New Roman" w:hAnsi="Times New Roman" w:cs="Times New Roman"/>
        </w:rPr>
      </w:pPr>
      <w:r>
        <w:br w:type="page"/>
      </w:r>
    </w:p>
    <w:p w14:paraId="02B8E2CC"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lastRenderedPageBreak/>
        <w:t>Next, we use the multivariate Constant Conditional Correlation (GARCH-CCC) model to compute the forecasted covariance matrix. The key idea is that we assume the conditional correlations between error terms of return</w:t>
      </w:r>
      <w:r>
        <w:rPr>
          <w:rFonts w:ascii="Times New Roman" w:eastAsia="Times New Roman" w:hAnsi="Times New Roman" w:cs="Times New Roman"/>
        </w:rPr>
        <w:t>s are constant throughout the model to ensure that the time-varying covariance matrices are positive definite by splitting it into variances and correlation as well as to enhance computational efficiency for covariance matrix modelling.</w:t>
      </w:r>
    </w:p>
    <w:p w14:paraId="09E1583F" w14:textId="77777777" w:rsidR="005E70B9" w:rsidRDefault="005E70B9">
      <w:pPr>
        <w:jc w:val="both"/>
        <w:rPr>
          <w:rFonts w:ascii="Times New Roman" w:eastAsia="Times New Roman" w:hAnsi="Times New Roman" w:cs="Times New Roman"/>
        </w:rPr>
      </w:pPr>
    </w:p>
    <w:p w14:paraId="25031BD8" w14:textId="77777777" w:rsidR="005E70B9" w:rsidRDefault="00D40956">
      <w:pPr>
        <w:jc w:val="both"/>
        <w:rPr>
          <w:rFonts w:ascii="Times New Roman" w:eastAsia="Times New Roman" w:hAnsi="Times New Roman" w:cs="Times New Roman"/>
          <w:u w:val="single"/>
        </w:rPr>
      </w:pPr>
      <w:r>
        <w:rPr>
          <w:rFonts w:ascii="Times New Roman" w:eastAsia="Times New Roman" w:hAnsi="Times New Roman" w:cs="Times New Roman"/>
          <w:u w:val="single"/>
        </w:rPr>
        <w:t>Step 4: Smart Beta</w:t>
      </w:r>
    </w:p>
    <w:p w14:paraId="034FE55C"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As we hypothesise that our selected stocks’ returns on average will be higher than S&amp;P500 index, we target to minimise the variance of the portfolio. To avoid portfolio weight heavily tilted to the lowest volatility stocks, we suggest that each stock weig</w:t>
      </w:r>
      <w:r>
        <w:rPr>
          <w:rFonts w:ascii="Times New Roman" w:eastAsia="Times New Roman" w:hAnsi="Times New Roman" w:cs="Times New Roman"/>
        </w:rPr>
        <w:t>ht be capped at 10% to diversify some of the idiosyncratic risks. We consider only an unleveraged long-only portfolio to avoid borrowing costs and shorting costs.</w:t>
      </w:r>
    </w:p>
    <w:p w14:paraId="2B1EB1FC"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539ECB2E" w14:textId="77777777" w:rsidR="005E70B9" w:rsidRDefault="00D40956">
      <w:pPr>
        <w:jc w:val="both"/>
        <w:rPr>
          <w:rFonts w:ascii="Times New Roman" w:eastAsia="Times New Roman" w:hAnsi="Times New Roman" w:cs="Times New Roman"/>
          <w:u w:val="single"/>
        </w:rPr>
      </w:pPr>
      <w:r>
        <w:rPr>
          <w:rFonts w:ascii="Times New Roman" w:eastAsia="Times New Roman" w:hAnsi="Times New Roman" w:cs="Times New Roman"/>
          <w:u w:val="single"/>
        </w:rPr>
        <w:t>Step 5: Rebalancing</w:t>
      </w:r>
    </w:p>
    <w:p w14:paraId="0DE58682"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The above procedures will be repeated each week with weekly rebalancing</w:t>
      </w:r>
      <w:r>
        <w:rPr>
          <w:rFonts w:ascii="Times New Roman" w:eastAsia="Times New Roman" w:hAnsi="Times New Roman" w:cs="Times New Roman"/>
        </w:rPr>
        <w:t xml:space="preserve"> as a means to reduce transaction costs and to respond readily to market change.</w:t>
      </w:r>
    </w:p>
    <w:p w14:paraId="3965DC7A" w14:textId="77777777" w:rsidR="005E70B9" w:rsidRDefault="005E70B9">
      <w:pPr>
        <w:jc w:val="both"/>
        <w:rPr>
          <w:rFonts w:ascii="Times New Roman" w:eastAsia="Times New Roman" w:hAnsi="Times New Roman" w:cs="Times New Roman"/>
        </w:rPr>
      </w:pPr>
    </w:p>
    <w:p w14:paraId="13C81774" w14:textId="77777777" w:rsidR="005E70B9" w:rsidRDefault="00D40956">
      <w:pPr>
        <w:jc w:val="both"/>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ab/>
        <w:t>Other Assumptions</w:t>
      </w:r>
    </w:p>
    <w:p w14:paraId="7E387C87" w14:textId="77777777" w:rsidR="005E70B9" w:rsidRDefault="005E70B9">
      <w:pPr>
        <w:jc w:val="both"/>
        <w:rPr>
          <w:rFonts w:ascii="Times New Roman" w:eastAsia="Times New Roman" w:hAnsi="Times New Roman" w:cs="Times New Roman"/>
        </w:rPr>
      </w:pPr>
    </w:p>
    <w:p w14:paraId="580E3A82"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We use a long-only strategy to avoid shorting costs. Also, we assume no slippage cost and 0% risk-free rate. Transaction cost will be 10bps, in and out,</w:t>
      </w:r>
      <w:r>
        <w:rPr>
          <w:rFonts w:ascii="Times New Roman" w:eastAsia="Times New Roman" w:hAnsi="Times New Roman" w:cs="Times New Roman"/>
        </w:rPr>
        <w:t xml:space="preserve"> included when calculating the results. Regular weekly rebalancing is assumed to be done simultaneously. Our </w:t>
      </w:r>
      <w:proofErr w:type="spellStart"/>
      <w:r>
        <w:rPr>
          <w:rFonts w:ascii="Times New Roman" w:eastAsia="Times New Roman" w:hAnsi="Times New Roman" w:cs="Times New Roman"/>
        </w:rPr>
        <w:t>backtest</w:t>
      </w:r>
      <w:proofErr w:type="spellEnd"/>
      <w:r>
        <w:rPr>
          <w:rFonts w:ascii="Times New Roman" w:eastAsia="Times New Roman" w:hAnsi="Times New Roman" w:cs="Times New Roman"/>
        </w:rPr>
        <w:t xml:space="preserve"> period is 520 weeks (10 years), starting from Dec 2011. </w:t>
      </w:r>
    </w:p>
    <w:p w14:paraId="34E7639F" w14:textId="77777777" w:rsidR="005E70B9" w:rsidRDefault="005E70B9">
      <w:pPr>
        <w:jc w:val="both"/>
        <w:rPr>
          <w:rFonts w:ascii="Times New Roman" w:eastAsia="Times New Roman" w:hAnsi="Times New Roman" w:cs="Times New Roman"/>
          <w:b/>
        </w:rPr>
      </w:pPr>
    </w:p>
    <w:p w14:paraId="2BE58ECC" w14:textId="77777777" w:rsidR="005E70B9" w:rsidRDefault="00D40956">
      <w:pPr>
        <w:jc w:val="both"/>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ab/>
      </w:r>
      <w:proofErr w:type="spellStart"/>
      <w:r>
        <w:rPr>
          <w:rFonts w:ascii="Times New Roman" w:eastAsia="Times New Roman" w:hAnsi="Times New Roman" w:cs="Times New Roman"/>
          <w:b/>
        </w:rPr>
        <w:t>Backtesting</w:t>
      </w:r>
      <w:proofErr w:type="spellEnd"/>
      <w:r>
        <w:rPr>
          <w:rFonts w:ascii="Times New Roman" w:eastAsia="Times New Roman" w:hAnsi="Times New Roman" w:cs="Times New Roman"/>
          <w:b/>
        </w:rPr>
        <w:t xml:space="preserve"> Results</w:t>
      </w:r>
    </w:p>
    <w:p w14:paraId="20A3FF41" w14:textId="77777777" w:rsidR="005E70B9" w:rsidRDefault="005E70B9">
      <w:pPr>
        <w:jc w:val="both"/>
        <w:rPr>
          <w:rFonts w:ascii="Times New Roman" w:eastAsia="Times New Roman" w:hAnsi="Times New Roman" w:cs="Times New Roman"/>
        </w:rPr>
      </w:pPr>
    </w:p>
    <w:p w14:paraId="4E841D9B" w14:textId="77777777" w:rsidR="005E70B9" w:rsidRDefault="00D40956">
      <w:pPr>
        <w:jc w:val="both"/>
        <w:rPr>
          <w:rFonts w:ascii="Times New Roman" w:eastAsia="Times New Roman" w:hAnsi="Times New Roman" w:cs="Times New Roman"/>
          <w:u w:val="single"/>
        </w:rPr>
      </w:pPr>
      <w:r>
        <w:rPr>
          <w:rFonts w:ascii="Times New Roman" w:eastAsia="Times New Roman" w:hAnsi="Times New Roman" w:cs="Times New Roman"/>
          <w:u w:val="single"/>
        </w:rPr>
        <w:t>(</w:t>
      </w:r>
      <w:proofErr w:type="spellStart"/>
      <w:r>
        <w:rPr>
          <w:rFonts w:ascii="Times New Roman" w:eastAsia="Times New Roman" w:hAnsi="Times New Roman" w:cs="Times New Roman"/>
          <w:u w:val="single"/>
        </w:rPr>
        <w:t>i</w:t>
      </w:r>
      <w:proofErr w:type="spellEnd"/>
      <w:r>
        <w:rPr>
          <w:rFonts w:ascii="Times New Roman" w:eastAsia="Times New Roman" w:hAnsi="Times New Roman" w:cs="Times New Roman"/>
          <w:u w:val="single"/>
        </w:rPr>
        <w:t>)</w:t>
      </w:r>
      <w:r>
        <w:rPr>
          <w:rFonts w:ascii="Times New Roman" w:eastAsia="Times New Roman" w:hAnsi="Times New Roman" w:cs="Times New Roman"/>
          <w:u w:val="single"/>
        </w:rPr>
        <w:tab/>
      </w:r>
      <w:proofErr w:type="spellStart"/>
      <w:r>
        <w:rPr>
          <w:rFonts w:ascii="Times New Roman" w:eastAsia="Times New Roman" w:hAnsi="Times New Roman" w:cs="Times New Roman"/>
          <w:u w:val="single"/>
        </w:rPr>
        <w:t>Backtesting</w:t>
      </w:r>
      <w:proofErr w:type="spellEnd"/>
      <w:r>
        <w:rPr>
          <w:rFonts w:ascii="Times New Roman" w:eastAsia="Times New Roman" w:hAnsi="Times New Roman" w:cs="Times New Roman"/>
          <w:u w:val="single"/>
        </w:rPr>
        <w:t xml:space="preserve"> focus: Machine Learning Models</w:t>
      </w:r>
    </w:p>
    <w:p w14:paraId="3D70979A"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The follo</w:t>
      </w:r>
      <w:r>
        <w:rPr>
          <w:rFonts w:ascii="Times New Roman" w:eastAsia="Times New Roman" w:hAnsi="Times New Roman" w:cs="Times New Roman"/>
        </w:rPr>
        <w:t xml:space="preserve">wing graphs show the performance of different trading strategies over our </w:t>
      </w:r>
      <w:proofErr w:type="spellStart"/>
      <w:r>
        <w:rPr>
          <w:rFonts w:ascii="Times New Roman" w:eastAsia="Times New Roman" w:hAnsi="Times New Roman" w:cs="Times New Roman"/>
        </w:rPr>
        <w:t>backtesting</w:t>
      </w:r>
      <w:proofErr w:type="spellEnd"/>
      <w:r>
        <w:rPr>
          <w:rFonts w:ascii="Times New Roman" w:eastAsia="Times New Roman" w:hAnsi="Times New Roman" w:cs="Times New Roman"/>
        </w:rPr>
        <w:t xml:space="preserve"> period:</w:t>
      </w:r>
    </w:p>
    <w:p w14:paraId="2374D60C" w14:textId="77777777" w:rsidR="005E70B9" w:rsidRDefault="005E70B9">
      <w:pPr>
        <w:jc w:val="both"/>
        <w:rPr>
          <w:rFonts w:ascii="Times New Roman" w:eastAsia="Times New Roman" w:hAnsi="Times New Roman" w:cs="Times New Roman"/>
        </w:rPr>
      </w:pPr>
    </w:p>
    <w:p w14:paraId="544461CD" w14:textId="77777777" w:rsidR="005E70B9" w:rsidRDefault="00D40956">
      <w:pPr>
        <w:jc w:val="both"/>
        <w:rPr>
          <w:rFonts w:ascii="Times New Roman" w:eastAsia="Times New Roman" w:hAnsi="Times New Roman" w:cs="Times New Roman"/>
        </w:rPr>
      </w:pPr>
      <w:r>
        <w:rPr>
          <w:noProof/>
        </w:rPr>
        <w:drawing>
          <wp:inline distT="114300" distB="114300" distL="114300" distR="114300" wp14:anchorId="689B5119" wp14:editId="29830FBD">
            <wp:extent cx="5731200" cy="2552700"/>
            <wp:effectExtent l="0" t="0" r="0" b="0"/>
            <wp:docPr id="7" name="image2.png" descr="Chart, line char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line chart  Description automatically generated"/>
                    <pic:cNvPicPr preferRelativeResize="0"/>
                  </pic:nvPicPr>
                  <pic:blipFill>
                    <a:blip r:embed="rId5"/>
                    <a:srcRect/>
                    <a:stretch>
                      <a:fillRect/>
                    </a:stretch>
                  </pic:blipFill>
                  <pic:spPr>
                    <a:xfrm>
                      <a:off x="0" y="0"/>
                      <a:ext cx="5731200" cy="2552700"/>
                    </a:xfrm>
                    <a:prstGeom prst="rect">
                      <a:avLst/>
                    </a:prstGeom>
                    <a:ln/>
                  </pic:spPr>
                </pic:pic>
              </a:graphicData>
            </a:graphic>
          </wp:inline>
        </w:drawing>
      </w:r>
    </w:p>
    <w:p w14:paraId="5E68CE56" w14:textId="77777777" w:rsidR="005E70B9" w:rsidRDefault="00D40956">
      <w:pPr>
        <w:jc w:val="both"/>
        <w:rPr>
          <w:rFonts w:ascii="Times New Roman" w:eastAsia="Times New Roman" w:hAnsi="Times New Roman" w:cs="Times New Roman"/>
        </w:rPr>
      </w:pPr>
      <w:r>
        <w:rPr>
          <w:noProof/>
        </w:rPr>
        <w:lastRenderedPageBreak/>
        <w:drawing>
          <wp:inline distT="114300" distB="114300" distL="114300" distR="114300" wp14:anchorId="23FF8F77" wp14:editId="1E2F9EDA">
            <wp:extent cx="5753808" cy="2882948"/>
            <wp:effectExtent l="0" t="0" r="0" b="0"/>
            <wp:docPr id="9" name="image3.png" descr="Char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Description automatically generated"/>
                    <pic:cNvPicPr preferRelativeResize="0"/>
                  </pic:nvPicPr>
                  <pic:blipFill>
                    <a:blip r:embed="rId6"/>
                    <a:srcRect l="7299" t="8148" r="8350" b="7323"/>
                    <a:stretch>
                      <a:fillRect/>
                    </a:stretch>
                  </pic:blipFill>
                  <pic:spPr>
                    <a:xfrm>
                      <a:off x="0" y="0"/>
                      <a:ext cx="5753808" cy="2882948"/>
                    </a:xfrm>
                    <a:prstGeom prst="rect">
                      <a:avLst/>
                    </a:prstGeom>
                    <a:ln/>
                  </pic:spPr>
                </pic:pic>
              </a:graphicData>
            </a:graphic>
          </wp:inline>
        </w:drawing>
      </w:r>
    </w:p>
    <w:p w14:paraId="75C0A36A" w14:textId="77777777" w:rsidR="005E70B9" w:rsidRDefault="005E70B9">
      <w:pPr>
        <w:jc w:val="both"/>
        <w:rPr>
          <w:rFonts w:ascii="Times New Roman" w:eastAsia="Times New Roman" w:hAnsi="Times New Roman" w:cs="Times New Roman"/>
        </w:rPr>
      </w:pPr>
    </w:p>
    <w:p w14:paraId="7A4A021B" w14:textId="77777777" w:rsidR="005E70B9" w:rsidRDefault="005E70B9">
      <w:pPr>
        <w:jc w:val="both"/>
        <w:rPr>
          <w:rFonts w:ascii="Times New Roman" w:eastAsia="Times New Roman" w:hAnsi="Times New Roman" w:cs="Times New Roman"/>
        </w:rPr>
      </w:pPr>
    </w:p>
    <w:p w14:paraId="043FB588" w14:textId="77777777" w:rsidR="005E70B9" w:rsidRDefault="005E70B9">
      <w:pPr>
        <w:jc w:val="both"/>
        <w:rPr>
          <w:rFonts w:ascii="Times New Roman" w:eastAsia="Times New Roman" w:hAnsi="Times New Roman" w:cs="Times New Roman"/>
        </w:rPr>
      </w:pPr>
    </w:p>
    <w:p w14:paraId="1B23CF4A" w14:textId="77777777" w:rsidR="005E70B9" w:rsidRDefault="00D40956">
      <w:pPr>
        <w:jc w:val="both"/>
        <w:rPr>
          <w:rFonts w:ascii="Times New Roman" w:eastAsia="Times New Roman" w:hAnsi="Times New Roman" w:cs="Times New Roman"/>
        </w:rPr>
      </w:pPr>
      <w:r>
        <w:rPr>
          <w:rFonts w:ascii="Times New Roman" w:eastAsia="Times New Roman" w:hAnsi="Times New Roman" w:cs="Times New Roman"/>
        </w:rPr>
        <w:t>The following table shows the figures related to the benchmark portfolio and ML strategies:</w:t>
      </w:r>
    </w:p>
    <w:p w14:paraId="47D41C27" w14:textId="77777777" w:rsidR="005E70B9" w:rsidRDefault="005E70B9">
      <w:pPr>
        <w:jc w:val="both"/>
        <w:rPr>
          <w:rFonts w:ascii="Times New Roman" w:eastAsia="Times New Roman" w:hAnsi="Times New Roman" w:cs="Times New Roman"/>
        </w:rPr>
      </w:pPr>
    </w:p>
    <w:tbl>
      <w:tblPr>
        <w:tblStyle w:val="a"/>
        <w:tblW w:w="8908" w:type="dxa"/>
        <w:tblBorders>
          <w:top w:val="single" w:sz="4" w:space="0" w:color="auto"/>
          <w:left w:val="single" w:sz="4" w:space="0" w:color="auto"/>
          <w:bottom w:val="single" w:sz="4" w:space="0" w:color="auto"/>
          <w:right w:val="single" w:sz="4" w:space="0" w:color="auto"/>
          <w:insideH w:val="single" w:sz="6" w:space="0" w:color="CCCCCC"/>
          <w:insideV w:val="single" w:sz="6" w:space="0" w:color="CCCCCC"/>
        </w:tblBorders>
        <w:tblLayout w:type="fixed"/>
        <w:tblLook w:val="0400" w:firstRow="0" w:lastRow="0" w:firstColumn="0" w:lastColumn="0" w:noHBand="0" w:noVBand="1"/>
      </w:tblPr>
      <w:tblGrid>
        <w:gridCol w:w="3048"/>
        <w:gridCol w:w="1060"/>
        <w:gridCol w:w="975"/>
        <w:gridCol w:w="960"/>
        <w:gridCol w:w="955"/>
        <w:gridCol w:w="955"/>
        <w:gridCol w:w="955"/>
      </w:tblGrid>
      <w:tr w:rsidR="005E70B9" w14:paraId="4E43AA44" w14:textId="77777777" w:rsidTr="00D40956">
        <w:trPr>
          <w:trHeight w:val="296"/>
        </w:trPr>
        <w:tc>
          <w:tcPr>
            <w:tcW w:w="3048" w:type="dxa"/>
            <w:tcBorders>
              <w:top w:val="single" w:sz="4" w:space="0" w:color="auto"/>
              <w:bottom w:val="single" w:sz="4" w:space="0" w:color="auto"/>
              <w:right w:val="single" w:sz="4" w:space="0" w:color="auto"/>
            </w:tcBorders>
            <w:tcMar>
              <w:top w:w="0" w:type="dxa"/>
              <w:left w:w="45" w:type="dxa"/>
              <w:bottom w:w="0" w:type="dxa"/>
              <w:right w:w="45" w:type="dxa"/>
            </w:tcMar>
            <w:vAlign w:val="center"/>
          </w:tcPr>
          <w:p w14:paraId="2F48EEF1" w14:textId="77777777" w:rsidR="005E70B9" w:rsidRDefault="005E70B9">
            <w:pPr>
              <w:rPr>
                <w:rFonts w:ascii="Times New Roman" w:eastAsia="Times New Roman" w:hAnsi="Times New Roman" w:cs="Times New Roman"/>
                <w:b/>
              </w:rPr>
            </w:pPr>
          </w:p>
        </w:tc>
        <w:tc>
          <w:tcPr>
            <w:tcW w:w="1060" w:type="dxa"/>
            <w:tcBorders>
              <w:top w:val="single" w:sz="4" w:space="0" w:color="auto"/>
              <w:left w:val="single" w:sz="4" w:space="0" w:color="auto"/>
              <w:bottom w:val="single" w:sz="4" w:space="0" w:color="auto"/>
            </w:tcBorders>
            <w:tcMar>
              <w:top w:w="0" w:type="dxa"/>
              <w:left w:w="45" w:type="dxa"/>
              <w:bottom w:w="0" w:type="dxa"/>
              <w:right w:w="45" w:type="dxa"/>
            </w:tcMar>
            <w:vAlign w:val="center"/>
          </w:tcPr>
          <w:p w14:paraId="1C03672C"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S&amp;P 500</w:t>
            </w:r>
          </w:p>
        </w:tc>
        <w:tc>
          <w:tcPr>
            <w:tcW w:w="975" w:type="dxa"/>
            <w:tcBorders>
              <w:top w:val="single" w:sz="4" w:space="0" w:color="auto"/>
              <w:bottom w:val="single" w:sz="4" w:space="0" w:color="auto"/>
            </w:tcBorders>
            <w:shd w:val="clear" w:color="auto" w:fill="FFF2CC" w:themeFill="accent4" w:themeFillTint="33"/>
            <w:tcMar>
              <w:top w:w="0" w:type="dxa"/>
              <w:left w:w="45" w:type="dxa"/>
              <w:bottom w:w="0" w:type="dxa"/>
              <w:right w:w="45" w:type="dxa"/>
            </w:tcMar>
            <w:vAlign w:val="center"/>
          </w:tcPr>
          <w:p w14:paraId="4999D1BC"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SVR</w:t>
            </w:r>
          </w:p>
        </w:tc>
        <w:tc>
          <w:tcPr>
            <w:tcW w:w="960" w:type="dxa"/>
            <w:tcBorders>
              <w:top w:val="single" w:sz="4" w:space="0" w:color="auto"/>
              <w:bottom w:val="single" w:sz="4" w:space="0" w:color="auto"/>
            </w:tcBorders>
            <w:tcMar>
              <w:top w:w="0" w:type="dxa"/>
              <w:left w:w="45" w:type="dxa"/>
              <w:bottom w:w="0" w:type="dxa"/>
              <w:right w:w="45" w:type="dxa"/>
            </w:tcMar>
            <w:vAlign w:val="center"/>
          </w:tcPr>
          <w:p w14:paraId="2D0FEF77"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OLS</w:t>
            </w:r>
          </w:p>
        </w:tc>
        <w:tc>
          <w:tcPr>
            <w:tcW w:w="955" w:type="dxa"/>
            <w:tcBorders>
              <w:top w:val="single" w:sz="4" w:space="0" w:color="auto"/>
              <w:bottom w:val="single" w:sz="4" w:space="0" w:color="auto"/>
            </w:tcBorders>
            <w:tcMar>
              <w:top w:w="0" w:type="dxa"/>
              <w:left w:w="45" w:type="dxa"/>
              <w:bottom w:w="0" w:type="dxa"/>
              <w:right w:w="45" w:type="dxa"/>
            </w:tcMar>
            <w:vAlign w:val="center"/>
          </w:tcPr>
          <w:p w14:paraId="57627DB9"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MLP</w:t>
            </w:r>
          </w:p>
        </w:tc>
        <w:tc>
          <w:tcPr>
            <w:tcW w:w="955" w:type="dxa"/>
            <w:tcBorders>
              <w:top w:val="single" w:sz="4" w:space="0" w:color="auto"/>
              <w:bottom w:val="single" w:sz="4" w:space="0" w:color="auto"/>
            </w:tcBorders>
            <w:tcMar>
              <w:top w:w="0" w:type="dxa"/>
              <w:left w:w="45" w:type="dxa"/>
              <w:bottom w:w="0" w:type="dxa"/>
              <w:right w:w="45" w:type="dxa"/>
            </w:tcMar>
            <w:vAlign w:val="center"/>
          </w:tcPr>
          <w:p w14:paraId="787E05B5"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KNN</w:t>
            </w:r>
          </w:p>
        </w:tc>
        <w:tc>
          <w:tcPr>
            <w:tcW w:w="955" w:type="dxa"/>
            <w:tcBorders>
              <w:top w:val="single" w:sz="4" w:space="0" w:color="auto"/>
              <w:bottom w:val="single" w:sz="4" w:space="0" w:color="auto"/>
            </w:tcBorders>
            <w:tcMar>
              <w:top w:w="0" w:type="dxa"/>
              <w:left w:w="45" w:type="dxa"/>
              <w:bottom w:w="0" w:type="dxa"/>
              <w:right w:w="45" w:type="dxa"/>
            </w:tcMar>
            <w:vAlign w:val="center"/>
          </w:tcPr>
          <w:p w14:paraId="15ADF95A"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RF</w:t>
            </w:r>
          </w:p>
        </w:tc>
      </w:tr>
      <w:tr w:rsidR="005E70B9" w14:paraId="72EBCF59" w14:textId="77777777" w:rsidTr="00D40956">
        <w:trPr>
          <w:trHeight w:val="296"/>
        </w:trPr>
        <w:tc>
          <w:tcPr>
            <w:tcW w:w="3048" w:type="dxa"/>
            <w:tcBorders>
              <w:top w:val="single" w:sz="4" w:space="0" w:color="auto"/>
              <w:right w:val="single" w:sz="4" w:space="0" w:color="auto"/>
            </w:tcBorders>
            <w:tcMar>
              <w:top w:w="0" w:type="dxa"/>
              <w:left w:w="45" w:type="dxa"/>
              <w:bottom w:w="0" w:type="dxa"/>
              <w:right w:w="45" w:type="dxa"/>
            </w:tcMar>
            <w:vAlign w:val="center"/>
          </w:tcPr>
          <w:p w14:paraId="14E7D1DD"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Cumulative Return</w:t>
            </w:r>
          </w:p>
        </w:tc>
        <w:tc>
          <w:tcPr>
            <w:tcW w:w="1060" w:type="dxa"/>
            <w:tcBorders>
              <w:top w:val="single" w:sz="4" w:space="0" w:color="auto"/>
              <w:left w:val="single" w:sz="4" w:space="0" w:color="auto"/>
            </w:tcBorders>
            <w:tcMar>
              <w:top w:w="0" w:type="dxa"/>
              <w:left w:w="45" w:type="dxa"/>
              <w:bottom w:w="0" w:type="dxa"/>
              <w:right w:w="45" w:type="dxa"/>
            </w:tcMar>
            <w:vAlign w:val="center"/>
          </w:tcPr>
          <w:p w14:paraId="1C6AD8F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2.74584</w:t>
            </w:r>
          </w:p>
        </w:tc>
        <w:tc>
          <w:tcPr>
            <w:tcW w:w="975" w:type="dxa"/>
            <w:tcBorders>
              <w:top w:val="single" w:sz="4" w:space="0" w:color="auto"/>
            </w:tcBorders>
            <w:shd w:val="clear" w:color="auto" w:fill="FFF2CC" w:themeFill="accent4" w:themeFillTint="33"/>
            <w:tcMar>
              <w:top w:w="0" w:type="dxa"/>
              <w:left w:w="45" w:type="dxa"/>
              <w:bottom w:w="0" w:type="dxa"/>
              <w:right w:w="45" w:type="dxa"/>
            </w:tcMar>
            <w:vAlign w:val="center"/>
          </w:tcPr>
          <w:p w14:paraId="4A13233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3.45843</w:t>
            </w:r>
          </w:p>
        </w:tc>
        <w:tc>
          <w:tcPr>
            <w:tcW w:w="960" w:type="dxa"/>
            <w:tcBorders>
              <w:top w:val="single" w:sz="4" w:space="0" w:color="auto"/>
            </w:tcBorders>
            <w:tcMar>
              <w:top w:w="0" w:type="dxa"/>
              <w:left w:w="45" w:type="dxa"/>
              <w:bottom w:w="0" w:type="dxa"/>
              <w:right w:w="45" w:type="dxa"/>
            </w:tcMar>
            <w:vAlign w:val="center"/>
          </w:tcPr>
          <w:p w14:paraId="5B3C10B6"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3.60092</w:t>
            </w:r>
          </w:p>
        </w:tc>
        <w:tc>
          <w:tcPr>
            <w:tcW w:w="955" w:type="dxa"/>
            <w:tcBorders>
              <w:top w:val="single" w:sz="4" w:space="0" w:color="auto"/>
            </w:tcBorders>
            <w:tcMar>
              <w:top w:w="0" w:type="dxa"/>
              <w:left w:w="45" w:type="dxa"/>
              <w:bottom w:w="0" w:type="dxa"/>
              <w:right w:w="45" w:type="dxa"/>
            </w:tcMar>
            <w:vAlign w:val="center"/>
          </w:tcPr>
          <w:p w14:paraId="2A59F461"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2.68016</w:t>
            </w:r>
          </w:p>
        </w:tc>
        <w:tc>
          <w:tcPr>
            <w:tcW w:w="955" w:type="dxa"/>
            <w:tcBorders>
              <w:top w:val="single" w:sz="4" w:space="0" w:color="auto"/>
            </w:tcBorders>
            <w:tcMar>
              <w:top w:w="0" w:type="dxa"/>
              <w:left w:w="45" w:type="dxa"/>
              <w:bottom w:w="0" w:type="dxa"/>
              <w:right w:w="45" w:type="dxa"/>
            </w:tcMar>
            <w:vAlign w:val="center"/>
          </w:tcPr>
          <w:p w14:paraId="5800F40B"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1.76054</w:t>
            </w:r>
          </w:p>
        </w:tc>
        <w:tc>
          <w:tcPr>
            <w:tcW w:w="955" w:type="dxa"/>
            <w:tcBorders>
              <w:top w:val="single" w:sz="4" w:space="0" w:color="auto"/>
            </w:tcBorders>
            <w:tcMar>
              <w:top w:w="0" w:type="dxa"/>
              <w:left w:w="45" w:type="dxa"/>
              <w:bottom w:w="0" w:type="dxa"/>
              <w:right w:w="45" w:type="dxa"/>
            </w:tcMar>
            <w:vAlign w:val="center"/>
          </w:tcPr>
          <w:p w14:paraId="379F3CC9"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1.95826</w:t>
            </w:r>
          </w:p>
        </w:tc>
      </w:tr>
      <w:tr w:rsidR="005E70B9" w14:paraId="7FDE5EC9"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5B7E6B7D"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Annualized Geometric Return</w:t>
            </w:r>
          </w:p>
        </w:tc>
        <w:tc>
          <w:tcPr>
            <w:tcW w:w="1060" w:type="dxa"/>
            <w:tcBorders>
              <w:left w:val="single" w:sz="4" w:space="0" w:color="auto"/>
            </w:tcBorders>
            <w:tcMar>
              <w:top w:w="0" w:type="dxa"/>
              <w:left w:w="45" w:type="dxa"/>
              <w:bottom w:w="0" w:type="dxa"/>
              <w:right w:w="45" w:type="dxa"/>
            </w:tcMar>
            <w:vAlign w:val="center"/>
          </w:tcPr>
          <w:p w14:paraId="1BEE7274"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0.14160</w:t>
            </w:r>
          </w:p>
        </w:tc>
        <w:tc>
          <w:tcPr>
            <w:tcW w:w="975" w:type="dxa"/>
            <w:shd w:val="clear" w:color="auto" w:fill="FFF2CC" w:themeFill="accent4" w:themeFillTint="33"/>
            <w:tcMar>
              <w:top w:w="0" w:type="dxa"/>
              <w:left w:w="45" w:type="dxa"/>
              <w:bottom w:w="0" w:type="dxa"/>
              <w:right w:w="45" w:type="dxa"/>
            </w:tcMar>
            <w:vAlign w:val="center"/>
          </w:tcPr>
          <w:p w14:paraId="25A9900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0.16171</w:t>
            </w:r>
          </w:p>
        </w:tc>
        <w:tc>
          <w:tcPr>
            <w:tcW w:w="960" w:type="dxa"/>
            <w:tcMar>
              <w:top w:w="0" w:type="dxa"/>
              <w:left w:w="45" w:type="dxa"/>
              <w:bottom w:w="0" w:type="dxa"/>
              <w:right w:w="45" w:type="dxa"/>
            </w:tcMar>
            <w:vAlign w:val="center"/>
          </w:tcPr>
          <w:p w14:paraId="750725B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0.16538</w:t>
            </w:r>
          </w:p>
        </w:tc>
        <w:tc>
          <w:tcPr>
            <w:tcW w:w="955" w:type="dxa"/>
            <w:tcMar>
              <w:top w:w="0" w:type="dxa"/>
              <w:left w:w="45" w:type="dxa"/>
              <w:bottom w:w="0" w:type="dxa"/>
              <w:right w:w="45" w:type="dxa"/>
            </w:tcMar>
            <w:vAlign w:val="center"/>
          </w:tcPr>
          <w:p w14:paraId="2E3FFBFC"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0.13957</w:t>
            </w:r>
          </w:p>
        </w:tc>
        <w:tc>
          <w:tcPr>
            <w:tcW w:w="955" w:type="dxa"/>
            <w:tcMar>
              <w:top w:w="0" w:type="dxa"/>
              <w:left w:w="45" w:type="dxa"/>
              <w:bottom w:w="0" w:type="dxa"/>
              <w:right w:w="45" w:type="dxa"/>
            </w:tcMar>
            <w:vAlign w:val="center"/>
          </w:tcPr>
          <w:p w14:paraId="67B2C61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0.10719</w:t>
            </w:r>
          </w:p>
        </w:tc>
        <w:tc>
          <w:tcPr>
            <w:tcW w:w="955" w:type="dxa"/>
            <w:tcMar>
              <w:top w:w="0" w:type="dxa"/>
              <w:left w:w="45" w:type="dxa"/>
              <w:bottom w:w="0" w:type="dxa"/>
              <w:right w:w="45" w:type="dxa"/>
            </w:tcMar>
            <w:vAlign w:val="center"/>
          </w:tcPr>
          <w:p w14:paraId="50664E8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0.11489</w:t>
            </w:r>
          </w:p>
        </w:tc>
      </w:tr>
      <w:tr w:rsidR="005E70B9" w14:paraId="63363421"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10E74081"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Annualized Volatility</w:t>
            </w:r>
          </w:p>
        </w:tc>
        <w:tc>
          <w:tcPr>
            <w:tcW w:w="1060" w:type="dxa"/>
            <w:tcBorders>
              <w:left w:val="single" w:sz="4" w:space="0" w:color="auto"/>
            </w:tcBorders>
            <w:tcMar>
              <w:top w:w="0" w:type="dxa"/>
              <w:left w:w="45" w:type="dxa"/>
              <w:bottom w:w="0" w:type="dxa"/>
              <w:right w:w="45" w:type="dxa"/>
            </w:tcMar>
            <w:vAlign w:val="center"/>
          </w:tcPr>
          <w:p w14:paraId="12A25588"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0.14844</w:t>
            </w:r>
          </w:p>
        </w:tc>
        <w:tc>
          <w:tcPr>
            <w:tcW w:w="975" w:type="dxa"/>
            <w:shd w:val="clear" w:color="auto" w:fill="FFF2CC" w:themeFill="accent4" w:themeFillTint="33"/>
            <w:tcMar>
              <w:top w:w="0" w:type="dxa"/>
              <w:left w:w="45" w:type="dxa"/>
              <w:bottom w:w="0" w:type="dxa"/>
              <w:right w:w="45" w:type="dxa"/>
            </w:tcMar>
            <w:vAlign w:val="center"/>
          </w:tcPr>
          <w:p w14:paraId="78B7EC83"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0.16334</w:t>
            </w:r>
          </w:p>
        </w:tc>
        <w:tc>
          <w:tcPr>
            <w:tcW w:w="960" w:type="dxa"/>
            <w:tcMar>
              <w:top w:w="0" w:type="dxa"/>
              <w:left w:w="45" w:type="dxa"/>
              <w:bottom w:w="0" w:type="dxa"/>
              <w:right w:w="45" w:type="dxa"/>
            </w:tcMar>
            <w:vAlign w:val="center"/>
          </w:tcPr>
          <w:p w14:paraId="42F960F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0.17730</w:t>
            </w:r>
          </w:p>
        </w:tc>
        <w:tc>
          <w:tcPr>
            <w:tcW w:w="955" w:type="dxa"/>
            <w:tcMar>
              <w:top w:w="0" w:type="dxa"/>
              <w:left w:w="45" w:type="dxa"/>
              <w:bottom w:w="0" w:type="dxa"/>
              <w:right w:w="45" w:type="dxa"/>
            </w:tcMar>
            <w:vAlign w:val="center"/>
          </w:tcPr>
          <w:p w14:paraId="7408C10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0.15154</w:t>
            </w:r>
          </w:p>
        </w:tc>
        <w:tc>
          <w:tcPr>
            <w:tcW w:w="955" w:type="dxa"/>
            <w:tcMar>
              <w:top w:w="0" w:type="dxa"/>
              <w:left w:w="45" w:type="dxa"/>
              <w:bottom w:w="0" w:type="dxa"/>
              <w:right w:w="45" w:type="dxa"/>
            </w:tcMar>
            <w:vAlign w:val="center"/>
          </w:tcPr>
          <w:p w14:paraId="0EE34F8B"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0.16598</w:t>
            </w:r>
          </w:p>
        </w:tc>
        <w:tc>
          <w:tcPr>
            <w:tcW w:w="955" w:type="dxa"/>
            <w:tcMar>
              <w:top w:w="0" w:type="dxa"/>
              <w:left w:w="45" w:type="dxa"/>
              <w:bottom w:w="0" w:type="dxa"/>
              <w:right w:w="45" w:type="dxa"/>
            </w:tcMar>
            <w:vAlign w:val="center"/>
          </w:tcPr>
          <w:p w14:paraId="416F3AF9"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0.15201</w:t>
            </w:r>
          </w:p>
        </w:tc>
      </w:tr>
      <w:tr w:rsidR="005E70B9" w14:paraId="2589F52F"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317AAF61"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Sharpe Ratio</w:t>
            </w:r>
          </w:p>
        </w:tc>
        <w:tc>
          <w:tcPr>
            <w:tcW w:w="1060" w:type="dxa"/>
            <w:tcBorders>
              <w:left w:val="single" w:sz="4" w:space="0" w:color="auto"/>
            </w:tcBorders>
            <w:tcMar>
              <w:top w:w="0" w:type="dxa"/>
              <w:left w:w="45" w:type="dxa"/>
              <w:bottom w:w="0" w:type="dxa"/>
              <w:right w:w="45" w:type="dxa"/>
            </w:tcMar>
            <w:vAlign w:val="center"/>
          </w:tcPr>
          <w:p w14:paraId="4AA6EA7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0.96603</w:t>
            </w:r>
          </w:p>
        </w:tc>
        <w:tc>
          <w:tcPr>
            <w:tcW w:w="975" w:type="dxa"/>
            <w:shd w:val="clear" w:color="auto" w:fill="FFF2CC" w:themeFill="accent4" w:themeFillTint="33"/>
            <w:tcMar>
              <w:top w:w="0" w:type="dxa"/>
              <w:left w:w="45" w:type="dxa"/>
              <w:bottom w:w="0" w:type="dxa"/>
              <w:right w:w="45" w:type="dxa"/>
            </w:tcMar>
            <w:vAlign w:val="center"/>
          </w:tcPr>
          <w:p w14:paraId="007DA2F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1.00033</w:t>
            </w:r>
          </w:p>
        </w:tc>
        <w:tc>
          <w:tcPr>
            <w:tcW w:w="960" w:type="dxa"/>
            <w:tcMar>
              <w:top w:w="0" w:type="dxa"/>
              <w:left w:w="45" w:type="dxa"/>
              <w:bottom w:w="0" w:type="dxa"/>
              <w:right w:w="45" w:type="dxa"/>
            </w:tcMar>
            <w:vAlign w:val="center"/>
          </w:tcPr>
          <w:p w14:paraId="6EE26986"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0.95106</w:t>
            </w:r>
          </w:p>
        </w:tc>
        <w:tc>
          <w:tcPr>
            <w:tcW w:w="955" w:type="dxa"/>
            <w:tcMar>
              <w:top w:w="0" w:type="dxa"/>
              <w:left w:w="45" w:type="dxa"/>
              <w:bottom w:w="0" w:type="dxa"/>
              <w:right w:w="45" w:type="dxa"/>
            </w:tcMar>
            <w:vAlign w:val="center"/>
          </w:tcPr>
          <w:p w14:paraId="7EF71A8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0.93860</w:t>
            </w:r>
          </w:p>
        </w:tc>
        <w:tc>
          <w:tcPr>
            <w:tcW w:w="955" w:type="dxa"/>
            <w:tcMar>
              <w:top w:w="0" w:type="dxa"/>
              <w:left w:w="45" w:type="dxa"/>
              <w:bottom w:w="0" w:type="dxa"/>
              <w:right w:w="45" w:type="dxa"/>
            </w:tcMar>
            <w:vAlign w:val="center"/>
          </w:tcPr>
          <w:p w14:paraId="68C2E671"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0.69633</w:t>
            </w:r>
          </w:p>
        </w:tc>
        <w:tc>
          <w:tcPr>
            <w:tcW w:w="955" w:type="dxa"/>
            <w:tcMar>
              <w:top w:w="0" w:type="dxa"/>
              <w:left w:w="45" w:type="dxa"/>
              <w:bottom w:w="0" w:type="dxa"/>
              <w:right w:w="45" w:type="dxa"/>
            </w:tcMar>
            <w:vAlign w:val="center"/>
          </w:tcPr>
          <w:p w14:paraId="180F7F0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0.79096</w:t>
            </w:r>
          </w:p>
        </w:tc>
      </w:tr>
      <w:tr w:rsidR="005E70B9" w14:paraId="064E956F"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388FCF49"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Maximum Drawdown</w:t>
            </w:r>
          </w:p>
        </w:tc>
        <w:tc>
          <w:tcPr>
            <w:tcW w:w="1060" w:type="dxa"/>
            <w:tcBorders>
              <w:left w:val="single" w:sz="4" w:space="0" w:color="auto"/>
            </w:tcBorders>
            <w:tcMar>
              <w:top w:w="0" w:type="dxa"/>
              <w:left w:w="45" w:type="dxa"/>
              <w:bottom w:w="0" w:type="dxa"/>
              <w:right w:w="45" w:type="dxa"/>
            </w:tcMar>
            <w:vAlign w:val="center"/>
          </w:tcPr>
          <w:p w14:paraId="000FFAB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-0.31810</w:t>
            </w:r>
          </w:p>
        </w:tc>
        <w:tc>
          <w:tcPr>
            <w:tcW w:w="975" w:type="dxa"/>
            <w:shd w:val="clear" w:color="auto" w:fill="FFF2CC" w:themeFill="accent4" w:themeFillTint="33"/>
            <w:tcMar>
              <w:top w:w="0" w:type="dxa"/>
              <w:left w:w="45" w:type="dxa"/>
              <w:bottom w:w="0" w:type="dxa"/>
              <w:right w:w="45" w:type="dxa"/>
            </w:tcMar>
            <w:vAlign w:val="center"/>
          </w:tcPr>
          <w:p w14:paraId="0012E8A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-0.37977</w:t>
            </w:r>
          </w:p>
        </w:tc>
        <w:tc>
          <w:tcPr>
            <w:tcW w:w="960" w:type="dxa"/>
            <w:tcMar>
              <w:top w:w="0" w:type="dxa"/>
              <w:left w:w="45" w:type="dxa"/>
              <w:bottom w:w="0" w:type="dxa"/>
              <w:right w:w="45" w:type="dxa"/>
            </w:tcMar>
            <w:vAlign w:val="center"/>
          </w:tcPr>
          <w:p w14:paraId="7072EBE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-0.35290</w:t>
            </w:r>
          </w:p>
        </w:tc>
        <w:tc>
          <w:tcPr>
            <w:tcW w:w="955" w:type="dxa"/>
            <w:tcMar>
              <w:top w:w="0" w:type="dxa"/>
              <w:left w:w="45" w:type="dxa"/>
              <w:bottom w:w="0" w:type="dxa"/>
              <w:right w:w="45" w:type="dxa"/>
            </w:tcMar>
            <w:vAlign w:val="center"/>
          </w:tcPr>
          <w:p w14:paraId="03D224F6"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-0.32499</w:t>
            </w:r>
          </w:p>
        </w:tc>
        <w:tc>
          <w:tcPr>
            <w:tcW w:w="955" w:type="dxa"/>
            <w:tcMar>
              <w:top w:w="0" w:type="dxa"/>
              <w:left w:w="45" w:type="dxa"/>
              <w:bottom w:w="0" w:type="dxa"/>
              <w:right w:w="45" w:type="dxa"/>
            </w:tcMar>
            <w:vAlign w:val="center"/>
          </w:tcPr>
          <w:p w14:paraId="2FE0951C"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-0.32769</w:t>
            </w:r>
          </w:p>
        </w:tc>
        <w:tc>
          <w:tcPr>
            <w:tcW w:w="955" w:type="dxa"/>
            <w:tcMar>
              <w:top w:w="0" w:type="dxa"/>
              <w:left w:w="45" w:type="dxa"/>
              <w:bottom w:w="0" w:type="dxa"/>
              <w:right w:w="45" w:type="dxa"/>
            </w:tcMar>
            <w:vAlign w:val="center"/>
          </w:tcPr>
          <w:p w14:paraId="55C51F4C"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-0.24680</w:t>
            </w:r>
          </w:p>
        </w:tc>
      </w:tr>
      <w:tr w:rsidR="005E70B9" w14:paraId="5C60EC24"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0FC7693E" w14:textId="77777777" w:rsidR="005E70B9" w:rsidRDefault="00D40956">
            <w:pPr>
              <w:rPr>
                <w:rFonts w:ascii="Times New Roman" w:eastAsia="Times New Roman" w:hAnsi="Times New Roman" w:cs="Times New Roman"/>
                <w:b/>
              </w:rPr>
            </w:pPr>
            <w:proofErr w:type="spellStart"/>
            <w:r>
              <w:rPr>
                <w:rFonts w:ascii="Times New Roman" w:eastAsia="Times New Roman" w:hAnsi="Times New Roman" w:cs="Times New Roman"/>
                <w:b/>
              </w:rPr>
              <w:t>Sortino</w:t>
            </w:r>
            <w:proofErr w:type="spellEnd"/>
            <w:r>
              <w:rPr>
                <w:rFonts w:ascii="Times New Roman" w:eastAsia="Times New Roman" w:hAnsi="Times New Roman" w:cs="Times New Roman"/>
                <w:b/>
              </w:rPr>
              <w:t xml:space="preserve"> Ratio</w:t>
            </w:r>
          </w:p>
        </w:tc>
        <w:tc>
          <w:tcPr>
            <w:tcW w:w="1060" w:type="dxa"/>
            <w:tcBorders>
              <w:left w:val="single" w:sz="4" w:space="0" w:color="auto"/>
            </w:tcBorders>
            <w:tcMar>
              <w:top w:w="0" w:type="dxa"/>
              <w:left w:w="45" w:type="dxa"/>
              <w:bottom w:w="0" w:type="dxa"/>
              <w:right w:w="45" w:type="dxa"/>
            </w:tcMar>
            <w:vAlign w:val="center"/>
          </w:tcPr>
          <w:p w14:paraId="701D1F8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1.55916</w:t>
            </w:r>
          </w:p>
        </w:tc>
        <w:tc>
          <w:tcPr>
            <w:tcW w:w="975" w:type="dxa"/>
            <w:shd w:val="clear" w:color="auto" w:fill="FFF2CC" w:themeFill="accent4" w:themeFillTint="33"/>
            <w:tcMar>
              <w:top w:w="0" w:type="dxa"/>
              <w:left w:w="45" w:type="dxa"/>
              <w:bottom w:w="0" w:type="dxa"/>
              <w:right w:w="45" w:type="dxa"/>
            </w:tcMar>
            <w:vAlign w:val="center"/>
          </w:tcPr>
          <w:p w14:paraId="28504E9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1.79207</w:t>
            </w:r>
          </w:p>
        </w:tc>
        <w:tc>
          <w:tcPr>
            <w:tcW w:w="960" w:type="dxa"/>
            <w:tcMar>
              <w:top w:w="0" w:type="dxa"/>
              <w:left w:w="45" w:type="dxa"/>
              <w:bottom w:w="0" w:type="dxa"/>
              <w:right w:w="45" w:type="dxa"/>
            </w:tcMar>
            <w:vAlign w:val="center"/>
          </w:tcPr>
          <w:p w14:paraId="2BE500E8"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1.43274</w:t>
            </w:r>
          </w:p>
        </w:tc>
        <w:tc>
          <w:tcPr>
            <w:tcW w:w="955" w:type="dxa"/>
            <w:tcMar>
              <w:top w:w="0" w:type="dxa"/>
              <w:left w:w="45" w:type="dxa"/>
              <w:bottom w:w="0" w:type="dxa"/>
              <w:right w:w="45" w:type="dxa"/>
            </w:tcMar>
            <w:vAlign w:val="center"/>
          </w:tcPr>
          <w:p w14:paraId="0B60814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1.56157</w:t>
            </w:r>
          </w:p>
        </w:tc>
        <w:tc>
          <w:tcPr>
            <w:tcW w:w="955" w:type="dxa"/>
            <w:tcMar>
              <w:top w:w="0" w:type="dxa"/>
              <w:left w:w="45" w:type="dxa"/>
              <w:bottom w:w="0" w:type="dxa"/>
              <w:right w:w="45" w:type="dxa"/>
            </w:tcMar>
            <w:vAlign w:val="center"/>
          </w:tcPr>
          <w:p w14:paraId="104C2EBA"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1.10630</w:t>
            </w:r>
          </w:p>
        </w:tc>
        <w:tc>
          <w:tcPr>
            <w:tcW w:w="955" w:type="dxa"/>
            <w:tcMar>
              <w:top w:w="0" w:type="dxa"/>
              <w:left w:w="45" w:type="dxa"/>
              <w:bottom w:w="0" w:type="dxa"/>
              <w:right w:w="45" w:type="dxa"/>
            </w:tcMar>
            <w:vAlign w:val="center"/>
          </w:tcPr>
          <w:p w14:paraId="55A9564F"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1.42029</w:t>
            </w:r>
          </w:p>
        </w:tc>
      </w:tr>
      <w:tr w:rsidR="005E70B9" w14:paraId="68A27FAE"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0D4FF9F2"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Calmar Ratio</w:t>
            </w:r>
          </w:p>
        </w:tc>
        <w:tc>
          <w:tcPr>
            <w:tcW w:w="1060" w:type="dxa"/>
            <w:tcBorders>
              <w:left w:val="single" w:sz="4" w:space="0" w:color="auto"/>
            </w:tcBorders>
            <w:tcMar>
              <w:top w:w="0" w:type="dxa"/>
              <w:left w:w="45" w:type="dxa"/>
              <w:bottom w:w="0" w:type="dxa"/>
              <w:right w:w="45" w:type="dxa"/>
            </w:tcMar>
            <w:vAlign w:val="center"/>
          </w:tcPr>
          <w:p w14:paraId="50347CB9"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0.44513</w:t>
            </w:r>
          </w:p>
        </w:tc>
        <w:tc>
          <w:tcPr>
            <w:tcW w:w="975" w:type="dxa"/>
            <w:shd w:val="clear" w:color="auto" w:fill="FFF2CC" w:themeFill="accent4" w:themeFillTint="33"/>
            <w:tcMar>
              <w:top w:w="0" w:type="dxa"/>
              <w:left w:w="45" w:type="dxa"/>
              <w:bottom w:w="0" w:type="dxa"/>
              <w:right w:w="45" w:type="dxa"/>
            </w:tcMar>
            <w:vAlign w:val="center"/>
          </w:tcPr>
          <w:p w14:paraId="08A1ADD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0.42580</w:t>
            </w:r>
          </w:p>
        </w:tc>
        <w:tc>
          <w:tcPr>
            <w:tcW w:w="960" w:type="dxa"/>
            <w:tcMar>
              <w:top w:w="0" w:type="dxa"/>
              <w:left w:w="45" w:type="dxa"/>
              <w:bottom w:w="0" w:type="dxa"/>
              <w:right w:w="45" w:type="dxa"/>
            </w:tcMar>
            <w:vAlign w:val="center"/>
          </w:tcPr>
          <w:p w14:paraId="3D95A78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0.46863</w:t>
            </w:r>
          </w:p>
        </w:tc>
        <w:tc>
          <w:tcPr>
            <w:tcW w:w="955" w:type="dxa"/>
            <w:tcMar>
              <w:top w:w="0" w:type="dxa"/>
              <w:left w:w="45" w:type="dxa"/>
              <w:bottom w:w="0" w:type="dxa"/>
              <w:right w:w="45" w:type="dxa"/>
            </w:tcMar>
            <w:vAlign w:val="center"/>
          </w:tcPr>
          <w:p w14:paraId="3149C5C2"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0.42947</w:t>
            </w:r>
          </w:p>
        </w:tc>
        <w:tc>
          <w:tcPr>
            <w:tcW w:w="955" w:type="dxa"/>
            <w:tcMar>
              <w:top w:w="0" w:type="dxa"/>
              <w:left w:w="45" w:type="dxa"/>
              <w:bottom w:w="0" w:type="dxa"/>
              <w:right w:w="45" w:type="dxa"/>
            </w:tcMar>
            <w:vAlign w:val="center"/>
          </w:tcPr>
          <w:p w14:paraId="76346EC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0.32710</w:t>
            </w:r>
          </w:p>
        </w:tc>
        <w:tc>
          <w:tcPr>
            <w:tcW w:w="955" w:type="dxa"/>
            <w:tcMar>
              <w:top w:w="0" w:type="dxa"/>
              <w:left w:w="45" w:type="dxa"/>
              <w:bottom w:w="0" w:type="dxa"/>
              <w:right w:w="45" w:type="dxa"/>
            </w:tcMar>
            <w:vAlign w:val="center"/>
          </w:tcPr>
          <w:p w14:paraId="548AB73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0.46553</w:t>
            </w:r>
          </w:p>
        </w:tc>
      </w:tr>
      <w:tr w:rsidR="005E70B9" w14:paraId="455000D0" w14:textId="77777777" w:rsidTr="00D40956">
        <w:trPr>
          <w:trHeight w:val="296"/>
        </w:trPr>
        <w:tc>
          <w:tcPr>
            <w:tcW w:w="3048" w:type="dxa"/>
            <w:tcBorders>
              <w:right w:val="single" w:sz="4" w:space="0" w:color="auto"/>
            </w:tcBorders>
            <w:tcMar>
              <w:top w:w="0" w:type="dxa"/>
              <w:left w:w="45" w:type="dxa"/>
              <w:bottom w:w="0" w:type="dxa"/>
              <w:right w:w="45" w:type="dxa"/>
            </w:tcMar>
            <w:vAlign w:val="center"/>
          </w:tcPr>
          <w:p w14:paraId="3D092ED9" w14:textId="77777777" w:rsidR="005E70B9" w:rsidRDefault="00D40956">
            <w:pPr>
              <w:rPr>
                <w:rFonts w:ascii="Times New Roman" w:eastAsia="Times New Roman" w:hAnsi="Times New Roman" w:cs="Times New Roman"/>
                <w:b/>
              </w:rPr>
            </w:pPr>
            <w:proofErr w:type="spellStart"/>
            <w:r>
              <w:rPr>
                <w:rFonts w:ascii="Times New Roman" w:eastAsia="Times New Roman" w:hAnsi="Times New Roman" w:cs="Times New Roman"/>
                <w:b/>
              </w:rPr>
              <w:t>VaR</w:t>
            </w:r>
            <w:proofErr w:type="spellEnd"/>
          </w:p>
        </w:tc>
        <w:tc>
          <w:tcPr>
            <w:tcW w:w="1060" w:type="dxa"/>
            <w:tcBorders>
              <w:left w:val="single" w:sz="4" w:space="0" w:color="auto"/>
            </w:tcBorders>
            <w:tcMar>
              <w:top w:w="0" w:type="dxa"/>
              <w:left w:w="45" w:type="dxa"/>
              <w:bottom w:w="0" w:type="dxa"/>
              <w:right w:w="45" w:type="dxa"/>
            </w:tcMar>
            <w:vAlign w:val="center"/>
          </w:tcPr>
          <w:p w14:paraId="2456FF3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0.02693</w:t>
            </w:r>
          </w:p>
        </w:tc>
        <w:tc>
          <w:tcPr>
            <w:tcW w:w="975" w:type="dxa"/>
            <w:shd w:val="clear" w:color="auto" w:fill="FFF2CC" w:themeFill="accent4" w:themeFillTint="33"/>
            <w:tcMar>
              <w:top w:w="0" w:type="dxa"/>
              <w:left w:w="45" w:type="dxa"/>
              <w:bottom w:w="0" w:type="dxa"/>
              <w:right w:w="45" w:type="dxa"/>
            </w:tcMar>
            <w:vAlign w:val="center"/>
          </w:tcPr>
          <w:p w14:paraId="388AC125"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0.02995</w:t>
            </w:r>
          </w:p>
        </w:tc>
        <w:tc>
          <w:tcPr>
            <w:tcW w:w="960" w:type="dxa"/>
            <w:tcMar>
              <w:top w:w="0" w:type="dxa"/>
              <w:left w:w="45" w:type="dxa"/>
              <w:bottom w:w="0" w:type="dxa"/>
              <w:right w:w="45" w:type="dxa"/>
            </w:tcMar>
            <w:vAlign w:val="center"/>
          </w:tcPr>
          <w:p w14:paraId="3E207731"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0.03371</w:t>
            </w:r>
          </w:p>
        </w:tc>
        <w:tc>
          <w:tcPr>
            <w:tcW w:w="955" w:type="dxa"/>
            <w:tcMar>
              <w:top w:w="0" w:type="dxa"/>
              <w:left w:w="45" w:type="dxa"/>
              <w:bottom w:w="0" w:type="dxa"/>
              <w:right w:w="45" w:type="dxa"/>
            </w:tcMar>
            <w:vAlign w:val="center"/>
          </w:tcPr>
          <w:p w14:paraId="7E8968F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0.02740</w:t>
            </w:r>
          </w:p>
        </w:tc>
        <w:tc>
          <w:tcPr>
            <w:tcW w:w="955" w:type="dxa"/>
            <w:tcMar>
              <w:top w:w="0" w:type="dxa"/>
              <w:left w:w="45" w:type="dxa"/>
              <w:bottom w:w="0" w:type="dxa"/>
              <w:right w:w="45" w:type="dxa"/>
            </w:tcMar>
            <w:vAlign w:val="center"/>
          </w:tcPr>
          <w:p w14:paraId="788CC795"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0.03605</w:t>
            </w:r>
          </w:p>
        </w:tc>
        <w:tc>
          <w:tcPr>
            <w:tcW w:w="955" w:type="dxa"/>
            <w:tcMar>
              <w:top w:w="0" w:type="dxa"/>
              <w:left w:w="45" w:type="dxa"/>
              <w:bottom w:w="0" w:type="dxa"/>
              <w:right w:w="45" w:type="dxa"/>
            </w:tcMar>
            <w:vAlign w:val="center"/>
          </w:tcPr>
          <w:p w14:paraId="4BD1A912"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0.03654</w:t>
            </w:r>
          </w:p>
        </w:tc>
      </w:tr>
      <w:tr w:rsidR="005E70B9" w14:paraId="4AB70385" w14:textId="77777777" w:rsidTr="00D40956">
        <w:trPr>
          <w:trHeight w:val="296"/>
        </w:trPr>
        <w:tc>
          <w:tcPr>
            <w:tcW w:w="3048" w:type="dxa"/>
            <w:tcBorders>
              <w:bottom w:val="single" w:sz="4" w:space="0" w:color="auto"/>
              <w:right w:val="single" w:sz="4" w:space="0" w:color="auto"/>
            </w:tcBorders>
            <w:tcMar>
              <w:top w:w="0" w:type="dxa"/>
              <w:left w:w="45" w:type="dxa"/>
              <w:bottom w:w="0" w:type="dxa"/>
              <w:right w:w="45" w:type="dxa"/>
            </w:tcMar>
            <w:vAlign w:val="center"/>
          </w:tcPr>
          <w:p w14:paraId="293C0D45" w14:textId="77777777" w:rsidR="005E70B9" w:rsidRDefault="00D40956">
            <w:pPr>
              <w:rPr>
                <w:rFonts w:ascii="Times New Roman" w:eastAsia="Times New Roman" w:hAnsi="Times New Roman" w:cs="Times New Roman"/>
                <w:b/>
              </w:rPr>
            </w:pPr>
            <w:proofErr w:type="spellStart"/>
            <w:r>
              <w:rPr>
                <w:rFonts w:ascii="Times New Roman" w:eastAsia="Times New Roman" w:hAnsi="Times New Roman" w:cs="Times New Roman"/>
                <w:b/>
              </w:rPr>
              <w:t>cVaR</w:t>
            </w:r>
            <w:proofErr w:type="spellEnd"/>
          </w:p>
        </w:tc>
        <w:tc>
          <w:tcPr>
            <w:tcW w:w="1060" w:type="dxa"/>
            <w:tcBorders>
              <w:left w:val="single" w:sz="4" w:space="0" w:color="auto"/>
            </w:tcBorders>
            <w:tcMar>
              <w:top w:w="0" w:type="dxa"/>
              <w:left w:w="45" w:type="dxa"/>
              <w:bottom w:w="0" w:type="dxa"/>
              <w:right w:w="45" w:type="dxa"/>
            </w:tcMar>
            <w:vAlign w:val="center"/>
          </w:tcPr>
          <w:p w14:paraId="7FD5E482"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0.04994</w:t>
            </w:r>
          </w:p>
        </w:tc>
        <w:tc>
          <w:tcPr>
            <w:tcW w:w="975" w:type="dxa"/>
            <w:shd w:val="clear" w:color="auto" w:fill="FFF2CC" w:themeFill="accent4" w:themeFillTint="33"/>
            <w:tcMar>
              <w:top w:w="0" w:type="dxa"/>
              <w:left w:w="45" w:type="dxa"/>
              <w:bottom w:w="0" w:type="dxa"/>
              <w:right w:w="45" w:type="dxa"/>
            </w:tcMar>
            <w:vAlign w:val="center"/>
          </w:tcPr>
          <w:p w14:paraId="4BAC4444"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0.05495</w:t>
            </w:r>
          </w:p>
        </w:tc>
        <w:tc>
          <w:tcPr>
            <w:tcW w:w="960" w:type="dxa"/>
            <w:tcMar>
              <w:top w:w="0" w:type="dxa"/>
              <w:left w:w="45" w:type="dxa"/>
              <w:bottom w:w="0" w:type="dxa"/>
              <w:right w:w="45" w:type="dxa"/>
            </w:tcMar>
            <w:vAlign w:val="center"/>
          </w:tcPr>
          <w:p w14:paraId="2AC3B40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0.05742</w:t>
            </w:r>
          </w:p>
        </w:tc>
        <w:tc>
          <w:tcPr>
            <w:tcW w:w="955" w:type="dxa"/>
            <w:tcMar>
              <w:top w:w="0" w:type="dxa"/>
              <w:left w:w="45" w:type="dxa"/>
              <w:bottom w:w="0" w:type="dxa"/>
              <w:right w:w="45" w:type="dxa"/>
            </w:tcMar>
            <w:vAlign w:val="center"/>
          </w:tcPr>
          <w:p w14:paraId="30DF3E46"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0.04988</w:t>
            </w:r>
          </w:p>
        </w:tc>
        <w:tc>
          <w:tcPr>
            <w:tcW w:w="955" w:type="dxa"/>
            <w:tcMar>
              <w:top w:w="0" w:type="dxa"/>
              <w:left w:w="45" w:type="dxa"/>
              <w:bottom w:w="0" w:type="dxa"/>
              <w:right w:w="45" w:type="dxa"/>
            </w:tcMar>
            <w:vAlign w:val="center"/>
          </w:tcPr>
          <w:p w14:paraId="7F64DE5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0.05673</w:t>
            </w:r>
          </w:p>
        </w:tc>
        <w:tc>
          <w:tcPr>
            <w:tcW w:w="955" w:type="dxa"/>
            <w:tcMar>
              <w:top w:w="0" w:type="dxa"/>
              <w:left w:w="45" w:type="dxa"/>
              <w:bottom w:w="0" w:type="dxa"/>
              <w:right w:w="45" w:type="dxa"/>
            </w:tcMar>
            <w:vAlign w:val="center"/>
          </w:tcPr>
          <w:p w14:paraId="5BB1AFE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0.05421</w:t>
            </w:r>
          </w:p>
        </w:tc>
      </w:tr>
    </w:tbl>
    <w:p w14:paraId="6A0ED8C9" w14:textId="77777777" w:rsidR="005E70B9" w:rsidRDefault="005E70B9">
      <w:pPr>
        <w:jc w:val="both"/>
        <w:rPr>
          <w:rFonts w:ascii="Times New Roman" w:eastAsia="Times New Roman" w:hAnsi="Times New Roman" w:cs="Times New Roman"/>
        </w:rPr>
      </w:pPr>
    </w:p>
    <w:p w14:paraId="569F7E32" w14:textId="77777777" w:rsidR="005E70B9" w:rsidRDefault="005E70B9">
      <w:pPr>
        <w:spacing w:line="360" w:lineRule="auto"/>
        <w:jc w:val="both"/>
        <w:rPr>
          <w:rFonts w:ascii="Times New Roman" w:eastAsia="Times New Roman" w:hAnsi="Times New Roman" w:cs="Times New Roman"/>
        </w:rPr>
      </w:pPr>
    </w:p>
    <w:p w14:paraId="3FB92293" w14:textId="77777777" w:rsidR="005E70B9" w:rsidRDefault="00D4095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From the above results, we can see that OLS and SVR are performing relatively better than the other machine learning models. Comparing the return of the models over the </w:t>
      </w:r>
      <w:proofErr w:type="spellStart"/>
      <w:r>
        <w:rPr>
          <w:rFonts w:ascii="Times New Roman" w:eastAsia="Times New Roman" w:hAnsi="Times New Roman" w:cs="Times New Roman"/>
        </w:rPr>
        <w:t>backtesting</w:t>
      </w:r>
      <w:proofErr w:type="spellEnd"/>
      <w:r>
        <w:rPr>
          <w:rFonts w:ascii="Times New Roman" w:eastAsia="Times New Roman" w:hAnsi="Times New Roman" w:cs="Times New Roman"/>
        </w:rPr>
        <w:t xml:space="preserve"> period, the cumulative return and geometric return of SVR and OLS are highe</w:t>
      </w:r>
      <w:r>
        <w:rPr>
          <w:rFonts w:ascii="Times New Roman" w:eastAsia="Times New Roman" w:hAnsi="Times New Roman" w:cs="Times New Roman"/>
        </w:rPr>
        <w:t xml:space="preserve">r than the S&amp;P500. In terms of risk, both the SVR and OLS model results in higher volatility,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cVaR</w:t>
      </w:r>
      <w:proofErr w:type="spellEnd"/>
      <w:r>
        <w:rPr>
          <w:rFonts w:ascii="Times New Roman" w:eastAsia="Times New Roman" w:hAnsi="Times New Roman" w:cs="Times New Roman"/>
        </w:rPr>
        <w:t xml:space="preserve"> and maximum drawdown​. Overall, by considering the Sharpe ratio, </w:t>
      </w:r>
      <w:proofErr w:type="spellStart"/>
      <w:r>
        <w:rPr>
          <w:rFonts w:ascii="Times New Roman" w:eastAsia="Times New Roman" w:hAnsi="Times New Roman" w:cs="Times New Roman"/>
        </w:rPr>
        <w:t>Sortino</w:t>
      </w:r>
      <w:proofErr w:type="spellEnd"/>
      <w:r>
        <w:rPr>
          <w:rFonts w:ascii="Times New Roman" w:eastAsia="Times New Roman" w:hAnsi="Times New Roman" w:cs="Times New Roman"/>
        </w:rPr>
        <w:t xml:space="preserve"> ratio and Calmar ratio, the SVR model experiences a better performance than the</w:t>
      </w:r>
      <w:r>
        <w:rPr>
          <w:rFonts w:ascii="Times New Roman" w:eastAsia="Times New Roman" w:hAnsi="Times New Roman" w:cs="Times New Roman"/>
        </w:rPr>
        <w:t xml:space="preserve"> OLS model and benchmark in general but slightly underperforms when the market suffers an economic downturn. As we assumed the probability of systematic loss happening is low, we believe that the loss of the SVR model can be recovered in the long trading p</w:t>
      </w:r>
      <w:r>
        <w:rPr>
          <w:rFonts w:ascii="Times New Roman" w:eastAsia="Times New Roman" w:hAnsi="Times New Roman" w:cs="Times New Roman"/>
        </w:rPr>
        <w:t>eriod.</w:t>
      </w:r>
    </w:p>
    <w:p w14:paraId="3C703626" w14:textId="77777777" w:rsidR="005E70B9" w:rsidRDefault="00D40956">
      <w:pPr>
        <w:spacing w:line="360" w:lineRule="auto"/>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(ii)</w:t>
      </w:r>
      <w:r>
        <w:rPr>
          <w:rFonts w:ascii="Times New Roman" w:eastAsia="Times New Roman" w:hAnsi="Times New Roman" w:cs="Times New Roman"/>
          <w:u w:val="single"/>
        </w:rPr>
        <w:tab/>
      </w:r>
      <w:proofErr w:type="spellStart"/>
      <w:r>
        <w:rPr>
          <w:rFonts w:ascii="Times New Roman" w:eastAsia="Times New Roman" w:hAnsi="Times New Roman" w:cs="Times New Roman"/>
          <w:u w:val="single"/>
        </w:rPr>
        <w:t>Backtesting</w:t>
      </w:r>
      <w:proofErr w:type="spellEnd"/>
      <w:r>
        <w:rPr>
          <w:rFonts w:ascii="Times New Roman" w:eastAsia="Times New Roman" w:hAnsi="Times New Roman" w:cs="Times New Roman"/>
          <w:u w:val="single"/>
        </w:rPr>
        <w:t xml:space="preserve"> focus: Smart Beta</w:t>
      </w:r>
    </w:p>
    <w:p w14:paraId="37DA13FE" w14:textId="77777777" w:rsidR="005E70B9" w:rsidRDefault="00D4095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study the efficacy of our smart beta scheme, we compare our </w:t>
      </w:r>
      <w:proofErr w:type="spellStart"/>
      <w:r>
        <w:rPr>
          <w:rFonts w:ascii="Times New Roman" w:eastAsia="Times New Roman" w:hAnsi="Times New Roman" w:cs="Times New Roman"/>
        </w:rPr>
        <w:t>backtest</w:t>
      </w:r>
      <w:proofErr w:type="spellEnd"/>
      <w:r>
        <w:rPr>
          <w:rFonts w:ascii="Times New Roman" w:eastAsia="Times New Roman" w:hAnsi="Times New Roman" w:cs="Times New Roman"/>
        </w:rPr>
        <w:t xml:space="preserve"> result with that of an equal weight scheme, another way to allocate assets. The following graphs show the performance of the two smart beta schemes:</w:t>
      </w:r>
    </w:p>
    <w:p w14:paraId="443DB5FD" w14:textId="77777777" w:rsidR="005E70B9" w:rsidRDefault="00D40956">
      <w:pPr>
        <w:spacing w:line="360" w:lineRule="auto"/>
        <w:jc w:val="both"/>
        <w:rPr>
          <w:rFonts w:ascii="Times New Roman" w:eastAsia="Times New Roman" w:hAnsi="Times New Roman" w:cs="Times New Roman"/>
        </w:rPr>
      </w:pPr>
      <w:r>
        <w:rPr>
          <w:noProof/>
        </w:rPr>
        <w:drawing>
          <wp:inline distT="114300" distB="114300" distL="114300" distR="114300" wp14:anchorId="23EDC3C6" wp14:editId="737C4DB5">
            <wp:extent cx="5731200" cy="2565400"/>
            <wp:effectExtent l="0" t="0" r="0" b="0"/>
            <wp:docPr id="8" name="image1.png" descr="Chart, line char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  Description automatically generated"/>
                    <pic:cNvPicPr preferRelativeResize="0"/>
                  </pic:nvPicPr>
                  <pic:blipFill>
                    <a:blip r:embed="rId7"/>
                    <a:srcRect/>
                    <a:stretch>
                      <a:fillRect/>
                    </a:stretch>
                  </pic:blipFill>
                  <pic:spPr>
                    <a:xfrm>
                      <a:off x="0" y="0"/>
                      <a:ext cx="5731200" cy="2565400"/>
                    </a:xfrm>
                    <a:prstGeom prst="rect">
                      <a:avLst/>
                    </a:prstGeom>
                    <a:ln/>
                  </pic:spPr>
                </pic:pic>
              </a:graphicData>
            </a:graphic>
          </wp:inline>
        </w:drawing>
      </w:r>
    </w:p>
    <w:p w14:paraId="0E7B8607" w14:textId="77777777" w:rsidR="005E70B9" w:rsidRDefault="00D40956">
      <w:pPr>
        <w:spacing w:line="360" w:lineRule="auto"/>
        <w:jc w:val="both"/>
        <w:rPr>
          <w:rFonts w:ascii="Times New Roman" w:eastAsia="Times New Roman" w:hAnsi="Times New Roman" w:cs="Times New Roman"/>
        </w:rPr>
      </w:pPr>
      <w:r>
        <w:rPr>
          <w:noProof/>
        </w:rPr>
        <w:drawing>
          <wp:inline distT="114300" distB="114300" distL="114300" distR="114300" wp14:anchorId="02BDFD3D" wp14:editId="4DA8B09A">
            <wp:extent cx="5779789" cy="2031689"/>
            <wp:effectExtent l="0" t="0" r="0" b="0"/>
            <wp:docPr id="10" name="image4.png" descr="Char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Description automatically generated"/>
                    <pic:cNvPicPr preferRelativeResize="0"/>
                  </pic:nvPicPr>
                  <pic:blipFill>
                    <a:blip r:embed="rId8"/>
                    <a:srcRect l="7469" t="6128" r="8508" b="5015"/>
                    <a:stretch>
                      <a:fillRect/>
                    </a:stretch>
                  </pic:blipFill>
                  <pic:spPr>
                    <a:xfrm>
                      <a:off x="0" y="0"/>
                      <a:ext cx="5779789" cy="2031689"/>
                    </a:xfrm>
                    <a:prstGeom prst="rect">
                      <a:avLst/>
                    </a:prstGeom>
                    <a:ln/>
                  </pic:spPr>
                </pic:pic>
              </a:graphicData>
            </a:graphic>
          </wp:inline>
        </w:drawing>
      </w:r>
    </w:p>
    <w:p w14:paraId="33D16939" w14:textId="77777777" w:rsidR="005E70B9" w:rsidRDefault="005E70B9">
      <w:pPr>
        <w:spacing w:line="360" w:lineRule="auto"/>
        <w:jc w:val="both"/>
        <w:rPr>
          <w:rFonts w:ascii="Times New Roman" w:eastAsia="Times New Roman" w:hAnsi="Times New Roman" w:cs="Times New Roman"/>
        </w:rPr>
      </w:pPr>
    </w:p>
    <w:tbl>
      <w:tblPr>
        <w:tblStyle w:val="a0"/>
        <w:tblW w:w="8950" w:type="dxa"/>
        <w:tblBorders>
          <w:top w:val="single" w:sz="4" w:space="0" w:color="auto"/>
          <w:left w:val="single" w:sz="4" w:space="0" w:color="auto"/>
          <w:bottom w:val="single" w:sz="4" w:space="0" w:color="auto"/>
          <w:right w:val="single" w:sz="4" w:space="0" w:color="auto"/>
          <w:insideH w:val="single" w:sz="6" w:space="0" w:color="CCCCCC"/>
          <w:insideV w:val="single" w:sz="6" w:space="0" w:color="CCCCCC"/>
        </w:tblBorders>
        <w:tblLayout w:type="fixed"/>
        <w:tblLook w:val="0400" w:firstRow="0" w:lastRow="0" w:firstColumn="0" w:lastColumn="0" w:noHBand="0" w:noVBand="1"/>
      </w:tblPr>
      <w:tblGrid>
        <w:gridCol w:w="3539"/>
        <w:gridCol w:w="1843"/>
        <w:gridCol w:w="1984"/>
        <w:gridCol w:w="1584"/>
      </w:tblGrid>
      <w:tr w:rsidR="005E70B9" w14:paraId="15DFC1A0" w14:textId="77777777" w:rsidTr="00D40956">
        <w:trPr>
          <w:trHeight w:val="283"/>
        </w:trPr>
        <w:tc>
          <w:tcPr>
            <w:tcW w:w="3539" w:type="dxa"/>
            <w:tcBorders>
              <w:top w:val="single" w:sz="4" w:space="0" w:color="auto"/>
              <w:bottom w:val="single" w:sz="4" w:space="0" w:color="auto"/>
              <w:right w:val="single" w:sz="4" w:space="0" w:color="auto"/>
            </w:tcBorders>
            <w:tcMar>
              <w:top w:w="0" w:type="dxa"/>
              <w:left w:w="45" w:type="dxa"/>
              <w:bottom w:w="0" w:type="dxa"/>
              <w:right w:w="45" w:type="dxa"/>
            </w:tcMar>
            <w:vAlign w:val="center"/>
          </w:tcPr>
          <w:p w14:paraId="03BE8FC5" w14:textId="77777777" w:rsidR="005E70B9" w:rsidRDefault="005E70B9">
            <w:pPr>
              <w:rPr>
                <w:rFonts w:ascii="Times New Roman" w:eastAsia="Times New Roman" w:hAnsi="Times New Roman" w:cs="Times New Roman"/>
                <w:b/>
              </w:rPr>
            </w:pPr>
          </w:p>
        </w:tc>
        <w:tc>
          <w:tcPr>
            <w:tcW w:w="1843" w:type="dxa"/>
            <w:tcBorders>
              <w:top w:val="single" w:sz="4" w:space="0" w:color="auto"/>
              <w:left w:val="single" w:sz="4" w:space="0" w:color="auto"/>
              <w:bottom w:val="single" w:sz="4" w:space="0" w:color="auto"/>
            </w:tcBorders>
            <w:tcMar>
              <w:top w:w="0" w:type="dxa"/>
              <w:left w:w="45" w:type="dxa"/>
              <w:bottom w:w="0" w:type="dxa"/>
              <w:right w:w="45" w:type="dxa"/>
            </w:tcMar>
            <w:vAlign w:val="center"/>
          </w:tcPr>
          <w:p w14:paraId="409E26CC"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S&amp;P 500</w:t>
            </w:r>
          </w:p>
        </w:tc>
        <w:tc>
          <w:tcPr>
            <w:tcW w:w="1984" w:type="dxa"/>
            <w:tcBorders>
              <w:top w:val="single" w:sz="4" w:space="0" w:color="auto"/>
              <w:bottom w:val="single" w:sz="4" w:space="0" w:color="auto"/>
            </w:tcBorders>
            <w:shd w:val="clear" w:color="auto" w:fill="FFF2CC" w:themeFill="accent4" w:themeFillTint="33"/>
            <w:tcMar>
              <w:top w:w="0" w:type="dxa"/>
              <w:left w:w="45" w:type="dxa"/>
              <w:bottom w:w="0" w:type="dxa"/>
              <w:right w:w="45" w:type="dxa"/>
            </w:tcMar>
            <w:vAlign w:val="center"/>
          </w:tcPr>
          <w:p w14:paraId="0E433CB9"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SVR-GMV</w:t>
            </w:r>
          </w:p>
        </w:tc>
        <w:tc>
          <w:tcPr>
            <w:tcW w:w="1584" w:type="dxa"/>
            <w:tcBorders>
              <w:top w:val="single" w:sz="4" w:space="0" w:color="auto"/>
              <w:bottom w:val="single" w:sz="4" w:space="0" w:color="auto"/>
            </w:tcBorders>
            <w:tcMar>
              <w:top w:w="0" w:type="dxa"/>
              <w:left w:w="45" w:type="dxa"/>
              <w:bottom w:w="0" w:type="dxa"/>
              <w:right w:w="45" w:type="dxa"/>
            </w:tcMar>
            <w:vAlign w:val="center"/>
          </w:tcPr>
          <w:p w14:paraId="447D4C2A" w14:textId="77777777" w:rsidR="005E70B9" w:rsidRDefault="00D40956">
            <w:pPr>
              <w:jc w:val="center"/>
              <w:rPr>
                <w:rFonts w:ascii="Times New Roman" w:eastAsia="Times New Roman" w:hAnsi="Times New Roman" w:cs="Times New Roman"/>
                <w:b/>
              </w:rPr>
            </w:pPr>
            <w:r>
              <w:rPr>
                <w:rFonts w:ascii="Times New Roman" w:eastAsia="Times New Roman" w:hAnsi="Times New Roman" w:cs="Times New Roman"/>
                <w:b/>
              </w:rPr>
              <w:t>SVR-EW</w:t>
            </w:r>
          </w:p>
        </w:tc>
      </w:tr>
      <w:tr w:rsidR="005E70B9" w14:paraId="0219E9A6" w14:textId="77777777" w:rsidTr="00D40956">
        <w:trPr>
          <w:trHeight w:val="283"/>
        </w:trPr>
        <w:tc>
          <w:tcPr>
            <w:tcW w:w="3539" w:type="dxa"/>
            <w:tcBorders>
              <w:top w:val="single" w:sz="4" w:space="0" w:color="auto"/>
              <w:right w:val="single" w:sz="4" w:space="0" w:color="auto"/>
            </w:tcBorders>
            <w:tcMar>
              <w:top w:w="0" w:type="dxa"/>
              <w:left w:w="45" w:type="dxa"/>
              <w:bottom w:w="0" w:type="dxa"/>
              <w:right w:w="45" w:type="dxa"/>
            </w:tcMar>
            <w:vAlign w:val="center"/>
          </w:tcPr>
          <w:p w14:paraId="4413CCD9"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Cumulative Return</w:t>
            </w:r>
          </w:p>
        </w:tc>
        <w:tc>
          <w:tcPr>
            <w:tcW w:w="1843" w:type="dxa"/>
            <w:tcBorders>
              <w:top w:val="single" w:sz="4" w:space="0" w:color="auto"/>
              <w:left w:val="single" w:sz="4" w:space="0" w:color="auto"/>
            </w:tcBorders>
            <w:tcMar>
              <w:top w:w="0" w:type="dxa"/>
              <w:left w:w="45" w:type="dxa"/>
              <w:bottom w:w="0" w:type="dxa"/>
              <w:right w:w="45" w:type="dxa"/>
            </w:tcMar>
            <w:vAlign w:val="center"/>
          </w:tcPr>
          <w:p w14:paraId="46A683B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2.74584</w:t>
            </w:r>
          </w:p>
        </w:tc>
        <w:tc>
          <w:tcPr>
            <w:tcW w:w="1984" w:type="dxa"/>
            <w:tcBorders>
              <w:top w:val="single" w:sz="4" w:space="0" w:color="auto"/>
            </w:tcBorders>
            <w:shd w:val="clear" w:color="auto" w:fill="FFF2CC" w:themeFill="accent4" w:themeFillTint="33"/>
            <w:tcMar>
              <w:top w:w="0" w:type="dxa"/>
              <w:left w:w="45" w:type="dxa"/>
              <w:bottom w:w="0" w:type="dxa"/>
              <w:right w:w="45" w:type="dxa"/>
            </w:tcMar>
            <w:vAlign w:val="center"/>
          </w:tcPr>
          <w:p w14:paraId="7D18BA81"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3.45843</w:t>
            </w:r>
          </w:p>
        </w:tc>
        <w:tc>
          <w:tcPr>
            <w:tcW w:w="1584" w:type="dxa"/>
            <w:tcBorders>
              <w:top w:val="single" w:sz="4" w:space="0" w:color="auto"/>
            </w:tcBorders>
            <w:tcMar>
              <w:top w:w="0" w:type="dxa"/>
              <w:left w:w="45" w:type="dxa"/>
              <w:bottom w:w="0" w:type="dxa"/>
              <w:right w:w="45" w:type="dxa"/>
            </w:tcMar>
            <w:vAlign w:val="center"/>
          </w:tcPr>
          <w:p w14:paraId="38B7E6B1"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4.79813</w:t>
            </w:r>
          </w:p>
        </w:tc>
      </w:tr>
      <w:tr w:rsidR="005E70B9" w14:paraId="21312A62"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37253483"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Annualized Geometric Return</w:t>
            </w:r>
          </w:p>
        </w:tc>
        <w:tc>
          <w:tcPr>
            <w:tcW w:w="1843" w:type="dxa"/>
            <w:tcBorders>
              <w:left w:val="single" w:sz="4" w:space="0" w:color="auto"/>
            </w:tcBorders>
            <w:tcMar>
              <w:top w:w="0" w:type="dxa"/>
              <w:left w:w="45" w:type="dxa"/>
              <w:bottom w:w="0" w:type="dxa"/>
              <w:right w:w="45" w:type="dxa"/>
            </w:tcMar>
            <w:vAlign w:val="center"/>
          </w:tcPr>
          <w:p w14:paraId="295C49B4"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0.14160</w:t>
            </w:r>
          </w:p>
        </w:tc>
        <w:tc>
          <w:tcPr>
            <w:tcW w:w="1984" w:type="dxa"/>
            <w:shd w:val="clear" w:color="auto" w:fill="FFF2CC" w:themeFill="accent4" w:themeFillTint="33"/>
            <w:tcMar>
              <w:top w:w="0" w:type="dxa"/>
              <w:left w:w="45" w:type="dxa"/>
              <w:bottom w:w="0" w:type="dxa"/>
              <w:right w:w="45" w:type="dxa"/>
            </w:tcMar>
            <w:vAlign w:val="center"/>
          </w:tcPr>
          <w:p w14:paraId="54844D24"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0.16171</w:t>
            </w:r>
          </w:p>
        </w:tc>
        <w:tc>
          <w:tcPr>
            <w:tcW w:w="1584" w:type="dxa"/>
            <w:tcMar>
              <w:top w:w="0" w:type="dxa"/>
              <w:left w:w="45" w:type="dxa"/>
              <w:bottom w:w="0" w:type="dxa"/>
              <w:right w:w="45" w:type="dxa"/>
            </w:tcMar>
            <w:vAlign w:val="center"/>
          </w:tcPr>
          <w:p w14:paraId="7290343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0.19272</w:t>
            </w:r>
          </w:p>
        </w:tc>
      </w:tr>
      <w:tr w:rsidR="005E70B9" w14:paraId="52167DFF"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7633AED1" w14:textId="0AB780A6" w:rsidR="005E70B9" w:rsidRDefault="00D40956">
            <w:pPr>
              <w:rPr>
                <w:rFonts w:ascii="Times New Roman" w:eastAsia="Times New Roman" w:hAnsi="Times New Roman" w:cs="Times New Roman"/>
                <w:b/>
              </w:rPr>
            </w:pPr>
            <w:r>
              <w:rPr>
                <w:rFonts w:ascii="Times New Roman" w:eastAsia="Times New Roman" w:hAnsi="Times New Roman" w:cs="Times New Roman"/>
                <w:b/>
              </w:rPr>
              <w:t>Annualized</w:t>
            </w:r>
            <w:r>
              <w:rPr>
                <w:rFonts w:ascii="Times New Roman" w:eastAsia="Times New Roman" w:hAnsi="Times New Roman" w:cs="Times New Roman"/>
                <w:b/>
              </w:rPr>
              <w:t xml:space="preserve"> Volatility</w:t>
            </w:r>
          </w:p>
        </w:tc>
        <w:tc>
          <w:tcPr>
            <w:tcW w:w="1843" w:type="dxa"/>
            <w:tcBorders>
              <w:left w:val="single" w:sz="4" w:space="0" w:color="auto"/>
            </w:tcBorders>
            <w:tcMar>
              <w:top w:w="0" w:type="dxa"/>
              <w:left w:w="45" w:type="dxa"/>
              <w:bottom w:w="0" w:type="dxa"/>
              <w:right w:w="45" w:type="dxa"/>
            </w:tcMar>
            <w:vAlign w:val="center"/>
          </w:tcPr>
          <w:p w14:paraId="37C67120"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0.14844</w:t>
            </w:r>
          </w:p>
        </w:tc>
        <w:tc>
          <w:tcPr>
            <w:tcW w:w="1984" w:type="dxa"/>
            <w:shd w:val="clear" w:color="auto" w:fill="FFF2CC" w:themeFill="accent4" w:themeFillTint="33"/>
            <w:tcMar>
              <w:top w:w="0" w:type="dxa"/>
              <w:left w:w="45" w:type="dxa"/>
              <w:bottom w:w="0" w:type="dxa"/>
              <w:right w:w="45" w:type="dxa"/>
            </w:tcMar>
            <w:vAlign w:val="center"/>
          </w:tcPr>
          <w:p w14:paraId="52EEB35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0.16334</w:t>
            </w:r>
          </w:p>
        </w:tc>
        <w:tc>
          <w:tcPr>
            <w:tcW w:w="1584" w:type="dxa"/>
            <w:tcMar>
              <w:top w:w="0" w:type="dxa"/>
              <w:left w:w="45" w:type="dxa"/>
              <w:bottom w:w="0" w:type="dxa"/>
              <w:right w:w="45" w:type="dxa"/>
            </w:tcMar>
            <w:vAlign w:val="center"/>
          </w:tcPr>
          <w:p w14:paraId="2A63CF5A"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0.18148</w:t>
            </w:r>
          </w:p>
        </w:tc>
      </w:tr>
      <w:tr w:rsidR="005E70B9" w14:paraId="1FD3A53F"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43EC725C"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Sharpe Ratio</w:t>
            </w:r>
          </w:p>
        </w:tc>
        <w:tc>
          <w:tcPr>
            <w:tcW w:w="1843" w:type="dxa"/>
            <w:tcBorders>
              <w:left w:val="single" w:sz="4" w:space="0" w:color="auto"/>
            </w:tcBorders>
            <w:tcMar>
              <w:top w:w="0" w:type="dxa"/>
              <w:left w:w="45" w:type="dxa"/>
              <w:bottom w:w="0" w:type="dxa"/>
              <w:right w:w="45" w:type="dxa"/>
            </w:tcMar>
            <w:vAlign w:val="center"/>
          </w:tcPr>
          <w:p w14:paraId="60EBFB47"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0.96603</w:t>
            </w:r>
          </w:p>
        </w:tc>
        <w:tc>
          <w:tcPr>
            <w:tcW w:w="1984" w:type="dxa"/>
            <w:shd w:val="clear" w:color="auto" w:fill="FFF2CC" w:themeFill="accent4" w:themeFillTint="33"/>
            <w:tcMar>
              <w:top w:w="0" w:type="dxa"/>
              <w:left w:w="45" w:type="dxa"/>
              <w:bottom w:w="0" w:type="dxa"/>
              <w:right w:w="45" w:type="dxa"/>
            </w:tcMar>
            <w:vAlign w:val="center"/>
          </w:tcPr>
          <w:p w14:paraId="5813B40C"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1.00033</w:t>
            </w:r>
          </w:p>
        </w:tc>
        <w:tc>
          <w:tcPr>
            <w:tcW w:w="1584" w:type="dxa"/>
            <w:tcMar>
              <w:top w:w="0" w:type="dxa"/>
              <w:left w:w="45" w:type="dxa"/>
              <w:bottom w:w="0" w:type="dxa"/>
              <w:right w:w="45" w:type="dxa"/>
            </w:tcMar>
            <w:vAlign w:val="center"/>
          </w:tcPr>
          <w:p w14:paraId="06EF27B9"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1.06157</w:t>
            </w:r>
          </w:p>
        </w:tc>
      </w:tr>
      <w:tr w:rsidR="005E70B9" w14:paraId="6FE33414"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15772ED7"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Maximum Drawdown</w:t>
            </w:r>
          </w:p>
        </w:tc>
        <w:tc>
          <w:tcPr>
            <w:tcW w:w="1843" w:type="dxa"/>
            <w:tcBorders>
              <w:left w:val="single" w:sz="4" w:space="0" w:color="auto"/>
            </w:tcBorders>
            <w:tcMar>
              <w:top w:w="0" w:type="dxa"/>
              <w:left w:w="45" w:type="dxa"/>
              <w:bottom w:w="0" w:type="dxa"/>
              <w:right w:w="45" w:type="dxa"/>
            </w:tcMar>
            <w:vAlign w:val="center"/>
          </w:tcPr>
          <w:p w14:paraId="184CB67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-0.31810</w:t>
            </w:r>
          </w:p>
        </w:tc>
        <w:tc>
          <w:tcPr>
            <w:tcW w:w="1984" w:type="dxa"/>
            <w:shd w:val="clear" w:color="auto" w:fill="FFF2CC" w:themeFill="accent4" w:themeFillTint="33"/>
            <w:tcMar>
              <w:top w:w="0" w:type="dxa"/>
              <w:left w:w="45" w:type="dxa"/>
              <w:bottom w:w="0" w:type="dxa"/>
              <w:right w:w="45" w:type="dxa"/>
            </w:tcMar>
            <w:vAlign w:val="center"/>
          </w:tcPr>
          <w:p w14:paraId="52019EB8"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-0.37977</w:t>
            </w:r>
          </w:p>
        </w:tc>
        <w:tc>
          <w:tcPr>
            <w:tcW w:w="1584" w:type="dxa"/>
            <w:tcMar>
              <w:top w:w="0" w:type="dxa"/>
              <w:left w:w="45" w:type="dxa"/>
              <w:bottom w:w="0" w:type="dxa"/>
              <w:right w:w="45" w:type="dxa"/>
            </w:tcMar>
            <w:vAlign w:val="center"/>
          </w:tcPr>
          <w:p w14:paraId="2332D35C"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-0.35449</w:t>
            </w:r>
          </w:p>
        </w:tc>
      </w:tr>
      <w:tr w:rsidR="005E70B9" w14:paraId="187C9706"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7A51E44A" w14:textId="77777777" w:rsidR="005E70B9" w:rsidRDefault="00D40956">
            <w:pPr>
              <w:rPr>
                <w:rFonts w:ascii="Times New Roman" w:eastAsia="Times New Roman" w:hAnsi="Times New Roman" w:cs="Times New Roman"/>
                <w:b/>
              </w:rPr>
            </w:pPr>
            <w:proofErr w:type="spellStart"/>
            <w:r>
              <w:rPr>
                <w:rFonts w:ascii="Times New Roman" w:eastAsia="Times New Roman" w:hAnsi="Times New Roman" w:cs="Times New Roman"/>
                <w:b/>
              </w:rPr>
              <w:t>Sortino</w:t>
            </w:r>
            <w:proofErr w:type="spellEnd"/>
            <w:r>
              <w:rPr>
                <w:rFonts w:ascii="Times New Roman" w:eastAsia="Times New Roman" w:hAnsi="Times New Roman" w:cs="Times New Roman"/>
                <w:b/>
              </w:rPr>
              <w:t xml:space="preserve"> Ratio</w:t>
            </w:r>
          </w:p>
        </w:tc>
        <w:tc>
          <w:tcPr>
            <w:tcW w:w="1843" w:type="dxa"/>
            <w:tcBorders>
              <w:left w:val="single" w:sz="4" w:space="0" w:color="auto"/>
            </w:tcBorders>
            <w:tcMar>
              <w:top w:w="0" w:type="dxa"/>
              <w:left w:w="45" w:type="dxa"/>
              <w:bottom w:w="0" w:type="dxa"/>
              <w:right w:w="45" w:type="dxa"/>
            </w:tcMar>
            <w:vAlign w:val="center"/>
          </w:tcPr>
          <w:p w14:paraId="32AFE2FE"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1.55916</w:t>
            </w:r>
          </w:p>
        </w:tc>
        <w:tc>
          <w:tcPr>
            <w:tcW w:w="1984" w:type="dxa"/>
            <w:shd w:val="clear" w:color="auto" w:fill="FFF2CC" w:themeFill="accent4" w:themeFillTint="33"/>
            <w:tcMar>
              <w:top w:w="0" w:type="dxa"/>
              <w:left w:w="45" w:type="dxa"/>
              <w:bottom w:w="0" w:type="dxa"/>
              <w:right w:w="45" w:type="dxa"/>
            </w:tcMar>
            <w:vAlign w:val="center"/>
          </w:tcPr>
          <w:p w14:paraId="20A40AB5"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1.79207</w:t>
            </w:r>
          </w:p>
        </w:tc>
        <w:tc>
          <w:tcPr>
            <w:tcW w:w="1584" w:type="dxa"/>
            <w:tcMar>
              <w:top w:w="0" w:type="dxa"/>
              <w:left w:w="45" w:type="dxa"/>
              <w:bottom w:w="0" w:type="dxa"/>
              <w:right w:w="45" w:type="dxa"/>
            </w:tcMar>
            <w:vAlign w:val="center"/>
          </w:tcPr>
          <w:p w14:paraId="503B92D3"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1.68851</w:t>
            </w:r>
          </w:p>
        </w:tc>
      </w:tr>
      <w:tr w:rsidR="005E70B9" w14:paraId="13D351E9"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7EBA8A02" w14:textId="77777777" w:rsidR="005E70B9" w:rsidRDefault="00D40956">
            <w:pPr>
              <w:rPr>
                <w:rFonts w:ascii="Times New Roman" w:eastAsia="Times New Roman" w:hAnsi="Times New Roman" w:cs="Times New Roman"/>
                <w:b/>
              </w:rPr>
            </w:pPr>
            <w:r>
              <w:rPr>
                <w:rFonts w:ascii="Times New Roman" w:eastAsia="Times New Roman" w:hAnsi="Times New Roman" w:cs="Times New Roman"/>
                <w:b/>
              </w:rPr>
              <w:t>Calmar Ratio</w:t>
            </w:r>
          </w:p>
        </w:tc>
        <w:tc>
          <w:tcPr>
            <w:tcW w:w="1843" w:type="dxa"/>
            <w:tcBorders>
              <w:left w:val="single" w:sz="4" w:space="0" w:color="auto"/>
            </w:tcBorders>
            <w:tcMar>
              <w:top w:w="0" w:type="dxa"/>
              <w:left w:w="45" w:type="dxa"/>
              <w:bottom w:w="0" w:type="dxa"/>
              <w:right w:w="45" w:type="dxa"/>
            </w:tcMar>
            <w:vAlign w:val="center"/>
          </w:tcPr>
          <w:p w14:paraId="554D5DD8"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0.44513</w:t>
            </w:r>
          </w:p>
        </w:tc>
        <w:tc>
          <w:tcPr>
            <w:tcW w:w="1984" w:type="dxa"/>
            <w:shd w:val="clear" w:color="auto" w:fill="FFF2CC" w:themeFill="accent4" w:themeFillTint="33"/>
            <w:tcMar>
              <w:top w:w="0" w:type="dxa"/>
              <w:left w:w="45" w:type="dxa"/>
              <w:bottom w:w="0" w:type="dxa"/>
              <w:right w:w="45" w:type="dxa"/>
            </w:tcMar>
            <w:vAlign w:val="center"/>
          </w:tcPr>
          <w:p w14:paraId="14160FB2"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0.42580</w:t>
            </w:r>
          </w:p>
        </w:tc>
        <w:tc>
          <w:tcPr>
            <w:tcW w:w="1584" w:type="dxa"/>
            <w:tcMar>
              <w:top w:w="0" w:type="dxa"/>
              <w:left w:w="45" w:type="dxa"/>
              <w:bottom w:w="0" w:type="dxa"/>
              <w:right w:w="45" w:type="dxa"/>
            </w:tcMar>
            <w:vAlign w:val="center"/>
          </w:tcPr>
          <w:p w14:paraId="2D64EC8B"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0.54365</w:t>
            </w:r>
          </w:p>
        </w:tc>
      </w:tr>
      <w:tr w:rsidR="005E70B9" w14:paraId="64675B1F" w14:textId="77777777" w:rsidTr="00D40956">
        <w:trPr>
          <w:trHeight w:val="283"/>
        </w:trPr>
        <w:tc>
          <w:tcPr>
            <w:tcW w:w="3539" w:type="dxa"/>
            <w:tcBorders>
              <w:right w:val="single" w:sz="4" w:space="0" w:color="auto"/>
            </w:tcBorders>
            <w:tcMar>
              <w:top w:w="0" w:type="dxa"/>
              <w:left w:w="45" w:type="dxa"/>
              <w:bottom w:w="0" w:type="dxa"/>
              <w:right w:w="45" w:type="dxa"/>
            </w:tcMar>
            <w:vAlign w:val="center"/>
          </w:tcPr>
          <w:p w14:paraId="2CFA2113" w14:textId="77777777" w:rsidR="005E70B9" w:rsidRDefault="00D40956">
            <w:pPr>
              <w:rPr>
                <w:rFonts w:ascii="Times New Roman" w:eastAsia="Times New Roman" w:hAnsi="Times New Roman" w:cs="Times New Roman"/>
                <w:b/>
              </w:rPr>
            </w:pPr>
            <w:proofErr w:type="spellStart"/>
            <w:r>
              <w:rPr>
                <w:rFonts w:ascii="Times New Roman" w:eastAsia="Times New Roman" w:hAnsi="Times New Roman" w:cs="Times New Roman"/>
                <w:b/>
              </w:rPr>
              <w:t>VaR</w:t>
            </w:r>
            <w:proofErr w:type="spellEnd"/>
          </w:p>
        </w:tc>
        <w:tc>
          <w:tcPr>
            <w:tcW w:w="1843" w:type="dxa"/>
            <w:tcBorders>
              <w:left w:val="single" w:sz="4" w:space="0" w:color="auto"/>
            </w:tcBorders>
            <w:tcMar>
              <w:top w:w="0" w:type="dxa"/>
              <w:left w:w="45" w:type="dxa"/>
              <w:bottom w:w="0" w:type="dxa"/>
              <w:right w:w="45" w:type="dxa"/>
            </w:tcMar>
            <w:vAlign w:val="center"/>
          </w:tcPr>
          <w:p w14:paraId="12D3B00B"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0.02693</w:t>
            </w:r>
          </w:p>
        </w:tc>
        <w:tc>
          <w:tcPr>
            <w:tcW w:w="1984" w:type="dxa"/>
            <w:shd w:val="clear" w:color="auto" w:fill="FFF2CC" w:themeFill="accent4" w:themeFillTint="33"/>
            <w:tcMar>
              <w:top w:w="0" w:type="dxa"/>
              <w:left w:w="45" w:type="dxa"/>
              <w:bottom w:w="0" w:type="dxa"/>
              <w:right w:w="45" w:type="dxa"/>
            </w:tcMar>
            <w:vAlign w:val="center"/>
          </w:tcPr>
          <w:p w14:paraId="5E155D2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0.02995</w:t>
            </w:r>
          </w:p>
        </w:tc>
        <w:tc>
          <w:tcPr>
            <w:tcW w:w="1584" w:type="dxa"/>
            <w:tcMar>
              <w:top w:w="0" w:type="dxa"/>
              <w:left w:w="45" w:type="dxa"/>
              <w:bottom w:w="0" w:type="dxa"/>
              <w:right w:w="45" w:type="dxa"/>
            </w:tcMar>
            <w:vAlign w:val="center"/>
          </w:tcPr>
          <w:p w14:paraId="74A4769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0.03612</w:t>
            </w:r>
          </w:p>
        </w:tc>
      </w:tr>
      <w:tr w:rsidR="005E70B9" w14:paraId="3A8305E4" w14:textId="77777777" w:rsidTr="00D40956">
        <w:trPr>
          <w:trHeight w:val="283"/>
        </w:trPr>
        <w:tc>
          <w:tcPr>
            <w:tcW w:w="3539" w:type="dxa"/>
            <w:tcBorders>
              <w:bottom w:val="single" w:sz="4" w:space="0" w:color="auto"/>
              <w:right w:val="single" w:sz="4" w:space="0" w:color="auto"/>
            </w:tcBorders>
            <w:tcMar>
              <w:top w:w="0" w:type="dxa"/>
              <w:left w:w="45" w:type="dxa"/>
              <w:bottom w:w="0" w:type="dxa"/>
              <w:right w:w="45" w:type="dxa"/>
            </w:tcMar>
            <w:vAlign w:val="center"/>
          </w:tcPr>
          <w:p w14:paraId="6C1F984A" w14:textId="77777777" w:rsidR="005E70B9" w:rsidRDefault="00D40956">
            <w:pPr>
              <w:rPr>
                <w:rFonts w:ascii="Times New Roman" w:eastAsia="Times New Roman" w:hAnsi="Times New Roman" w:cs="Times New Roman"/>
                <w:b/>
              </w:rPr>
            </w:pPr>
            <w:proofErr w:type="spellStart"/>
            <w:r>
              <w:rPr>
                <w:rFonts w:ascii="Times New Roman" w:eastAsia="Times New Roman" w:hAnsi="Times New Roman" w:cs="Times New Roman"/>
                <w:b/>
              </w:rPr>
              <w:t>cVaR</w:t>
            </w:r>
            <w:proofErr w:type="spellEnd"/>
          </w:p>
        </w:tc>
        <w:tc>
          <w:tcPr>
            <w:tcW w:w="1843" w:type="dxa"/>
            <w:tcBorders>
              <w:left w:val="single" w:sz="4" w:space="0" w:color="auto"/>
            </w:tcBorders>
            <w:tcMar>
              <w:top w:w="0" w:type="dxa"/>
              <w:left w:w="45" w:type="dxa"/>
              <w:bottom w:w="0" w:type="dxa"/>
              <w:right w:w="45" w:type="dxa"/>
            </w:tcMar>
            <w:vAlign w:val="center"/>
          </w:tcPr>
          <w:p w14:paraId="13223B88"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0.04994</w:t>
            </w:r>
          </w:p>
        </w:tc>
        <w:tc>
          <w:tcPr>
            <w:tcW w:w="1984" w:type="dxa"/>
            <w:shd w:val="clear" w:color="auto" w:fill="FFF2CC" w:themeFill="accent4" w:themeFillTint="33"/>
            <w:tcMar>
              <w:top w:w="0" w:type="dxa"/>
              <w:left w:w="45" w:type="dxa"/>
              <w:bottom w:w="0" w:type="dxa"/>
              <w:right w:w="45" w:type="dxa"/>
            </w:tcMar>
            <w:vAlign w:val="center"/>
          </w:tcPr>
          <w:p w14:paraId="23529292"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0.05495</w:t>
            </w:r>
          </w:p>
        </w:tc>
        <w:tc>
          <w:tcPr>
            <w:tcW w:w="1584" w:type="dxa"/>
            <w:tcMar>
              <w:top w:w="0" w:type="dxa"/>
              <w:left w:w="45" w:type="dxa"/>
              <w:bottom w:w="0" w:type="dxa"/>
              <w:right w:w="45" w:type="dxa"/>
            </w:tcMar>
            <w:vAlign w:val="center"/>
          </w:tcPr>
          <w:p w14:paraId="31CDAD6D" w14:textId="77777777" w:rsidR="005E70B9" w:rsidRDefault="00D40956">
            <w:pPr>
              <w:jc w:val="center"/>
              <w:rPr>
                <w:rFonts w:ascii="Times New Roman" w:eastAsia="Times New Roman" w:hAnsi="Times New Roman" w:cs="Times New Roman"/>
              </w:rPr>
            </w:pPr>
            <w:r>
              <w:rPr>
                <w:rFonts w:ascii="Times New Roman" w:eastAsia="Times New Roman" w:hAnsi="Times New Roman" w:cs="Times New Roman"/>
              </w:rPr>
              <w:t>0.06019</w:t>
            </w:r>
          </w:p>
        </w:tc>
      </w:tr>
    </w:tbl>
    <w:p w14:paraId="4EB93D91" w14:textId="77777777" w:rsidR="00D40956" w:rsidRDefault="00D40956">
      <w:pPr>
        <w:spacing w:line="360" w:lineRule="auto"/>
        <w:jc w:val="both"/>
        <w:rPr>
          <w:rFonts w:ascii="Times New Roman" w:eastAsia="Times New Roman" w:hAnsi="Times New Roman" w:cs="Times New Roman"/>
        </w:rPr>
      </w:pPr>
    </w:p>
    <w:p w14:paraId="2CA3C851" w14:textId="77777777" w:rsidR="00D40956" w:rsidRDefault="00D40956">
      <w:pPr>
        <w:rPr>
          <w:rFonts w:ascii="Times New Roman" w:eastAsia="Times New Roman" w:hAnsi="Times New Roman" w:cs="Times New Roman"/>
        </w:rPr>
      </w:pPr>
      <w:r>
        <w:rPr>
          <w:rFonts w:ascii="Times New Roman" w:eastAsia="Times New Roman" w:hAnsi="Times New Roman" w:cs="Times New Roman"/>
        </w:rPr>
        <w:br w:type="page"/>
      </w:r>
    </w:p>
    <w:p w14:paraId="4F85C6C1" w14:textId="337BBA38" w:rsidR="005E70B9" w:rsidRDefault="00D40956">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Despite our minimum variance portfolio having a lower Sharpe ratio than the equal weight scheme, our smart beta scheme still has its good side such as better </w:t>
      </w:r>
      <w:proofErr w:type="spellStart"/>
      <w:r>
        <w:rPr>
          <w:rFonts w:ascii="Times New Roman" w:eastAsia="Times New Roman" w:hAnsi="Times New Roman" w:cs="Times New Roman"/>
        </w:rPr>
        <w:t>Sortino</w:t>
      </w:r>
      <w:proofErr w:type="spellEnd"/>
      <w:r>
        <w:rPr>
          <w:rFonts w:ascii="Times New Roman" w:eastAsia="Times New Roman" w:hAnsi="Times New Roman" w:cs="Times New Roman"/>
        </w:rPr>
        <w:t xml:space="preserve"> ratio and low volatility and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which means our Smart Beta Scheme do contribute to some </w:t>
      </w:r>
      <w:r>
        <w:rPr>
          <w:rFonts w:ascii="Times New Roman" w:eastAsia="Times New Roman" w:hAnsi="Times New Roman" w:cs="Times New Roman"/>
        </w:rPr>
        <w:t xml:space="preserve">of the portfolio benefits. And we did not expect an extreme abnormal drawdown during the week that our GARCH-CCC model cannot account for, such as the COVID outbreak period, thus as we suppose such an extreme event is not likely to occur in the future, we </w:t>
      </w:r>
      <w:r>
        <w:rPr>
          <w:rFonts w:ascii="Times New Roman" w:eastAsia="Times New Roman" w:hAnsi="Times New Roman" w:cs="Times New Roman"/>
        </w:rPr>
        <w:t>believe that our strategy has its edge for future investment.</w:t>
      </w:r>
    </w:p>
    <w:p w14:paraId="5A26CC87" w14:textId="77777777" w:rsidR="005E70B9" w:rsidRDefault="005E70B9">
      <w:pPr>
        <w:spacing w:line="360" w:lineRule="auto"/>
        <w:jc w:val="both"/>
        <w:rPr>
          <w:rFonts w:ascii="Times New Roman" w:eastAsia="Times New Roman" w:hAnsi="Times New Roman" w:cs="Times New Roman"/>
          <w:b/>
        </w:rPr>
      </w:pPr>
    </w:p>
    <w:p w14:paraId="1D813EE5" w14:textId="77777777" w:rsidR="005E70B9" w:rsidRDefault="00D40956">
      <w:pPr>
        <w:spacing w:line="360" w:lineRule="auto"/>
        <w:jc w:val="both"/>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b/>
        </w:rPr>
        <w:tab/>
        <w:t xml:space="preserve">Limitation </w:t>
      </w:r>
    </w:p>
    <w:p w14:paraId="0256A798" w14:textId="77777777" w:rsidR="005E70B9" w:rsidRDefault="005E70B9">
      <w:pPr>
        <w:spacing w:line="360" w:lineRule="auto"/>
        <w:jc w:val="both"/>
        <w:rPr>
          <w:rFonts w:ascii="Times New Roman" w:eastAsia="Times New Roman" w:hAnsi="Times New Roman" w:cs="Times New Roman"/>
          <w:b/>
        </w:rPr>
      </w:pPr>
    </w:p>
    <w:p w14:paraId="516821DF" w14:textId="77777777" w:rsidR="005E70B9" w:rsidRDefault="00D40956">
      <w:pPr>
        <w:spacing w:line="360" w:lineRule="auto"/>
        <w:jc w:val="both"/>
        <w:rPr>
          <w:rFonts w:ascii="Times New Roman" w:eastAsia="Times New Roman" w:hAnsi="Times New Roman" w:cs="Times New Roman"/>
        </w:rPr>
      </w:pPr>
      <w:r>
        <w:rPr>
          <w:rFonts w:ascii="Times New Roman" w:eastAsia="Times New Roman" w:hAnsi="Times New Roman" w:cs="Times New Roman"/>
        </w:rPr>
        <w:t>As the trading strategy is long-only, there will be potential poor performance during an economic downturn. As a result, we may not be able to capture profits by short-selling d</w:t>
      </w:r>
      <w:r>
        <w:rPr>
          <w:rFonts w:ascii="Times New Roman" w:eastAsia="Times New Roman" w:hAnsi="Times New Roman" w:cs="Times New Roman"/>
        </w:rPr>
        <w:t xml:space="preserve">uring a market decline. However, we would still prefer choosing a long-only strategy because short-selling is executed with a high trading cost, or even may not be available. </w:t>
      </w:r>
    </w:p>
    <w:p w14:paraId="22E855F0" w14:textId="77777777" w:rsidR="005E70B9" w:rsidRDefault="005E70B9">
      <w:pPr>
        <w:spacing w:line="360" w:lineRule="auto"/>
        <w:jc w:val="both"/>
        <w:rPr>
          <w:rFonts w:ascii="Times New Roman" w:eastAsia="Times New Roman" w:hAnsi="Times New Roman" w:cs="Times New Roman"/>
        </w:rPr>
      </w:pPr>
    </w:p>
    <w:p w14:paraId="46358E36" w14:textId="77777777" w:rsidR="005E70B9" w:rsidRDefault="00D40956">
      <w:pPr>
        <w:spacing w:line="360" w:lineRule="auto"/>
        <w:jc w:val="both"/>
        <w:rPr>
          <w:rFonts w:ascii="Times New Roman" w:eastAsia="Times New Roman" w:hAnsi="Times New Roman" w:cs="Times New Roman"/>
        </w:rPr>
      </w:pPr>
      <w:r>
        <w:rPr>
          <w:rFonts w:ascii="Times New Roman" w:eastAsia="Times New Roman" w:hAnsi="Times New Roman" w:cs="Times New Roman"/>
        </w:rPr>
        <w:t>Strategy performance could be dependent on testing parameters in PCA, Machine L</w:t>
      </w:r>
      <w:r>
        <w:rPr>
          <w:rFonts w:ascii="Times New Roman" w:eastAsia="Times New Roman" w:hAnsi="Times New Roman" w:cs="Times New Roman"/>
        </w:rPr>
        <w:t>earning and Optimisation.​ However, we would like to avoid overfitting with specific parameters and stay our focus on comparing different machine models, therefore we set all the models in default settings which may not be the most profitable strategy.</w:t>
      </w:r>
    </w:p>
    <w:p w14:paraId="0F9D8609" w14:textId="77777777" w:rsidR="005E70B9" w:rsidRDefault="005E70B9">
      <w:pPr>
        <w:spacing w:line="360" w:lineRule="auto"/>
        <w:jc w:val="both"/>
        <w:rPr>
          <w:rFonts w:ascii="Times New Roman" w:eastAsia="Times New Roman" w:hAnsi="Times New Roman" w:cs="Times New Roman"/>
          <w:b/>
        </w:rPr>
      </w:pPr>
    </w:p>
    <w:p w14:paraId="292BC7A2" w14:textId="77777777" w:rsidR="005E70B9" w:rsidRDefault="00D40956">
      <w:pPr>
        <w:spacing w:line="360" w:lineRule="auto"/>
        <w:jc w:val="both"/>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b/>
        </w:rPr>
        <w:tab/>
        <w:t>Conclusion</w:t>
      </w:r>
    </w:p>
    <w:p w14:paraId="0F966CD1" w14:textId="77777777" w:rsidR="005E70B9" w:rsidRDefault="005E70B9">
      <w:pPr>
        <w:spacing w:line="360" w:lineRule="auto"/>
        <w:jc w:val="both"/>
        <w:rPr>
          <w:rFonts w:ascii="Times New Roman" w:eastAsia="Times New Roman" w:hAnsi="Times New Roman" w:cs="Times New Roman"/>
        </w:rPr>
      </w:pPr>
    </w:p>
    <w:p w14:paraId="18D95509" w14:textId="77777777" w:rsidR="005E70B9" w:rsidRDefault="00D40956">
      <w:pPr>
        <w:spacing w:line="360" w:lineRule="auto"/>
        <w:jc w:val="both"/>
        <w:rPr>
          <w:rFonts w:ascii="Times New Roman" w:eastAsia="Times New Roman" w:hAnsi="Times New Roman" w:cs="Times New Roman"/>
        </w:rPr>
      </w:pPr>
      <w:r>
        <w:rPr>
          <w:rFonts w:ascii="Times New Roman" w:eastAsia="Times New Roman" w:hAnsi="Times New Roman" w:cs="Times New Roman"/>
        </w:rPr>
        <w:t>In conclusion, our trading strategy yields a good performance with high returns and relatively moderate volatility, and it is a worth investing portfolio.</w:t>
      </w:r>
    </w:p>
    <w:p w14:paraId="649FFC34" w14:textId="77777777" w:rsidR="005E70B9" w:rsidRDefault="005E70B9">
      <w:pPr>
        <w:jc w:val="both"/>
        <w:rPr>
          <w:rFonts w:ascii="Times New Roman" w:eastAsia="Times New Roman" w:hAnsi="Times New Roman" w:cs="Times New Roman"/>
        </w:rPr>
      </w:pPr>
    </w:p>
    <w:sectPr w:rsidR="005E70B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0B9"/>
    <w:rsid w:val="005E70B9"/>
    <w:rsid w:val="00D4095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4CB642"/>
  <w15:docId w15:val="{99351CA8-198E-E643-902A-877F099C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80"/>
      <w:outlineLvl w:val="0"/>
    </w:pPr>
    <w:rPr>
      <w:b/>
      <w:color w:val="345A8A"/>
      <w:sz w:val="32"/>
    </w:rPr>
  </w:style>
  <w:style w:type="paragraph" w:styleId="Heading2">
    <w:name w:val="heading 2"/>
    <w:basedOn w:val="Normal"/>
    <w:uiPriority w:val="9"/>
    <w:semiHidden/>
    <w:unhideWhenUsed/>
    <w:qFormat/>
    <w:pPr>
      <w:spacing w:before="200"/>
      <w:outlineLvl w:val="1"/>
    </w:pPr>
    <w:rPr>
      <w:b/>
      <w:color w:val="4F81BD"/>
      <w:sz w:val="26"/>
    </w:rPr>
  </w:style>
  <w:style w:type="paragraph" w:styleId="Heading3">
    <w:name w:val="heading 3"/>
    <w:basedOn w:val="Normal"/>
    <w:uiPriority w:val="9"/>
    <w:semiHidden/>
    <w:unhideWhenUsed/>
    <w:qFormat/>
    <w:pPr>
      <w:spacing w:before="200"/>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300"/>
    </w:pPr>
    <w:rPr>
      <w:color w:val="17365D"/>
      <w:sz w:val="52"/>
    </w:rPr>
  </w:style>
  <w:style w:type="paragraph" w:styleId="ListParagraph">
    <w:name w:val="List Paragraph"/>
    <w:basedOn w:val="Normal"/>
    <w:uiPriority w:val="34"/>
    <w:qFormat/>
    <w:rsid w:val="00A66A34"/>
    <w:pPr>
      <w:ind w:left="720"/>
      <w:contextualSpacing/>
    </w:pPr>
  </w:style>
  <w:style w:type="paragraph" w:styleId="Subtitle">
    <w:name w:val="Subtitle"/>
    <w:basedOn w:val="Normal"/>
    <w:next w:val="Normal"/>
    <w:uiPriority w:val="11"/>
    <w:qFormat/>
    <w:rPr>
      <w:i/>
      <w:color w:val="4F81BD"/>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GJBrhdrJjieyHCg5ksaGbHLhGA==">AMUW2mX/piBaE/X+k4ePnqHIRaPRUQEFA1RS1T/5KTXrDpn/uBioPZ/YPW/THj/B/CtXViQdcnxiSxyfAwPXBH7sJt1dWhxbROnrk/srIqiSyuAMJzaQTxE=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Wing Ho</dc:creator>
  <cp:lastModifiedBy>LI, Wing Ho</cp:lastModifiedBy>
  <cp:revision>3</cp:revision>
  <cp:lastPrinted>2021-12-04T13:48:00Z</cp:lastPrinted>
  <dcterms:created xsi:type="dcterms:W3CDTF">2021-12-04T13:48:00Z</dcterms:created>
  <dcterms:modified xsi:type="dcterms:W3CDTF">2021-12-04T13:51:00Z</dcterms:modified>
</cp:coreProperties>
</file>