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Xfb3c5b0bea138957210a977aa69b201e55496a8"/>
    <w:p>
      <w:pPr>
        <w:pStyle w:val="Heading1"/>
      </w:pPr>
      <w:r>
        <w:t xml:space="preserve">ANALYSE DES BANQUES COOPÉRATIVES EUROPÉENNES (2005-2015)</w:t>
      </w:r>
    </w:p>
    <w:bookmarkStart w:id="20" w:name="X60ff08c36c89a301925ba4b614239c52a9411f5"/>
    <w:p>
      <w:pPr>
        <w:pStyle w:val="Heading2"/>
      </w:pPr>
      <w:r>
        <w:t xml:space="preserve">Impact de la Crise Financière sur le Modèle d’Affaires</w:t>
      </w:r>
    </w:p>
    <w:p>
      <w:r>
        <w:pict>
          <v:rect style="width:0;height:1.5pt" o:hralign="center" o:hrstd="t" o:hr="t"/>
        </w:pict>
      </w:r>
    </w:p>
    <w:bookmarkEnd w:id="20"/>
    <w:bookmarkStart w:id="21" w:name="table-des-matières"/>
    <w:p>
      <w:pPr>
        <w:pStyle w:val="Heading2"/>
      </w:pPr>
      <w:r>
        <w:t xml:space="preserve">TABLE DES MATIÈRES</w:t>
      </w:r>
    </w:p>
    <w:p>
      <w:pPr>
        <w:numPr>
          <w:ilvl w:val="0"/>
          <w:numId w:val="1001"/>
        </w:numPr>
        <w:pStyle w:val="Compact"/>
      </w:pPr>
      <w:hyperlink w:anchor="résumé-exécutif">
        <w:r>
          <w:rPr>
            <w:rStyle w:val="Hyperlink"/>
          </w:rPr>
          <w:t xml:space="preserve">Résumé Exécutif</w:t>
        </w:r>
      </w:hyperlink>
    </w:p>
    <w:p>
      <w:pPr>
        <w:numPr>
          <w:ilvl w:val="0"/>
          <w:numId w:val="1001"/>
        </w:numPr>
        <w:pStyle w:val="Compact"/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revue-de-littérature">
        <w:r>
          <w:rPr>
            <w:rStyle w:val="Hyperlink"/>
          </w:rPr>
          <w:t xml:space="preserve">Revue de Littérature</w:t>
        </w:r>
      </w:hyperlink>
    </w:p>
    <w:p>
      <w:pPr>
        <w:numPr>
          <w:ilvl w:val="0"/>
          <w:numId w:val="1001"/>
        </w:numPr>
        <w:pStyle w:val="Compact"/>
      </w:pPr>
      <w:hyperlink w:anchor="méthodologie">
        <w:r>
          <w:rPr>
            <w:rStyle w:val="Hyperlink"/>
          </w:rPr>
          <w:t xml:space="preserve">Méthodologie</w:t>
        </w:r>
      </w:hyperlink>
    </w:p>
    <w:p>
      <w:pPr>
        <w:numPr>
          <w:ilvl w:val="0"/>
          <w:numId w:val="1001"/>
        </w:numPr>
        <w:pStyle w:val="Compact"/>
      </w:pPr>
      <w:hyperlink w:anchor="résultats">
        <w:r>
          <w:rPr>
            <w:rStyle w:val="Hyperlink"/>
          </w:rPr>
          <w:t xml:space="preserve">Résultats</w:t>
        </w:r>
      </w:hyperlink>
    </w:p>
    <w:p>
      <w:pPr>
        <w:numPr>
          <w:ilvl w:val="0"/>
          <w:numId w:val="1001"/>
        </w:numPr>
        <w:pStyle w:val="Compact"/>
      </w:pPr>
      <w:hyperlink w:anchor="discussion">
        <w:r>
          <w:rPr>
            <w:rStyle w:val="Hyperlink"/>
          </w:rPr>
          <w:t xml:space="preserve">Discussion</w:t>
        </w:r>
      </w:hyperlink>
    </w:p>
    <w:p>
      <w:pPr>
        <w:numPr>
          <w:ilvl w:val="0"/>
          <w:numId w:val="1001"/>
        </w:numPr>
        <w:pStyle w:val="Compact"/>
      </w:pPr>
      <w:hyperlink w:anchor="conclusion">
        <w:r>
          <w:rPr>
            <w:rStyle w:val="Hyperlink"/>
          </w:rPr>
          <w:t xml:space="preserve">Conclusion</w:t>
        </w:r>
      </w:hyperlink>
    </w:p>
    <w:p>
      <w:pPr>
        <w:numPr>
          <w:ilvl w:val="0"/>
          <w:numId w:val="1001"/>
        </w:numPr>
        <w:pStyle w:val="Compact"/>
      </w:pPr>
      <w:hyperlink w:anchor="références">
        <w:r>
          <w:rPr>
            <w:rStyle w:val="Hyperlink"/>
          </w:rPr>
          <w:t xml:space="preserve">Références</w:t>
        </w:r>
      </w:hyperlink>
    </w:p>
    <w:p>
      <w:pPr>
        <w:numPr>
          <w:ilvl w:val="0"/>
          <w:numId w:val="1001"/>
        </w:numPr>
        <w:pStyle w:val="Compact"/>
      </w:pPr>
      <w:hyperlink w:anchor="annexes">
        <w:r>
          <w:rPr>
            <w:rStyle w:val="Hyperlink"/>
          </w:rPr>
          <w:t xml:space="preserve">Annexes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résumé-exécutif"/>
    <w:p>
      <w:pPr>
        <w:pStyle w:val="Heading2"/>
      </w:pPr>
      <w:r>
        <w:t xml:space="preserve">RÉSUMÉ EXÉCUTIF</w:t>
      </w:r>
    </w:p>
    <w:p>
      <w:pPr>
        <w:pStyle w:val="FirstParagraph"/>
      </w:pPr>
      <w:r>
        <w:t xml:space="preserve">Cette étude analyse l’impact de la crise financière de 2008 sur le modèle d’affaires des</w:t>
      </w:r>
      <w:r>
        <w:t xml:space="preserve"> </w:t>
      </w:r>
      <w:r>
        <w:rPr>
          <w:bCs/>
          <w:b/>
        </w:rPr>
        <w:t xml:space="preserve">1,696 banques coopératives européennes</w:t>
      </w:r>
      <w:r>
        <w:t xml:space="preserve"> </w:t>
      </w:r>
      <w:r>
        <w:t xml:space="preserve">à travers</w:t>
      </w:r>
      <w:r>
        <w:t xml:space="preserve"> </w:t>
      </w:r>
      <w:r>
        <w:rPr>
          <w:bCs/>
          <w:b/>
        </w:rPr>
        <w:t xml:space="preserve">8,249 observations</w:t>
      </w:r>
      <w:r>
        <w:t xml:space="preserve"> </w:t>
      </w:r>
      <w:r>
        <w:t xml:space="preserve">couvrant</w:t>
      </w:r>
      <w:r>
        <w:t xml:space="preserve"> </w:t>
      </w:r>
      <w:r>
        <w:rPr>
          <w:bCs/>
          <w:b/>
        </w:rPr>
        <w:t xml:space="preserve">22 pays</w:t>
      </w:r>
      <w:r>
        <w:t xml:space="preserve"> </w:t>
      </w:r>
      <w:r>
        <w:t xml:space="preserve">de 2005 à 2015.</w:t>
      </w:r>
    </w:p>
    <w:bookmarkStart w:id="22" w:name="principaux-résultats"/>
    <w:p>
      <w:pPr>
        <w:pStyle w:val="Heading3"/>
      </w:pPr>
      <w:r>
        <w:t xml:space="preserve">Principaux Résultats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Variation moyenne des actifs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-73.6% 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Variation des revenus de trading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-75.9% 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Clusters identifiés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profils distincts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Silhouette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0.8152 (excellent)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Variables significatives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 (p &lt; 0.05) ✅</w:t>
            </w:r>
          </w:p>
        </w:tc>
      </w:tr>
    </w:tbl>
    <w:bookmarkEnd w:id="22"/>
    <w:bookmarkStart w:id="23" w:name="conclusions-clés"/>
    <w:p>
      <w:pPr>
        <w:pStyle w:val="Heading3"/>
      </w:pPr>
      <w:r>
        <w:t xml:space="preserve">Conclusions Clés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Transformation drastique:</w:t>
      </w:r>
      <w:r>
        <w:t xml:space="preserve"> </w:t>
      </w:r>
      <w:r>
        <w:t xml:space="preserve">Les banques ont réduit drastiquement leurs portefeuilles post-crise (-73.6%)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Convergence stratégique:</w:t>
      </w:r>
      <w:r>
        <w:t xml:space="preserve"> </w:t>
      </w:r>
      <w:r>
        <w:t xml:space="preserve">Les banques adoptent des stratégies plus homogènes post-crise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4 profils identifiés:</w:t>
      </w:r>
      <w:r>
        <w:t xml:space="preserve"> </w:t>
      </w:r>
      <w:r>
        <w:t xml:space="preserve">C1 (99% saines), C2 (1.5% en difficulté), C3 (anomalies), C4 (géantes)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Impact régional:</w:t>
      </w:r>
      <w:r>
        <w:t xml:space="preserve"> </w:t>
      </w:r>
      <w:r>
        <w:t xml:space="preserve">Les pays du sud (Espagne, Italie) ont été plus affectés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introduction"/>
    <w:p>
      <w:pPr>
        <w:pStyle w:val="Heading2"/>
      </w:pPr>
      <w:r>
        <w:t xml:space="preserve">INTRODUCTION</w:t>
      </w:r>
    </w:p>
    <w:bookmarkStart w:id="25" w:name="contexte"/>
    <w:p>
      <w:pPr>
        <w:pStyle w:val="Heading3"/>
      </w:pPr>
      <w:r>
        <w:t xml:space="preserve">1.1 Contexte</w:t>
      </w:r>
    </w:p>
    <w:p>
      <w:pPr>
        <w:pStyle w:val="FirstParagraph"/>
      </w:pPr>
      <w:r>
        <w:t xml:space="preserve">La crise financière de 2008 est l’une des plus graves perturbations économiques de l’histoire récente. Déclenchée par l’effondrement du secteur immobilier américain, elle s’est propagée mondialement, affectant profondément l’industrie bancaire européenne.</w:t>
      </w:r>
    </w:p>
    <w:p>
      <w:pPr>
        <w:pStyle w:val="BodyText"/>
      </w:pPr>
      <w:r>
        <w:t xml:space="preserve">Les</w:t>
      </w:r>
      <w:r>
        <w:t xml:space="preserve"> </w:t>
      </w:r>
      <w:r>
        <w:rPr>
          <w:bCs/>
          <w:b/>
        </w:rPr>
        <w:t xml:space="preserve">banques coopératives</w:t>
      </w:r>
      <w:r>
        <w:t xml:space="preserve"> </w:t>
      </w:r>
      <w:r>
        <w:t xml:space="preserve">représentent une forme particulière d’institution financière:</w:t>
      </w:r>
      <w:r>
        <w:t xml:space="preserve"> </w:t>
      </w:r>
      <w:r>
        <w:t xml:space="preserve">- ✅ Structure mutuelle (propriété des membres)</w:t>
      </w:r>
      <w:r>
        <w:t xml:space="preserve"> </w:t>
      </w:r>
      <w:r>
        <w:t xml:space="preserve">- ✅ Gouvernance démocratique</w:t>
      </w:r>
      <w:r>
        <w:t xml:space="preserve"> </w:t>
      </w:r>
      <w:r>
        <w:t xml:space="preserve">- ✅ Modèle d’affaires centré sur les clients locaux</w:t>
      </w:r>
      <w:r>
        <w:t xml:space="preserve"> </w:t>
      </w:r>
      <w:r>
        <w:t xml:space="preserve">- ⚠️ Moins de flexibilité que les banques commerciales</w:t>
      </w:r>
    </w:p>
    <w:p>
      <w:pPr>
        <w:pStyle w:val="BodyText"/>
      </w:pPr>
      <w:r>
        <w:rPr>
          <w:bCs/>
          <w:b/>
        </w:rPr>
        <w:t xml:space="preserve">Question centrale:</w:t>
      </w:r>
      <w:r>
        <w:t xml:space="preserve"> </w:t>
      </w:r>
      <w:r>
        <w:rPr>
          <w:iCs/>
          <w:i/>
        </w:rPr>
        <w:t xml:space="preserve">Comment le modèle d’affaires des banques coopératives a-t-il évolué suite à cette crise?</w:t>
      </w:r>
    </w:p>
    <w:bookmarkEnd w:id="25"/>
    <w:bookmarkStart w:id="26" w:name="objectifs-de-létude"/>
    <w:p>
      <w:pPr>
        <w:pStyle w:val="Heading3"/>
      </w:pPr>
      <w:r>
        <w:t xml:space="preserve">1.2 Objectifs de l’Étude</w:t>
      </w:r>
    </w:p>
    <w:p>
      <w:pPr>
        <w:pStyle w:val="FirstParagraph"/>
      </w:pPr>
      <w:r>
        <w:rPr>
          <w:bCs/>
          <w:b/>
        </w:rPr>
        <w:t xml:space="preserve">Objectif général:</w:t>
      </w:r>
      <w:r>
        <w:t xml:space="preserve"> </w:t>
      </w:r>
      <w:r>
        <w:t xml:space="preserve">Analyser les changements dans les stratégies financières des banques coopératives européennes entre 2005-2010 (pré-crise) et 2011-2015 (post-crise).</w:t>
      </w:r>
    </w:p>
    <w:p>
      <w:pPr>
        <w:pStyle w:val="BodyText"/>
      </w:pPr>
      <w:r>
        <w:rPr>
          <w:bCs/>
          <w:b/>
        </w:rPr>
        <w:t xml:space="preserve">Sous-objectifs:</w:t>
      </w:r>
      <w:r>
        <w:t xml:space="preserve"> </w:t>
      </w:r>
      <w:r>
        <w:t xml:space="preserve">1. Identifier les variables financières les plus impactées</w:t>
      </w:r>
      <w:r>
        <w:t xml:space="preserve"> </w:t>
      </w:r>
      <w:r>
        <w:t xml:space="preserve">2. Découvrir des groupes homogènes de banques</w:t>
      </w:r>
      <w:r>
        <w:t xml:space="preserve"> </w:t>
      </w:r>
      <w:r>
        <w:t xml:space="preserve">3. Évaluer la qualité de la segmentation</w:t>
      </w:r>
      <w:r>
        <w:t xml:space="preserve"> </w:t>
      </w:r>
      <w:r>
        <w:t xml:space="preserve">4. Analyser les impacts régionaux</w:t>
      </w:r>
      <w:r>
        <w:t xml:space="preserve"> </w:t>
      </w:r>
      <w:r>
        <w:t xml:space="preserve">5. Mesurer les changements de prudence réglementaire</w:t>
      </w:r>
    </w:p>
    <w:bookmarkEnd w:id="26"/>
    <w:bookmarkStart w:id="27" w:name="importance-et-pertinence"/>
    <w:p>
      <w:pPr>
        <w:pStyle w:val="Heading3"/>
      </w:pPr>
      <w:r>
        <w:t xml:space="preserve">1.3 Importance et Pertinence</w:t>
      </w:r>
    </w:p>
    <w:p>
      <w:pPr>
        <w:pStyle w:val="FirstParagraph"/>
      </w:pPr>
      <w:r>
        <w:t xml:space="preserve">Cette étude pourrait intéresser:</w:t>
      </w:r>
      <w:r>
        <w:t xml:space="preserve"> </w:t>
      </w:r>
      <w:r>
        <w:t xml:space="preserve">- 🏦 Les régulateurs bancaires (prudence, stabilité)</w:t>
      </w:r>
      <w:r>
        <w:t xml:space="preserve"> </w:t>
      </w:r>
      <w:r>
        <w:t xml:space="preserve">- 📊 Les économistes (comportement sous crise)</w:t>
      </w:r>
      <w:r>
        <w:t xml:space="preserve"> </w:t>
      </w:r>
      <w:r>
        <w:t xml:space="preserve">- 🌍 Les décideurs politiques (stabilité régionale)</w:t>
      </w:r>
      <w:r>
        <w:t xml:space="preserve"> </w:t>
      </w:r>
      <w:r>
        <w:t xml:space="preserve">- 🎓 Les chercheurs en finance</w:t>
      </w:r>
      <w:r>
        <w:t xml:space="preserve"> </w:t>
      </w:r>
      <w:r>
        <w:t xml:space="preserve">- 🤝 Les banques coopératives elles-mêmes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revue-de-littérature"/>
    <w:p>
      <w:pPr>
        <w:pStyle w:val="Heading2"/>
      </w:pPr>
      <w:r>
        <w:t xml:space="preserve">REVUE DE LITTÉRATURE</w:t>
      </w:r>
    </w:p>
    <w:bookmarkStart w:id="29" w:name="X31ae60261e10e9d371dcec5e1aa1d2db7f02208"/>
    <w:p>
      <w:pPr>
        <w:pStyle w:val="Heading3"/>
      </w:pPr>
      <w:r>
        <w:t xml:space="preserve">2.1 Impact des Crises sur le Secteur Bancaire</w:t>
      </w:r>
    </w:p>
    <w:p>
      <w:pPr>
        <w:pStyle w:val="FirstParagraph"/>
      </w:pPr>
      <w:r>
        <w:rPr>
          <w:bCs/>
          <w:b/>
        </w:rPr>
        <w:t xml:space="preserve">Kashyap &amp; Stein (2000):</w:t>
      </w:r>
      <w:r>
        <w:t xml:space="preserve"> </w:t>
      </w:r>
      <w:r>
        <w:t xml:space="preserve">Les crises forcent les banques à réduire leurs portefeuilles de prêts.</w:t>
      </w:r>
    </w:p>
    <w:p>
      <w:pPr>
        <w:pStyle w:val="BodyText"/>
      </w:pPr>
      <w:r>
        <w:rPr>
          <w:bCs/>
          <w:b/>
        </w:rPr>
        <w:t xml:space="preserve">Allen &amp; Gale (2007):</w:t>
      </w:r>
      <w:r>
        <w:t xml:space="preserve"> </w:t>
      </w:r>
      <w:r>
        <w:t xml:space="preserve">La structure de gouvernance affecte la résilience aux chocs externes.</w:t>
      </w:r>
    </w:p>
    <w:p>
      <w:pPr>
        <w:pStyle w:val="BodyText"/>
      </w:pPr>
      <w:r>
        <w:rPr>
          <w:bCs/>
          <w:b/>
        </w:rPr>
        <w:t xml:space="preserve">Barth et al. (2012):</w:t>
      </w:r>
      <w:r>
        <w:t xml:space="preserve"> </w:t>
      </w:r>
      <w:r>
        <w:t xml:space="preserve">Les banques coopératives montrent une résilience supérieure aux crises comparées aux banques commerciales.</w:t>
      </w:r>
    </w:p>
    <w:bookmarkEnd w:id="29"/>
    <w:bookmarkStart w:id="30" w:name="clustering-bancaire"/>
    <w:p>
      <w:pPr>
        <w:pStyle w:val="Heading3"/>
      </w:pPr>
      <w:r>
        <w:t xml:space="preserve">2.2 Clustering Bancaire</w:t>
      </w:r>
    </w:p>
    <w:p>
      <w:pPr>
        <w:pStyle w:val="FirstParagraph"/>
      </w:pPr>
      <w:r>
        <w:t xml:space="preserve">Les études utilisent classiquement: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K-means:</w:t>
      </w:r>
      <w:r>
        <w:t xml:space="preserve"> </w:t>
      </w:r>
      <w:r>
        <w:t xml:space="preserve">Simple, efficace, interpretable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ACP (Analyse en Composantes Principales):</w:t>
      </w:r>
      <w:r>
        <w:t xml:space="preserve"> </w:t>
      </w:r>
      <w:r>
        <w:t xml:space="preserve">Réduction de dimensionnalité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Variables:</w:t>
      </w:r>
      <w:r>
        <w:t xml:space="preserve"> </w:t>
      </w:r>
      <w:r>
        <w:t xml:space="preserve">Actifs, rentabilité, ratios de solvabilité</w:t>
      </w:r>
    </w:p>
    <w:bookmarkEnd w:id="30"/>
    <w:bookmarkStart w:id="31" w:name="méthodes-statistiques"/>
    <w:p>
      <w:pPr>
        <w:pStyle w:val="Heading3"/>
      </w:pPr>
      <w:r>
        <w:t xml:space="preserve">2.3 Méthodes Statistiques</w:t>
      </w:r>
    </w:p>
    <w:p>
      <w:pPr>
        <w:pStyle w:val="FirstParagraph"/>
      </w:pPr>
      <w:r>
        <w:rPr>
          <w:bCs/>
          <w:b/>
        </w:rPr>
        <w:t xml:space="preserve">T-test de Student:</w:t>
      </w:r>
      <w:r>
        <w:t xml:space="preserve"> </w:t>
      </w:r>
      <w:r>
        <w:t xml:space="preserve">Compare deux groupes indépendants</w:t>
      </w:r>
      <w:r>
        <w:t xml:space="preserve"> </w:t>
      </w:r>
      <w:r>
        <w:t xml:space="preserve">- Avantage: Simple, robuste</w:t>
      </w:r>
      <w:r>
        <w:t xml:space="preserve"> </w:t>
      </w:r>
      <w:r>
        <w:t xml:space="preserve">- Limite: Suppose distribution normale</w:t>
      </w:r>
    </w:p>
    <w:p>
      <w:pPr>
        <w:pStyle w:val="BodyText"/>
      </w:pPr>
      <w:r>
        <w:rPr>
          <w:bCs/>
          <w:b/>
        </w:rPr>
        <w:t xml:space="preserve">Cohen’s d:</w:t>
      </w:r>
      <w:r>
        <w:t xml:space="preserve"> </w:t>
      </w:r>
      <w:r>
        <w:t xml:space="preserve">Mesure la taille d’effet (impact pratique)</w:t>
      </w:r>
      <w:r>
        <w:t xml:space="preserve"> </w:t>
      </w:r>
      <w:r>
        <w:t xml:space="preserve">- Interprétation: 0.2 (petit), 0.5 (moyen), 0.8+ (grand)</w:t>
      </w:r>
    </w:p>
    <w:p>
      <w:pPr>
        <w:pStyle w:val="BodyText"/>
      </w:pPr>
      <w:r>
        <w:rPr>
          <w:bCs/>
          <w:b/>
        </w:rPr>
        <w:t xml:space="preserve">Silhouette Score:</w:t>
      </w:r>
      <w:r>
        <w:t xml:space="preserve"> </w:t>
      </w:r>
      <w:r>
        <w:t xml:space="preserve">Valide la qualité du clustering (0-1)</w:t>
      </w:r>
      <w:r>
        <w:t xml:space="preserve"> </w:t>
      </w:r>
      <w:r>
        <w:t xml:space="preserve">- &gt; 0.5: Bon clustering</w:t>
      </w:r>
      <w:r>
        <w:t xml:space="preserve"> </w:t>
      </w:r>
      <w:r>
        <w:t xml:space="preserve">- &gt; 0.7: Excellent clustering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méthodologie"/>
    <w:p>
      <w:pPr>
        <w:pStyle w:val="Heading2"/>
      </w:pPr>
      <w:r>
        <w:t xml:space="preserve">MÉTHODOLOGIE</w:t>
      </w:r>
    </w:p>
    <w:bookmarkStart w:id="33" w:name="source-de-données"/>
    <w:p>
      <w:pPr>
        <w:pStyle w:val="Heading3"/>
      </w:pPr>
      <w:r>
        <w:t xml:space="preserve">3.1 Source de Données</w:t>
      </w:r>
    </w:p>
    <w:p>
      <w:pPr>
        <w:pStyle w:val="FirstParagraph"/>
      </w:pPr>
      <w:r>
        <w:rPr>
          <w:bCs/>
          <w:b/>
        </w:rPr>
        <w:t xml:space="preserve">Dataset:</w:t>
      </w:r>
      <w:r>
        <w:t xml:space="preserve"> </w:t>
      </w:r>
      <w:r>
        <w:t xml:space="preserve">Theme4_coop_zoom_data (European Banking Authority)</w:t>
      </w:r>
    </w:p>
    <w:p>
      <w:pPr>
        <w:pStyle w:val="BodyText"/>
      </w:pPr>
      <w:r>
        <w:rPr>
          <w:bCs/>
          <w:b/>
        </w:rPr>
        <w:t xml:space="preserve">Composition:</w:t>
      </w:r>
      <w:r>
        <w:t xml:space="preserve"> </w:t>
      </w:r>
      <w:r>
        <w:t xml:space="preserve">- 1,696 banques coopératives uniques</w:t>
      </w:r>
      <w:r>
        <w:t xml:space="preserve"> </w:t>
      </w:r>
      <w:r>
        <w:t xml:space="preserve">- 8,249 observations (année × banque)</w:t>
      </w:r>
      <w:r>
        <w:t xml:space="preserve"> </w:t>
      </w:r>
      <w:r>
        <w:t xml:space="preserve">- 22 pays couverts</w:t>
      </w:r>
      <w:r>
        <w:t xml:space="preserve"> </w:t>
      </w:r>
      <w:r>
        <w:t xml:space="preserve">- Période: 2005-2015 (11 années)</w:t>
      </w:r>
    </w:p>
    <w:p>
      <w:pPr>
        <w:pStyle w:val="BodyText"/>
      </w:pPr>
      <w:r>
        <w:rPr>
          <w:bCs/>
          <w:b/>
        </w:rPr>
        <w:t xml:space="preserve">Division temporelle:</w:t>
      </w:r>
      <w:r>
        <w:t xml:space="preserve"> </w:t>
      </w:r>
      <w:r>
        <w:t xml:space="preserve">- Pré-crise: 2005-2010 (1,441 observations)</w:t>
      </w:r>
      <w:r>
        <w:t xml:space="preserve"> </w:t>
      </w:r>
      <w:r>
        <w:t xml:space="preserve">- Post-crise: 2011-2015 (6,808 observations)</w:t>
      </w:r>
    </w:p>
    <w:bookmarkEnd w:id="33"/>
    <w:bookmarkStart w:id="34" w:name="variables-sélectionnées"/>
    <w:p>
      <w:pPr>
        <w:pStyle w:val="Heading3"/>
      </w:pPr>
      <w:r>
        <w:t xml:space="preserve">3.2 Variables Sélectionnées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2200"/>
        <w:gridCol w:w="154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Actifs Totaux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Millions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Taille de la banque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ass_trade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Actifs de Trading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Millions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Expositions spéculatives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inc_trade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Revenus de Trading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Millions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 de spéculation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in_roa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 (Return on Assets)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Rentabilité de l’actif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rt_rwa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RWA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de pondération risque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in_roe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ROE (Return on 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Rentabilité des fonds propres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Trading/Revenu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Exposition relative au trading</w:t>
            </w:r>
          </w:p>
        </w:tc>
      </w:tr>
    </w:tbl>
    <w:bookmarkEnd w:id="34"/>
    <w:bookmarkStart w:id="35" w:name="plan-danalyse"/>
    <w:p>
      <w:pPr>
        <w:pStyle w:val="Heading3"/>
      </w:pPr>
      <w:r>
        <w:t xml:space="preserve">3.3 Plan d’Analyse</w:t>
      </w:r>
    </w:p>
    <w:p>
      <w:pPr>
        <w:pStyle w:val="FirstParagraph"/>
      </w:pPr>
      <w:r>
        <w:rPr>
          <w:bCs/>
          <w:b/>
        </w:rPr>
        <w:t xml:space="preserve">Phase 1: Statistiques descriptives</w:t>
      </w:r>
      <w:r>
        <w:t xml:space="preserve"> </w:t>
      </w:r>
      <w:r>
        <w:t xml:space="preserve">- Moyennes, écarts-types, médianes par période</w:t>
      </w:r>
    </w:p>
    <w:p>
      <w:pPr>
        <w:pStyle w:val="BodyText"/>
      </w:pPr>
      <w:r>
        <w:rPr>
          <w:bCs/>
          <w:b/>
        </w:rPr>
        <w:t xml:space="preserve">Phase 2: Tests de significativité (t-test)</w:t>
      </w:r>
      <w:r>
        <w:t xml:space="preserve"> </w:t>
      </w:r>
      <w:r>
        <w:t xml:space="preserve">- H₀: μ_pré = μ_post (pas de différence)</w:t>
      </w:r>
      <w:r>
        <w:t xml:space="preserve"> </w:t>
      </w:r>
      <w:r>
        <w:t xml:space="preserve">- H₁: μ_pré ≠ μ_post (différence existe)</w:t>
      </w:r>
      <w:r>
        <w:t xml:space="preserve"> </w:t>
      </w:r>
      <w:r>
        <w:t xml:space="preserve">- Seuil: α = 0.05</w:t>
      </w:r>
    </w:p>
    <w:p>
      <w:pPr>
        <w:pStyle w:val="BodyText"/>
      </w:pPr>
      <w:r>
        <w:rPr>
          <w:bCs/>
          <w:b/>
        </w:rPr>
        <w:t xml:space="preserve">Phase 3: Clustering K-means</w:t>
      </w:r>
      <w:r>
        <w:t xml:space="preserve"> </w:t>
      </w:r>
      <w:r>
        <w:t xml:space="preserve">- Détermination du k optimal (méthode du coude)</w:t>
      </w:r>
      <w:r>
        <w:t xml:space="preserve"> </w:t>
      </w:r>
      <w:r>
        <w:t xml:space="preserve">- Clustering en 7D (variables standardisées)</w:t>
      </w:r>
      <w:r>
        <w:t xml:space="preserve"> </w:t>
      </w:r>
      <w:r>
        <w:t xml:space="preserve">- Validation par Silhouette Score</w:t>
      </w:r>
    </w:p>
    <w:p>
      <w:pPr>
        <w:pStyle w:val="BodyText"/>
      </w:pPr>
      <w:r>
        <w:rPr>
          <w:bCs/>
          <w:b/>
        </w:rPr>
        <w:t xml:space="preserve">Phase 4: ANOVA</w:t>
      </w:r>
      <w:r>
        <w:t xml:space="preserve"> </w:t>
      </w:r>
      <w:r>
        <w:t xml:space="preserve">- Test si les clusters diffèrent significativement</w:t>
      </w:r>
    </w:p>
    <w:p>
      <w:pPr>
        <w:pStyle w:val="BodyText"/>
      </w:pPr>
      <w:r>
        <w:rPr>
          <w:bCs/>
          <w:b/>
        </w:rPr>
        <w:t xml:space="preserve">Phase 5: ACP</w:t>
      </w:r>
      <w:r>
        <w:t xml:space="preserve"> </w:t>
      </w:r>
      <w:r>
        <w:t xml:space="preserve">- Projection 2D pour visualisation</w:t>
      </w:r>
      <w:r>
        <w:t xml:space="preserve"> </w:t>
      </w:r>
      <w:r>
        <w:t xml:space="preserve">- Identification de relations entre variables</w:t>
      </w:r>
    </w:p>
    <w:p>
      <w:pPr>
        <w:pStyle w:val="BodyText"/>
      </w:pPr>
      <w:r>
        <w:rPr>
          <w:bCs/>
          <w:b/>
        </w:rPr>
        <w:t xml:space="preserve">Phase 6: Analyse par pays</w:t>
      </w:r>
      <w:r>
        <w:t xml:space="preserve"> </w:t>
      </w:r>
      <w:r>
        <w:t xml:space="preserve">- Impact régional de la crise</w:t>
      </w:r>
    </w:p>
    <w:bookmarkEnd w:id="35"/>
    <w:bookmarkStart w:id="36" w:name="outils-et-logiciels"/>
    <w:p>
      <w:pPr>
        <w:pStyle w:val="Heading3"/>
      </w:pPr>
      <w:r>
        <w:t xml:space="preserve">3.4 Outils et Logiciels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Langage:</w:t>
      </w:r>
      <w:r>
        <w:t xml:space="preserve"> </w:t>
      </w:r>
      <w:r>
        <w:t xml:space="preserve">Python 3.12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Librairies:</w:t>
      </w:r>
      <w:r>
        <w:t xml:space="preserve"> </w:t>
      </w:r>
      <w:r>
        <w:t xml:space="preserve">pandas, numpy, scikit-learn, scipy, matplotlib, seaborn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Déploiement:</w:t>
      </w:r>
      <w:r>
        <w:t xml:space="preserve"> </w:t>
      </w:r>
      <w:r>
        <w:t xml:space="preserve">Streamlit Cloud (application web interactive)</w:t>
      </w:r>
    </w:p>
    <w:bookmarkEnd w:id="36"/>
    <w:bookmarkStart w:id="37" w:name="préprocédure-des-données"/>
    <w:p>
      <w:pPr>
        <w:pStyle w:val="Heading3"/>
      </w:pPr>
      <w:r>
        <w:t xml:space="preserve">3.5 Préprocédure des Données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Nettoyage:</w:t>
      </w:r>
      <w:r>
        <w:t xml:space="preserve"> </w:t>
      </w:r>
      <w:r>
        <w:t xml:space="preserve">Suppression des valeurs manquantes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Normalisation:</w:t>
      </w:r>
      <w:r>
        <w:t xml:space="preserve"> </w:t>
      </w:r>
      <w:r>
        <w:t xml:space="preserve">StandardScaler (μ=0, σ=1) pour le clustering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Période:</w:t>
      </w:r>
      <w:r>
        <w:t xml:space="preserve"> </w:t>
      </w:r>
      <w:r>
        <w:t xml:space="preserve">Dichotomie 2010 / 2011 (pré vs post)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0" w:name="résultats"/>
    <w:p>
      <w:pPr>
        <w:pStyle w:val="Heading2"/>
      </w:pPr>
      <w:r>
        <w:t xml:space="preserve">RÉSULTATS</w:t>
      </w:r>
    </w:p>
    <w:bookmarkStart w:id="41" w:name="statistiques-descriptives"/>
    <w:p>
      <w:pPr>
        <w:pStyle w:val="Heading3"/>
      </w:pPr>
      <w:r>
        <w:t xml:space="preserve">4.1 Statistiques Descriptives</w:t>
      </w:r>
    </w:p>
    <w:bookmarkStart w:id="39" w:name="actifs-totaux-ass_total"/>
    <w:p>
      <w:pPr>
        <w:pStyle w:val="Heading4"/>
      </w:pPr>
      <w:r>
        <w:t xml:space="preserve">4.1.1 Actifs Totaux (ass_total)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Statistique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Pré-crise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20,072.57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5,295.17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-73.6% 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3,427.50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1,128.90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-67.1%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Écart-type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123,071.16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63,335.16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-48.5%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1,879,536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1,654,273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Interprétation:</w:t>
      </w:r>
      <w:r>
        <w:t xml:space="preserve"> </w:t>
      </w:r>
      <w:r>
        <w:t xml:space="preserve">Réduction massive des actifs moyens, mais aussi réduction de la dispersion (plus homogène).</w:t>
      </w:r>
    </w:p>
    <w:bookmarkEnd w:id="39"/>
    <w:bookmarkStart w:id="40" w:name="autres-variables-résumé"/>
    <w:p>
      <w:pPr>
        <w:pStyle w:val="Heading4"/>
      </w:pPr>
      <w:r>
        <w:t xml:space="preserve">4.1.2 Autres Variables (Résumé)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Pré-crise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Cohen’s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Actifs Trading (ass_trade)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486.02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105.42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-78.3%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ROA (in_roa)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ROE (in_roe)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-36.6%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Revenus Trading (inc_trade)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34.87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8.14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 RWA (rt_rwa)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Trading (in_trade)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-46.1%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Observation clé:</w:t>
      </w:r>
      <w:r>
        <w:t xml:space="preserve"> </w:t>
      </w:r>
      <w:r>
        <w:t xml:space="preserve">Toutes les réductions, sauf RWA qui augmente (normes plus strictes).</w:t>
      </w:r>
    </w:p>
    <w:bookmarkEnd w:id="40"/>
    <w:bookmarkEnd w:id="41"/>
    <w:bookmarkStart w:id="42" w:name="tests-de-significativité-t-test"/>
    <w:p>
      <w:pPr>
        <w:pStyle w:val="Heading3"/>
      </w:pPr>
      <w:r>
        <w:t xml:space="preserve">4.2 Tests de Significativité (t-test)</w:t>
      </w:r>
    </w:p>
    <w:p>
      <w:pPr>
        <w:pStyle w:val="FirstParagraph"/>
      </w:pPr>
      <w:r>
        <w:rPr>
          <w:bCs/>
          <w:b/>
        </w:rPr>
        <w:t xml:space="preserve">Résultats complets:</w:t>
      </w:r>
      <w:r>
        <w:t xml:space="preserve"> </w:t>
      </w:r>
      <w:r>
        <w:t xml:space="preserve">Voir</w:t>
      </w:r>
      <w:r>
        <w:t xml:space="preserve"> </w:t>
      </w:r>
      <w:hyperlink w:anchor="annexe-a-résultats-complets-t-test">
        <w:r>
          <w:rPr>
            <w:rStyle w:val="Hyperlink"/>
          </w:rPr>
          <w:t xml:space="preserve">Annexe A</w:t>
        </w:r>
      </w:hyperlink>
    </w:p>
    <w:p>
      <w:pPr>
        <w:pStyle w:val="BodyText"/>
      </w:pPr>
      <w:r>
        <w:rPr>
          <w:bCs/>
          <w:b/>
        </w:rPr>
        <w:t xml:space="preserve">Résumé: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Toutes les 7 variables</w:t>
      </w:r>
      <w:r>
        <w:t xml:space="preserve"> </w:t>
      </w:r>
      <w:r>
        <w:t xml:space="preserve">sont significativamente différentes (p &lt; 0.05)</w:t>
      </w:r>
      <w:r>
        <w:t xml:space="preserve"> </w:t>
      </w:r>
      <w:r>
        <w:t xml:space="preserve">- 📊 Effet sizes très petits (Cohen’s d: 0.12 à 0.19)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Paradoxe:</w:t>
      </w:r>
      <w:r>
        <w:t xml:space="preserve"> </w:t>
      </w:r>
      <w:r>
        <w:t xml:space="preserve">Grandes différences statistiques mais petits effets pratiques</w:t>
      </w:r>
      <w:r>
        <w:t xml:space="preserve"> </w:t>
      </w:r>
      <w:r>
        <w:t xml:space="preserve">- Raison: Large échantillon (n=8,249) + énorme variance</w:t>
      </w:r>
    </w:p>
    <w:p>
      <w:pPr>
        <w:pStyle w:val="BodyText"/>
      </w:pPr>
      <w:r>
        <w:rPr>
          <w:bCs/>
          <w:b/>
        </w:rPr>
        <w:t xml:space="preserve">Interprétation:</w:t>
      </w:r>
      <w:r>
        <w:t xml:space="preserve"> </w:t>
      </w:r>
      <w:r>
        <w:t xml:space="preserve">Les changements sont</w:t>
      </w:r>
      <w:r>
        <w:t xml:space="preserve"> </w:t>
      </w:r>
      <w:r>
        <w:rPr>
          <w:bCs/>
          <w:b/>
        </w:rPr>
        <w:t xml:space="preserve">réels et démontrables</w:t>
      </w:r>
      <w:r>
        <w:t xml:space="preserve"> </w:t>
      </w:r>
      <w:r>
        <w:t xml:space="preserve">mais</w:t>
      </w:r>
      <w:r>
        <w:t xml:space="preserve"> </w:t>
      </w:r>
      <w:r>
        <w:rPr>
          <w:bCs/>
          <w:b/>
        </w:rPr>
        <w:t xml:space="preserve">graduels</w:t>
      </w:r>
      <w:r>
        <w:t xml:space="preserve"> </w:t>
      </w:r>
      <w:r>
        <w:t xml:space="preserve">(pas de rupture nette).</w:t>
      </w:r>
    </w:p>
    <w:bookmarkEnd w:id="42"/>
    <w:bookmarkStart w:id="46" w:name="clustering-k-means-4-clusters"/>
    <w:p>
      <w:pPr>
        <w:pStyle w:val="Heading3"/>
      </w:pPr>
      <w:r>
        <w:t xml:space="preserve">4.3 Clustering K-means (4 clusters)</w:t>
      </w:r>
    </w:p>
    <w:bookmarkStart w:id="43" w:name="profils-identifiés"/>
    <w:p>
      <w:pPr>
        <w:pStyle w:val="Heading4"/>
      </w:pPr>
      <w:r>
        <w:t xml:space="preserve">4.3.1 Profils Identifiés</w:t>
      </w:r>
    </w:p>
    <w:p>
      <w:pPr>
        <w:pStyle w:val="FirstParagraph"/>
      </w:pPr>
      <w:r>
        <w:rPr>
          <w:bCs/>
          <w:b/>
        </w:rPr>
        <w:t xml:space="preserve">Cluster 1: Petites Banques Saines (99%)</w:t>
      </w:r>
      <w:r>
        <w:t xml:space="preserve"> </w:t>
      </w:r>
      <w:r>
        <w:t xml:space="preserve">- Actifs: 1,200-3,500 M€ (petites)</w:t>
      </w:r>
      <w:r>
        <w:t xml:space="preserve"> </w:t>
      </w:r>
      <w:r>
        <w:t xml:space="preserve">- ROA: 0.4-0.6% (profitable)</w:t>
      </w:r>
      <w:r>
        <w:t xml:space="preserve"> </w:t>
      </w:r>
      <w:r>
        <w:t xml:space="preserve">- RWA: 12-14% (prudent)</w:t>
      </w:r>
      <w:r>
        <w:t xml:space="preserve"> </w:t>
      </w:r>
      <w:r>
        <w:t xml:space="preserve">- Stratégie: Conservative, locale</w:t>
      </w:r>
    </w:p>
    <w:p>
      <w:pPr>
        <w:pStyle w:val="BodyText"/>
      </w:pPr>
      <w:r>
        <w:rPr>
          <w:bCs/>
          <w:b/>
        </w:rPr>
        <w:t xml:space="preserve">Cluster 2: Petites Banques Difficultés (1.5%)</w:t>
      </w:r>
      <w:r>
        <w:t xml:space="preserve"> </w:t>
      </w:r>
      <w:r>
        <w:t xml:space="preserve">- Actifs: 1,500-2,500 M€</w:t>
      </w:r>
      <w:r>
        <w:t xml:space="preserve"> </w:t>
      </w:r>
      <w:r>
        <w:t xml:space="preserve">- ROA: -0.1% à 0.1% (non-profitable)</w:t>
      </w:r>
      <w:r>
        <w:t xml:space="preserve"> </w:t>
      </w:r>
      <w:r>
        <w:t xml:space="preserve">- RWA: 18-20% (très prudent)</w:t>
      </w:r>
      <w:r>
        <w:t xml:space="preserve"> </w:t>
      </w:r>
      <w:r>
        <w:t xml:space="preserve">- Stratégie: Stress, restructuration</w:t>
      </w:r>
    </w:p>
    <w:p>
      <w:pPr>
        <w:pStyle w:val="BodyText"/>
      </w:pPr>
      <w:r>
        <w:rPr>
          <w:bCs/>
          <w:b/>
        </w:rPr>
        <w:t xml:space="preserve">Cluster 3: Anomalies (rare)</w:t>
      </w:r>
      <w:r>
        <w:t xml:space="preserve"> </w:t>
      </w:r>
      <w:r>
        <w:t xml:space="preserve">- Présent pré-crise,</w:t>
      </w:r>
      <w:r>
        <w:t xml:space="preserve"> </w:t>
      </w:r>
      <w:r>
        <w:rPr>
          <w:bCs/>
          <w:b/>
        </w:rPr>
        <w:t xml:space="preserve">disparu post-crise</w:t>
      </w:r>
      <w:r>
        <w:t xml:space="preserve"> </w:t>
      </w:r>
      <w:r>
        <w:t xml:space="preserve">- Caractéristiques: Non-classables</w:t>
      </w:r>
    </w:p>
    <w:p>
      <w:pPr>
        <w:pStyle w:val="BodyText"/>
      </w:pPr>
      <w:r>
        <w:rPr>
          <w:bCs/>
          <w:b/>
        </w:rPr>
        <w:t xml:space="preserve">Cluster 4: Géantes (&lt; 0.1%)</w:t>
      </w:r>
      <w:r>
        <w:t xml:space="preserve"> </w:t>
      </w:r>
      <w:r>
        <w:t xml:space="preserve">- Actifs: &gt; 500,000 M€</w:t>
      </w:r>
      <w:r>
        <w:t xml:space="preserve"> </w:t>
      </w:r>
      <w:r>
        <w:t xml:space="preserve">- Statut: Multinationales, exceptional</w:t>
      </w:r>
    </w:p>
    <w:bookmarkEnd w:id="43"/>
    <w:bookmarkStart w:id="44" w:name="évolution-des-clusters"/>
    <w:p>
      <w:pPr>
        <w:pStyle w:val="Heading4"/>
      </w:pPr>
      <w:r>
        <w:t xml:space="preserve">4.3.2 Évolution des Clusters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Pré-crise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-0.9pp (stabilité)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+1.2pp (dégradation)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-0.5pp (disparition)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Interprétation:</w:t>
      </w:r>
      <w:r>
        <w:t xml:space="preserve"> </w:t>
      </w:r>
      <w:r>
        <w:t xml:space="preserve">Structure stable, mais légère augmentation des banques en difficulté.</w:t>
      </w:r>
    </w:p>
    <w:bookmarkEnd w:id="44"/>
    <w:bookmarkStart w:id="45" w:name="validation-de-la-qualité"/>
    <w:p>
      <w:pPr>
        <w:pStyle w:val="Heading4"/>
      </w:pPr>
      <w:r>
        <w:t xml:space="preserve">4.3.3 Validation de la Qualité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Silhouette Score:</w:t>
      </w:r>
      <w:r>
        <w:t xml:space="preserve"> </w:t>
      </w:r>
      <w:r>
        <w:t xml:space="preserve">0.8152 →</w:t>
      </w:r>
      <w:r>
        <w:t xml:space="preserve"> </w:t>
      </w:r>
      <w:r>
        <w:rPr>
          <w:bCs/>
          <w:b/>
        </w:rPr>
        <w:t xml:space="preserve">EXCELLENT</w:t>
      </w:r>
      <w:r>
        <w:t xml:space="preserve"> </w:t>
      </w:r>
      <w:r>
        <w:t xml:space="preserve">(clusters bien séparés)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Davies-Bouldin Index:</w:t>
      </w:r>
      <w:r>
        <w:t xml:space="preserve"> </w:t>
      </w:r>
      <w:r>
        <w:t xml:space="preserve">0.5786 →</w:t>
      </w:r>
      <w:r>
        <w:t xml:space="preserve"> </w:t>
      </w:r>
      <w:r>
        <w:rPr>
          <w:bCs/>
          <w:b/>
        </w:rPr>
        <w:t xml:space="preserve">TRÈS BON</w:t>
      </w:r>
      <w:r>
        <w:t xml:space="preserve"> </w:t>
      </w:r>
      <w:r>
        <w:t xml:space="preserve">(grande séparation)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Calinski-Harabasz Index:</w:t>
      </w:r>
      <w:r>
        <w:t xml:space="preserve"> </w:t>
      </w:r>
      <w:r>
        <w:t xml:space="preserve">2488.88 →</w:t>
      </w:r>
      <w:r>
        <w:t xml:space="preserve"> </w:t>
      </w:r>
      <w:r>
        <w:rPr>
          <w:bCs/>
          <w:b/>
        </w:rPr>
        <w:t xml:space="preserve">EXCELLENT</w:t>
      </w:r>
    </w:p>
    <w:bookmarkEnd w:id="45"/>
    <w:bookmarkEnd w:id="46"/>
    <w:bookmarkStart w:id="47" w:name="analyse-anova"/>
    <w:p>
      <w:pPr>
        <w:pStyle w:val="Heading3"/>
      </w:pPr>
      <w:r>
        <w:t xml:space="preserve">4.4 Analyse ANOVA</w:t>
      </w:r>
    </w:p>
    <w:p>
      <w:pPr>
        <w:pStyle w:val="FirstParagraph"/>
      </w:pPr>
      <w:r>
        <w:t xml:space="preserve">Comparaison des moyennes entre les 4 clusters: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Interprétation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2847.3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Très différents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in_roa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Très différents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rt_rwa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Très différents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Les clusters sont</w:t>
      </w:r>
      <w:r>
        <w:t xml:space="preserve"> </w:t>
      </w:r>
      <w:r>
        <w:rPr>
          <w:bCs/>
          <w:b/>
        </w:rPr>
        <w:t xml:space="preserve">significativement distincts</w:t>
      </w:r>
      <w:r>
        <w:t xml:space="preserve"> </w:t>
      </w:r>
      <w:r>
        <w:t xml:space="preserve">sur toutes les dimensions.</w:t>
      </w:r>
    </w:p>
    <w:bookmarkEnd w:id="47"/>
    <w:bookmarkStart w:id="48" w:name="analyse-en-composantes-principales-acp"/>
    <w:p>
      <w:pPr>
        <w:pStyle w:val="Heading3"/>
      </w:pPr>
      <w:r>
        <w:t xml:space="preserve">4.5 Analyse en Composantes Principales (ACP)</w:t>
      </w:r>
    </w:p>
    <w:p>
      <w:pPr>
        <w:pStyle w:val="FirstParagraph"/>
      </w:pPr>
      <w:r>
        <w:rPr>
          <w:bCs/>
          <w:b/>
        </w:rPr>
        <w:t xml:space="preserve">Variance expliquée:</w:t>
      </w:r>
      <w:r>
        <w:t xml:space="preserve"> </w:t>
      </w:r>
      <w:r>
        <w:t xml:space="preserve">- PC1: 34.2% (axe taille)</w:t>
      </w:r>
      <w:r>
        <w:t xml:space="preserve"> </w:t>
      </w:r>
      <w:r>
        <w:t xml:space="preserve">- PC2: 22.0% (axe rentabilité)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2D:</w:t>
      </w:r>
      <w:r>
        <w:t xml:space="preserve"> </w:t>
      </w:r>
      <w:r>
        <w:t xml:space="preserve">56.2% (représentation acceptable)</w:t>
      </w:r>
    </w:p>
    <w:p>
      <w:pPr>
        <w:pStyle w:val="BodyText"/>
      </w:pPr>
      <w:r>
        <w:rPr>
          <w:bCs/>
          <w:b/>
        </w:rPr>
        <w:t xml:space="preserve">Interprétation:</w:t>
      </w:r>
      <w:r>
        <w:t xml:space="preserve"> </w:t>
      </w:r>
      <w:r>
        <w:t xml:space="preserve">- Les 4 clusters sont</w:t>
      </w:r>
      <w:r>
        <w:t xml:space="preserve"> </w:t>
      </w:r>
      <w:r>
        <w:rPr>
          <w:bCs/>
          <w:b/>
        </w:rPr>
        <w:t xml:space="preserve">bien séparés en 2D</w:t>
      </w:r>
      <w:r>
        <w:t xml:space="preserve"> </w:t>
      </w:r>
      <w:r>
        <w:t xml:space="preserve">- Perte d’information de 44% acceptable pour visualisation</w:t>
      </w:r>
      <w:r>
        <w:t xml:space="preserve"> </w:t>
      </w:r>
      <w:r>
        <w:t xml:space="preserve">- 7D clustering préféré pour analyses</w:t>
      </w:r>
    </w:p>
    <w:bookmarkEnd w:id="48"/>
    <w:bookmarkStart w:id="49" w:name="analyse-par-pays"/>
    <w:p>
      <w:pPr>
        <w:pStyle w:val="Heading3"/>
      </w:pPr>
      <w:r>
        <w:t xml:space="preserve">4.6 Analyse par Pays</w:t>
      </w:r>
    </w:p>
    <w:p>
      <w:pPr>
        <w:pStyle w:val="FirstParagraph"/>
      </w:pPr>
      <w:r>
        <w:rPr>
          <w:bCs/>
          <w:b/>
        </w:rPr>
        <w:t xml:space="preserve">Top 5 pays affectés (variation actifs):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 Banques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🇪🇸 Espagne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Très affecté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🇮🇹 Italie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Très affecté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🇫🇷 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Affecté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🇩🇪 Allemagne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-65.3%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Affecté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🇮🇪 Irlande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Très affecté</w:t>
            </w:r>
          </w:p>
        </w:tc>
      </w:tr>
    </w:tbl>
    <w:p>
      <w:pPr>
        <w:pStyle w:val="BodyText"/>
      </w:pPr>
      <w:r>
        <w:rPr>
          <w:bCs/>
          <w:b/>
        </w:rPr>
        <w:t xml:space="preserve">Pattern:</w:t>
      </w:r>
      <w:r>
        <w:t xml:space="preserve"> </w:t>
      </w:r>
      <w:r>
        <w:t xml:space="preserve">Les pays du sud (PIGS) plus affectés.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1" w:name="discussion"/>
    <w:p>
      <w:pPr>
        <w:pStyle w:val="Heading2"/>
      </w:pPr>
      <w:r>
        <w:t xml:space="preserve">DISCUSSION</w:t>
      </w:r>
    </w:p>
    <w:bookmarkStart w:id="54" w:name="interprétation-des-résultats"/>
    <w:p>
      <w:pPr>
        <w:pStyle w:val="Heading3"/>
      </w:pPr>
      <w:r>
        <w:t xml:space="preserve">5.1 Interprétation des Résultats</w:t>
      </w:r>
    </w:p>
    <w:bookmarkStart w:id="51" w:name="la-grande-réduction--73.6"/>
    <w:p>
      <w:pPr>
        <w:pStyle w:val="Heading4"/>
      </w:pPr>
      <w:r>
        <w:t xml:space="preserve">5.1.1 La</w:t>
      </w:r>
      <w:r>
        <w:t xml:space="preserve"> </w:t>
      </w:r>
      <w:r>
        <w:t xml:space="preserve">“</w:t>
      </w:r>
      <w:r>
        <w:t xml:space="preserve">Grande Réduction</w:t>
      </w:r>
      <w:r>
        <w:t xml:space="preserve">”</w:t>
      </w:r>
      <w:r>
        <w:t xml:space="preserve"> </w:t>
      </w:r>
      <w:r>
        <w:t xml:space="preserve">(-73.6%)</w:t>
      </w:r>
    </w:p>
    <w:p>
      <w:pPr>
        <w:pStyle w:val="FirstParagraph"/>
      </w:pPr>
      <w:r>
        <w:t xml:space="preserve">Les banques coopératives ont</w:t>
      </w:r>
      <w:r>
        <w:t xml:space="preserve"> </w:t>
      </w:r>
      <w:r>
        <w:rPr>
          <w:bCs/>
          <w:b/>
        </w:rPr>
        <w:t xml:space="preserve">réduit drastiquement</w:t>
      </w:r>
      <w:r>
        <w:t xml:space="preserve"> </w:t>
      </w:r>
      <w:r>
        <w:t xml:space="preserve">leurs actifs post-crise:</w:t>
      </w:r>
    </w:p>
    <w:p>
      <w:pPr>
        <w:pStyle w:val="BodyText"/>
      </w:pPr>
      <w:r>
        <w:rPr>
          <w:bCs/>
          <w:b/>
        </w:rPr>
        <w:t xml:space="preserve">Causes probables: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Réglementation accrue</w:t>
      </w:r>
      <w:r>
        <w:t xml:space="preserve"> </w:t>
      </w:r>
      <w:r>
        <w:t xml:space="preserve">(Bâle III, normes LCR/NSFR)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Délisting volontaire</w:t>
      </w:r>
      <w:r>
        <w:t xml:space="preserve"> </w:t>
      </w:r>
      <w:r>
        <w:t xml:space="preserve">(fusions/restructurations)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Désinvestissements</w:t>
      </w:r>
      <w:r>
        <w:t xml:space="preserve"> </w:t>
      </w:r>
      <w:r>
        <w:t xml:space="preserve">(portfolio management)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Exit de marché</w:t>
      </w:r>
      <w:r>
        <w:t xml:space="preserve"> </w:t>
      </w:r>
      <w:r>
        <w:t xml:space="preserve">(certaines banques ont fermé)</w:t>
      </w:r>
    </w:p>
    <w:p>
      <w:pPr>
        <w:pStyle w:val="BodyText"/>
      </w:pPr>
      <w:r>
        <w:rPr>
          <w:bCs/>
          <w:b/>
        </w:rPr>
        <w:t xml:space="preserve">Implications:</w:t>
      </w:r>
      <w:r>
        <w:t xml:space="preserve"> </w:t>
      </w:r>
      <w:r>
        <w:t xml:space="preserve">- ✅ Plus prudent et résilient</w:t>
      </w:r>
      <w:r>
        <w:t xml:space="preserve"> </w:t>
      </w:r>
      <w:r>
        <w:t xml:space="preserve">- ❌ Moins de crédit disponible aux PME locales</w:t>
      </w:r>
      <w:r>
        <w:t xml:space="preserve"> </w:t>
      </w:r>
      <w:r>
        <w:t xml:space="preserve">- ⚠️ Consolidation bancaire accélérée</w:t>
      </w:r>
    </w:p>
    <w:bookmarkEnd w:id="51"/>
    <w:bookmarkStart w:id="52" w:name="le-paradoxe-de-leffet-de-taille"/>
    <w:p>
      <w:pPr>
        <w:pStyle w:val="Heading4"/>
      </w:pPr>
      <w:r>
        <w:t xml:space="preserve">5.1.2 Le Paradoxe de l’Effet de Taille</w:t>
      </w:r>
    </w:p>
    <w:p>
      <w:pPr>
        <w:pStyle w:val="FirstParagraph"/>
      </w:pPr>
      <w:r>
        <w:rPr>
          <w:bCs/>
          <w:b/>
        </w:rPr>
        <w:t xml:space="preserve">Observation:</w:t>
      </w:r>
      <w:r>
        <w:t xml:space="preserve"> </w:t>
      </w:r>
      <w:r>
        <w:t xml:space="preserve">Cohen’s d très petit (0.12-0.19) malgré p-value extrêmement petite (&lt; 0.0001)</w:t>
      </w:r>
    </w:p>
    <w:p>
      <w:pPr>
        <w:pStyle w:val="BodyText"/>
      </w:pPr>
      <w:r>
        <w:rPr>
          <w:bCs/>
          <w:b/>
        </w:rPr>
        <w:t xml:space="preserve">Explication mathématique:</w:t>
      </w:r>
      <w:r>
        <w:t xml:space="preserve"> </w:t>
      </w:r>
      <w:r>
        <w:t xml:space="preserve">- Large n (8,249) → Petites différences deviennent significatives</w:t>
      </w:r>
      <w:r>
        <w:t xml:space="preserve"> </w:t>
      </w:r>
      <w:r>
        <w:t xml:space="preserve">- Énorme variance (σ = 123,071 pour ass_total) → Effet normalisé par SD</w:t>
      </w:r>
      <w:r>
        <w:t xml:space="preserve"> </w:t>
      </w:r>
      <w:r>
        <w:t xml:space="preserve">- Formule: d = (μ₁ - μ₂) / σ_pooled</w:t>
      </w:r>
    </w:p>
    <w:p>
      <w:pPr>
        <w:pStyle w:val="BodyText"/>
      </w:pPr>
      <w:r>
        <w:rPr>
          <w:bCs/>
          <w:b/>
        </w:rPr>
        <w:t xml:space="preserve">Exemple numérique:</w:t>
      </w:r>
      <w:r>
        <w:t xml:space="preserve"> </w:t>
      </w:r>
      <w:r>
        <w:t xml:space="preserve">- Différence: 14,777 M€</w:t>
      </w:r>
      <w:r>
        <w:t xml:space="preserve"> </w:t>
      </w:r>
      <w:r>
        <w:t xml:space="preserve">- Écart-type poolé: 97,000 M€</w:t>
      </w:r>
      <w:r>
        <w:t xml:space="preserve"> </w:t>
      </w:r>
      <w:r>
        <w:t xml:space="preserve">- Cohen’s d = 14,777 / 97,000 = 0.15 (petit)</w:t>
      </w:r>
      <w:r>
        <w:t xml:space="preserve"> </w:t>
      </w:r>
      <w:r>
        <w:t xml:space="preserve">- Mais p-value &lt; 0.0001 (très significatif!)</w:t>
      </w:r>
    </w:p>
    <w:p>
      <w:pPr>
        <w:pStyle w:val="BodyText"/>
      </w:pPr>
      <w:r>
        <w:rPr>
          <w:bCs/>
          <w:b/>
        </w:rPr>
        <w:t xml:space="preserve">Interprétation correcte:</w:t>
      </w:r>
      <w:r>
        <w:t xml:space="preserve"> </w:t>
      </w:r>
      <w:r>
        <w:t xml:space="preserve">&gt; Les différences pré/post sont</w:t>
      </w:r>
      <w:r>
        <w:t xml:space="preserve"> </w:t>
      </w:r>
      <w:r>
        <w:rPr>
          <w:bCs/>
          <w:b/>
        </w:rPr>
        <w:t xml:space="preserve">réelles, démontrables et reproductibles</w:t>
      </w:r>
      <w:r>
        <w:t xml:space="preserve">, mais de</w:t>
      </w:r>
      <w:r>
        <w:t xml:space="preserve"> </w:t>
      </w:r>
      <w:r>
        <w:rPr>
          <w:bCs/>
          <w:b/>
        </w:rPr>
        <w:t xml:space="preserve">magnitude relative modérée</w:t>
      </w:r>
      <w:r>
        <w:t xml:space="preserve"> </w:t>
      </w:r>
      <w:r>
        <w:t xml:space="preserve">comparée à la variance intra-période.</w:t>
      </w:r>
    </w:p>
    <w:bookmarkEnd w:id="52"/>
    <w:bookmarkStart w:id="53" w:name="la-stabilité-du-clustering"/>
    <w:p>
      <w:pPr>
        <w:pStyle w:val="Heading4"/>
      </w:pPr>
      <w:r>
        <w:t xml:space="preserve">5.1.3 La Stabilité du Clustering</w:t>
      </w:r>
    </w:p>
    <w:p>
      <w:pPr>
        <w:pStyle w:val="FirstParagraph"/>
      </w:pPr>
      <w:r>
        <w:rPr>
          <w:bCs/>
          <w:b/>
        </w:rPr>
        <w:t xml:space="preserve">Observation:</w:t>
      </w:r>
      <w:r>
        <w:t xml:space="preserve"> </w:t>
      </w:r>
      <w:r>
        <w:t xml:space="preserve">C1 stable à 99%+, augmentation légère de C2</w:t>
      </w:r>
    </w:p>
    <w:p>
      <w:pPr>
        <w:pStyle w:val="BodyText"/>
      </w:pPr>
      <w:r>
        <w:rPr>
          <w:bCs/>
          <w:b/>
        </w:rPr>
        <w:t xml:space="preserve">Interprétation:</w:t>
      </w:r>
      <w:r>
        <w:t xml:space="preserve"> </w:t>
      </w:r>
      <w:r>
        <w:t xml:space="preserve">- Structure bancaire</w:t>
      </w:r>
      <w:r>
        <w:t xml:space="preserve"> </w:t>
      </w:r>
      <w:r>
        <w:rPr>
          <w:bCs/>
          <w:b/>
        </w:rPr>
        <w:t xml:space="preserve">résistante</w:t>
      </w:r>
      <w:r>
        <w:t xml:space="preserve"> </w:t>
      </w:r>
      <w:r>
        <w:t xml:space="preserve">(pas d’effondrement)</w:t>
      </w:r>
      <w:r>
        <w:t xml:space="preserve"> </w:t>
      </w:r>
      <w:r>
        <w:t xml:space="preserve">- Banques coopératives</w:t>
      </w:r>
      <w:r>
        <w:t xml:space="preserve"> </w:t>
      </w:r>
      <w:r>
        <w:rPr>
          <w:bCs/>
          <w:b/>
        </w:rPr>
        <w:t xml:space="preserve">plus résilientes</w:t>
      </w:r>
      <w:r>
        <w:t xml:space="preserve"> </w:t>
      </w:r>
      <w:r>
        <w:t xml:space="preserve">que prévu</w:t>
      </w:r>
      <w:r>
        <w:t xml:space="preserve"> </w:t>
      </w:r>
      <w:r>
        <w:t xml:space="preserve">- Augmentation légère de stress (C2: 0.3%→1.5%) mais gérée</w:t>
      </w:r>
    </w:p>
    <w:p>
      <w:pPr>
        <w:pStyle w:val="BodyText"/>
      </w:pPr>
      <w:r>
        <w:rPr>
          <w:bCs/>
          <w:b/>
        </w:rPr>
        <w:t xml:space="preserve">Comparaison littérature:</w:t>
      </w:r>
      <w:r>
        <w:t xml:space="preserve"> </w:t>
      </w:r>
      <w:r>
        <w:t xml:space="preserve">- Barth et al. (2012) prédisait crash &gt; 50%</w:t>
      </w:r>
      <w:r>
        <w:t xml:space="preserve"> </w:t>
      </w:r>
      <w:r>
        <w:t xml:space="preserve">- Notre résultat: 99% survie →</w:t>
      </w:r>
      <w:r>
        <w:t xml:space="preserve"> </w:t>
      </w:r>
      <w:r>
        <w:rPr>
          <w:bCs/>
          <w:b/>
        </w:rPr>
        <w:t xml:space="preserve">coopératives plus stables</w:t>
      </w:r>
    </w:p>
    <w:bookmarkEnd w:id="53"/>
    <w:bookmarkEnd w:id="54"/>
    <w:bookmarkStart w:id="58" w:name="insights-métier"/>
    <w:p>
      <w:pPr>
        <w:pStyle w:val="Heading3"/>
      </w:pPr>
      <w:r>
        <w:t xml:space="preserve">5.2 Insights Métier</w:t>
      </w:r>
    </w:p>
    <w:bookmarkStart w:id="55" w:name="pour-les-banques"/>
    <w:p>
      <w:pPr>
        <w:pStyle w:val="Heading4"/>
      </w:pPr>
      <w:r>
        <w:t xml:space="preserve">5.2.1 Pour les Banques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Restructuration obligatoire</w:t>
      </w:r>
      <w:r>
        <w:t xml:space="preserve"> </w:t>
      </w:r>
      <w:r>
        <w:t xml:space="preserve">→ Tous l’ont fait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Convergence stratégique</w:t>
      </w:r>
      <w:r>
        <w:t xml:space="preserve"> </w:t>
      </w:r>
      <w:r>
        <w:t xml:space="preserve">→ Moins d’hétérogénéité post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Focus local</w:t>
      </w:r>
      <w:r>
        <w:t xml:space="preserve"> </w:t>
      </w:r>
      <w:r>
        <w:t xml:space="preserve">→ Abandon du trading global</w:t>
      </w:r>
    </w:p>
    <w:bookmarkEnd w:id="55"/>
    <w:bookmarkStart w:id="56" w:name="pour-les-régulateurs"/>
    <w:p>
      <w:pPr>
        <w:pStyle w:val="Heading4"/>
      </w:pPr>
      <w:r>
        <w:t xml:space="preserve">5.2.2 Pour les Régulateurs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Efficacité réglementaire</w:t>
      </w:r>
      <w:r>
        <w:t xml:space="preserve"> </w:t>
      </w:r>
      <w:r>
        <w:t xml:space="preserve">→ Changements observés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Besoin de vigilance</w:t>
      </w:r>
      <w:r>
        <w:t xml:space="preserve"> </w:t>
      </w:r>
      <w:r>
        <w:t xml:space="preserve">→ 1.5% des banques en stress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Protection des PME</w:t>
      </w:r>
      <w:r>
        <w:t xml:space="preserve"> </w:t>
      </w:r>
      <w:r>
        <w:t xml:space="preserve">→ Réduction de crédit possible</w:t>
      </w:r>
    </w:p>
    <w:bookmarkEnd w:id="56"/>
    <w:bookmarkStart w:id="57" w:name="pour-les-investisseurs"/>
    <w:p>
      <w:pPr>
        <w:pStyle w:val="Heading4"/>
      </w:pPr>
      <w:r>
        <w:t xml:space="preserve">5.2.3 Pour les Investisseurs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Secteur stabilisé</w:t>
      </w:r>
      <w:r>
        <w:t xml:space="preserve"> </w:t>
      </w:r>
      <w:r>
        <w:t xml:space="preserve">post-crise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Rendements réduits</w:t>
      </w:r>
      <w:r>
        <w:t xml:space="preserve"> </w:t>
      </w:r>
      <w:r>
        <w:t xml:space="preserve">(ROA: 0.52% → 0.29%)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Profils moins risqués</w:t>
      </w:r>
    </w:p>
    <w:bookmarkEnd w:id="57"/>
    <w:bookmarkEnd w:id="58"/>
    <w:bookmarkStart w:id="59" w:name="limitations-de-létude"/>
    <w:p>
      <w:pPr>
        <w:pStyle w:val="Heading3"/>
      </w:pPr>
      <w:r>
        <w:t xml:space="preserve">5.3 Limitations de l’Étude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Couverture limitée:</w:t>
      </w:r>
      <w:r>
        <w:t xml:space="preserve"> </w:t>
      </w:r>
      <w:r>
        <w:t xml:space="preserve">Seulement banques coopératives (22 pays)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Biais temporel:</w:t>
      </w:r>
      <w:r>
        <w:t xml:space="preserve"> </w:t>
      </w:r>
      <w:r>
        <w:t xml:space="preserve">2011 = coupure arbitraire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Variables manquantes:</w:t>
      </w:r>
      <w:r>
        <w:t xml:space="preserve"> </w:t>
      </w:r>
      <w:r>
        <w:t xml:space="preserve">Pas de données sur solvabilité, liquidité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Causalité non établie:</w:t>
      </w:r>
      <w:r>
        <w:t xml:space="preserve"> </w:t>
      </w:r>
      <w:r>
        <w:t xml:space="preserve">Corrélation vs causation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Outliers:</w:t>
      </w:r>
      <w:r>
        <w:t xml:space="preserve"> </w:t>
      </w:r>
      <w:r>
        <w:t xml:space="preserve">Quelques géantes dominent les statistiques</w:t>
      </w:r>
    </w:p>
    <w:bookmarkEnd w:id="59"/>
    <w:bookmarkStart w:id="60" w:name="recommandations-pour-recherches-futures"/>
    <w:p>
      <w:pPr>
        <w:pStyle w:val="Heading3"/>
      </w:pPr>
      <w:r>
        <w:t xml:space="preserve">5.4 Recommandations pour Recherches Futures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Élargir:</w:t>
      </w:r>
      <w:r>
        <w:t xml:space="preserve"> </w:t>
      </w:r>
      <w:r>
        <w:t xml:space="preserve">Inclure banques commerciales pour comparaison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Approfondir:</w:t>
      </w:r>
      <w:r>
        <w:t xml:space="preserve"> </w:t>
      </w:r>
      <w:r>
        <w:t xml:space="preserve">Analyser les 3-5 banques en C2 individuellement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Séries temporelles:</w:t>
      </w:r>
      <w:r>
        <w:t xml:space="preserve"> </w:t>
      </w:r>
      <w:r>
        <w:t xml:space="preserve">Modèles ARIMA pour prédictions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Qualitative:</w:t>
      </w:r>
      <w:r>
        <w:t xml:space="preserve"> </w:t>
      </w:r>
      <w:r>
        <w:t xml:space="preserve">Entrevues avec gestionnaires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Causalité:</w:t>
      </w:r>
      <w:r>
        <w:t xml:space="preserve"> </w:t>
      </w:r>
      <w:r>
        <w:t xml:space="preserve">Modèles structurels (SEM)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conclusion"/>
    <w:p>
      <w:pPr>
        <w:pStyle w:val="Heading2"/>
      </w:pPr>
      <w:r>
        <w:t xml:space="preserve">CONCLUSION</w:t>
      </w:r>
    </w:p>
    <w:bookmarkStart w:id="62" w:name="synthèse-des-findings"/>
    <w:p>
      <w:pPr>
        <w:pStyle w:val="Heading3"/>
      </w:pPr>
      <w:r>
        <w:t xml:space="preserve">6.1 Synthèse des Findings</w:t>
      </w:r>
    </w:p>
    <w:p>
      <w:pPr>
        <w:pStyle w:val="FirstParagraph"/>
      </w:pPr>
      <w:r>
        <w:t xml:space="preserve">Cette étude de</w:t>
      </w:r>
      <w:r>
        <w:t xml:space="preserve"> </w:t>
      </w:r>
      <w:r>
        <w:rPr>
          <w:bCs/>
          <w:b/>
        </w:rPr>
        <w:t xml:space="preserve">8,249 observations</w:t>
      </w:r>
      <w:r>
        <w:t xml:space="preserve"> </w:t>
      </w:r>
      <w:r>
        <w:t xml:space="preserve">sur</w:t>
      </w:r>
      <w:r>
        <w:t xml:space="preserve"> </w:t>
      </w:r>
      <w:r>
        <w:rPr>
          <w:bCs/>
          <w:b/>
        </w:rPr>
        <w:t xml:space="preserve">1,696 banques</w:t>
      </w:r>
      <w:r>
        <w:t xml:space="preserve"> </w:t>
      </w:r>
      <w:r>
        <w:t xml:space="preserve">montre que: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Toutes les variables changent significativement</w:t>
      </w:r>
      <w:r>
        <w:t xml:space="preserve"> </w:t>
      </w:r>
      <w:r>
        <w:t xml:space="preserve">(t-test: p &lt; 0.05)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4 profils distincts</w:t>
      </w:r>
      <w:r>
        <w:t xml:space="preserve"> </w:t>
      </w:r>
      <w:r>
        <w:t xml:space="preserve">identifiés avec excellente qualité (Silhouette: 0.8152)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Structure stable:</w:t>
      </w:r>
      <w:r>
        <w:t xml:space="preserve"> </w:t>
      </w:r>
      <w:r>
        <w:t xml:space="preserve">99%+ des banques restent dans le profil sain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Impact différencié:</w:t>
      </w:r>
      <w:r>
        <w:t xml:space="preserve"> </w:t>
      </w:r>
      <w:r>
        <w:t xml:space="preserve">Pays du sud (Espagne, Italie) plus affectés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Réduction massive:</w:t>
      </w:r>
      <w:r>
        <w:t xml:space="preserve"> </w:t>
      </w:r>
      <w:r>
        <w:t xml:space="preserve">Actifs -73.6%, Trading -75.9%</w:t>
      </w:r>
    </w:p>
    <w:bookmarkEnd w:id="62"/>
    <w:bookmarkStart w:id="63" w:name="réponses-aux-sous-questions"/>
    <w:p>
      <w:pPr>
        <w:pStyle w:val="Heading3"/>
      </w:pPr>
      <w:r>
        <w:t xml:space="preserve">6.2 Réponses aux Sous-Questions</w:t>
      </w:r>
    </w:p>
    <w:p>
      <w:pPr>
        <w:pStyle w:val="FirstParagraph"/>
      </w:pPr>
      <w:r>
        <w:rPr>
          <w:bCs/>
          <w:b/>
        </w:rPr>
        <w:t xml:space="preserve">Q1: Différences pré/post-crise?</w:t>
      </w:r>
      <w:r>
        <w:t xml:space="preserve"> </w:t>
      </w:r>
      <w:r>
        <w:t xml:space="preserve">&gt; ✅ Oui, très significatives (p &lt; 0.05 pour toutes les 7 variables)</w:t>
      </w:r>
    </w:p>
    <w:p>
      <w:pPr>
        <w:pStyle w:val="BodyText"/>
      </w:pPr>
      <w:r>
        <w:rPr>
          <w:bCs/>
          <w:b/>
        </w:rPr>
        <w:t xml:space="preserve">Q2: Variables les plus changées?</w:t>
      </w:r>
      <w:r>
        <w:t xml:space="preserve"> </w:t>
      </w:r>
      <w:r>
        <w:t xml:space="preserve">&gt; Actifs totaux (-73.6%) et trading (-75.9%), ROA/ROE moins (-36-43%)</w:t>
      </w:r>
    </w:p>
    <w:p>
      <w:pPr>
        <w:pStyle w:val="BodyText"/>
      </w:pPr>
      <w:r>
        <w:rPr>
          <w:bCs/>
          <w:b/>
        </w:rPr>
        <w:t xml:space="preserve">Q3: Groupes de banques?</w:t>
      </w:r>
      <w:r>
        <w:t xml:space="preserve"> </w:t>
      </w:r>
      <w:r>
        <w:t xml:space="preserve">&gt; 4 clusters avec 99% saines (C1), 1.5% en difficulté (C2), anomalies (C3), géantes (C4)</w:t>
      </w:r>
    </w:p>
    <w:p>
      <w:pPr>
        <w:pStyle w:val="BodyText"/>
      </w:pPr>
      <w:r>
        <w:rPr>
          <w:bCs/>
          <w:b/>
        </w:rPr>
        <w:t xml:space="preserve">Q4: Pays les plus affectés?</w:t>
      </w:r>
      <w:r>
        <w:t xml:space="preserve"> </w:t>
      </w:r>
      <w:r>
        <w:t xml:space="preserve">&gt; Espagne (-82.1%), Italie (-79.5%), Irlande (-88.2%)</w:t>
      </w:r>
    </w:p>
    <w:p>
      <w:pPr>
        <w:pStyle w:val="BodyText"/>
      </w:pPr>
      <w:r>
        <w:rPr>
          <w:bCs/>
          <w:b/>
        </w:rPr>
        <w:t xml:space="preserve">Q5: Banques plus prudentes?</w:t>
      </w:r>
      <w:r>
        <w:t xml:space="preserve"> </w:t>
      </w:r>
      <w:r>
        <w:t xml:space="preserve">&gt; Oui, RWA augmente (+19.9%), signalant adoption normes plus strictes</w:t>
      </w:r>
    </w:p>
    <w:p>
      <w:pPr>
        <w:pStyle w:val="BodyText"/>
      </w:pPr>
      <w:r>
        <w:rPr>
          <w:bCs/>
          <w:b/>
        </w:rPr>
        <w:t xml:space="preserve">Q6: Modèle d’affaires transformé?</w:t>
      </w:r>
      <w:r>
        <w:t xml:space="preserve"> </w:t>
      </w:r>
      <w:r>
        <w:t xml:space="preserve">&gt; Oui, désinvestissement dans le trading, focus local, résilience accrue</w:t>
      </w:r>
    </w:p>
    <w:bookmarkEnd w:id="63"/>
    <w:bookmarkStart w:id="64" w:name="contribution-à-la-littérature"/>
    <w:p>
      <w:pPr>
        <w:pStyle w:val="Heading3"/>
      </w:pPr>
      <w:r>
        <w:t xml:space="preserve">6.3 Contribution à la Littérature</w:t>
      </w:r>
    </w:p>
    <w:p>
      <w:pPr>
        <w:pStyle w:val="FirstParagraph"/>
      </w:pPr>
      <w:r>
        <w:t xml:space="preserve">Cette étude offre: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Données récentes</w:t>
      </w:r>
      <w:r>
        <w:t xml:space="preserve"> </w:t>
      </w:r>
      <w:r>
        <w:t xml:space="preserve">(2005-2015) sur la crise européenne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Méthodologie complète</w:t>
      </w:r>
      <w:r>
        <w:t xml:space="preserve"> </w:t>
      </w:r>
      <w:r>
        <w:t xml:space="preserve">combinant statistiques classiques + clustering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Perspective coopérative</w:t>
      </w:r>
      <w:r>
        <w:t xml:space="preserve"> </w:t>
      </w:r>
      <w:r>
        <w:t xml:space="preserve">peu étudiée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Application pratique</w:t>
      </w:r>
      <w:r>
        <w:t xml:space="preserve"> </w:t>
      </w:r>
      <w:r>
        <w:t xml:space="preserve">avec app Streamlit interactive</w:t>
      </w:r>
    </w:p>
    <w:bookmarkEnd w:id="64"/>
    <w:bookmarkStart w:id="65" w:name="conclusion-générale"/>
    <w:p>
      <w:pPr>
        <w:pStyle w:val="Heading3"/>
      </w:pPr>
      <w:r>
        <w:t xml:space="preserve">6.4 Conclusion Générale</w:t>
      </w:r>
    </w:p>
    <w:p>
      <w:pPr>
        <w:pStyle w:val="FirstParagraph"/>
      </w:pPr>
      <w:r>
        <w:t xml:space="preserve">Les banques coopératives européennes ont</w:t>
      </w:r>
      <w:r>
        <w:t xml:space="preserve"> </w:t>
      </w:r>
      <w:r>
        <w:rPr>
          <w:bCs/>
          <w:b/>
        </w:rPr>
        <w:t xml:space="preserve">transformé leur modèle d’affaires</w:t>
      </w:r>
      <w:r>
        <w:t xml:space="preserve"> </w:t>
      </w:r>
      <w:r>
        <w:t xml:space="preserve">suite à la crise de 2008. Cette transformation s’est caractérisée par:</w:t>
      </w:r>
    </w:p>
    <w:p>
      <w:pPr>
        <w:pStyle w:val="BodyText"/>
      </w:pPr>
      <w:r>
        <w:t xml:space="preserve">🔹</w:t>
      </w:r>
      <w:r>
        <w:t xml:space="preserve"> </w:t>
      </w:r>
      <w:r>
        <w:rPr>
          <w:bCs/>
          <w:b/>
        </w:rPr>
        <w:t xml:space="preserve">Réduction massive des portefeuilles</w:t>
      </w:r>
      <w:r>
        <w:t xml:space="preserve"> </w:t>
      </w:r>
      <w:r>
        <w:t xml:space="preserve">(surtout trading)</w:t>
      </w:r>
      <w:r>
        <w:t xml:space="preserve"> </w:t>
      </w:r>
      <w:r>
        <w:t xml:space="preserve">🔹</w:t>
      </w:r>
      <w:r>
        <w:t xml:space="preserve"> </w:t>
      </w:r>
      <w:r>
        <w:rPr>
          <w:bCs/>
          <w:b/>
        </w:rPr>
        <w:t xml:space="preserve">Normalisation réglementaire</w:t>
      </w:r>
      <w:r>
        <w:t xml:space="preserve"> </w:t>
      </w:r>
      <w:r>
        <w:t xml:space="preserve">(hausse RWA)</w:t>
      </w:r>
      <w:r>
        <w:t xml:space="preserve"> </w:t>
      </w:r>
      <w:r>
        <w:t xml:space="preserve">🔹</w:t>
      </w:r>
      <w:r>
        <w:t xml:space="preserve"> </w:t>
      </w:r>
      <w:r>
        <w:rPr>
          <w:bCs/>
          <w:b/>
        </w:rPr>
        <w:t xml:space="preserve">Structure stable</w:t>
      </w:r>
      <w:r>
        <w:t xml:space="preserve"> </w:t>
      </w:r>
      <w:r>
        <w:t xml:space="preserve">malgré les chocs</w:t>
      </w:r>
      <w:r>
        <w:t xml:space="preserve"> </w:t>
      </w:r>
      <w:r>
        <w:t xml:space="preserve">🔹</w:t>
      </w:r>
      <w:r>
        <w:t xml:space="preserve"> </w:t>
      </w:r>
      <w:r>
        <w:rPr>
          <w:bCs/>
          <w:b/>
        </w:rPr>
        <w:t xml:space="preserve">Impacts régionaux prononcés</w:t>
      </w:r>
      <w:r>
        <w:t xml:space="preserve"> </w:t>
      </w:r>
      <w:r>
        <w:t xml:space="preserve">(sud &gt; nord)</w:t>
      </w:r>
    </w:p>
    <w:p>
      <w:pPr>
        <w:pStyle w:val="BodyText"/>
      </w:pPr>
      <w:r>
        <w:t xml:space="preserve">Cette étude suggère que les</w:t>
      </w:r>
      <w:r>
        <w:t xml:space="preserve"> </w:t>
      </w:r>
      <w:r>
        <w:rPr>
          <w:bCs/>
          <w:b/>
        </w:rPr>
        <w:t xml:space="preserve">banques coopératives sont plus résilientes</w:t>
      </w:r>
      <w:r>
        <w:t xml:space="preserve"> </w:t>
      </w:r>
      <w:r>
        <w:t xml:space="preserve">que prédites par la littérature pré-crise, validant leur modèle mutuel comme</w:t>
      </w:r>
      <w:r>
        <w:t xml:space="preserve"> </w:t>
      </w:r>
      <w:r>
        <w:rPr>
          <w:bCs/>
          <w:b/>
        </w:rPr>
        <w:t xml:space="preserve">stabilisateur économique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références"/>
    <w:p>
      <w:pPr>
        <w:pStyle w:val="Heading2"/>
      </w:pPr>
      <w:r>
        <w:t xml:space="preserve">RÉFÉRENCES</w:t>
      </w:r>
    </w:p>
    <w:p>
      <w:pPr>
        <w:pStyle w:val="FirstParagraph"/>
      </w:pPr>
      <w:r>
        <w:t xml:space="preserve">Barth, J. R., Caprio, G., &amp; Levine, R. (2012).</w:t>
      </w:r>
      <w:r>
        <w:t xml:space="preserve"> </w:t>
      </w:r>
      <w:r>
        <w:t xml:space="preserve">“</w:t>
      </w:r>
      <w:r>
        <w:t xml:space="preserve">Guardians of Finance.</w:t>
      </w:r>
      <w:r>
        <w:t xml:space="preserve">”</w:t>
      </w:r>
      <w:r>
        <w:t xml:space="preserve"> </w:t>
      </w:r>
      <w:r>
        <w:rPr>
          <w:iCs/>
          <w:i/>
        </w:rPr>
        <w:t xml:space="preserve">MIT Press</w:t>
      </w:r>
      <w:r>
        <w:t xml:space="preserve">.</w:t>
      </w:r>
    </w:p>
    <w:p>
      <w:pPr>
        <w:pStyle w:val="BodyText"/>
      </w:pPr>
      <w:r>
        <w:t xml:space="preserve">Kashyap, A. K., &amp; Stein, J. C. (2000).</w:t>
      </w:r>
      <w:r>
        <w:t xml:space="preserve"> </w:t>
      </w:r>
      <w:r>
        <w:t xml:space="preserve">“</w:t>
      </w:r>
      <w:r>
        <w:t xml:space="preserve">What do a million observations on banks say about the transmission of monetary policy?</w:t>
      </w:r>
      <w:r>
        <w:t xml:space="preserve">”</w:t>
      </w:r>
      <w:r>
        <w:t xml:space="preserve"> </w:t>
      </w:r>
      <w:r>
        <w:rPr>
          <w:iCs/>
          <w:i/>
        </w:rPr>
        <w:t xml:space="preserve">American Economic Review</w:t>
      </w:r>
      <w:r>
        <w:t xml:space="preserve">, 90(3), 407-428.</w:t>
      </w:r>
    </w:p>
    <w:p>
      <w:pPr>
        <w:pStyle w:val="BodyText"/>
      </w:pPr>
      <w:r>
        <w:t xml:space="preserve">Allen, F., &amp; Gale, D. (2007).</w:t>
      </w:r>
      <w:r>
        <w:t xml:space="preserve"> </w:t>
      </w:r>
      <w:r>
        <w:t xml:space="preserve">“</w:t>
      </w:r>
      <w:r>
        <w:t xml:space="preserve">Understanding Financial Crises.</w:t>
      </w:r>
      <w:r>
        <w:t xml:space="preserve">”</w:t>
      </w:r>
      <w:r>
        <w:t xml:space="preserve"> </w:t>
      </w:r>
      <w:r>
        <w:rPr>
          <w:iCs/>
          <w:i/>
        </w:rPr>
        <w:t xml:space="preserve">Oxford University Press</w:t>
      </w:r>
      <w:r>
        <w:t xml:space="preserve">.</w:t>
      </w:r>
    </w:p>
    <w:p>
      <w:pPr>
        <w:pStyle w:val="BodyText"/>
      </w:pPr>
      <w:r>
        <w:t xml:space="preserve">Ayadi, R., et al. (2016).</w:t>
      </w:r>
      <w:r>
        <w:t xml:space="preserve"> </w:t>
      </w:r>
      <w:r>
        <w:t xml:space="preserve">“</w:t>
      </w:r>
      <w:r>
        <w:t xml:space="preserve">The Resilience of the European Cooperative Bank Model.</w:t>
      </w:r>
      <w:r>
        <w:t xml:space="preserve">”</w:t>
      </w:r>
      <w:r>
        <w:t xml:space="preserve"> </w:t>
      </w:r>
      <w:r>
        <w:rPr>
          <w:iCs/>
          <w:i/>
        </w:rPr>
        <w:t xml:space="preserve">EACB Report</w:t>
      </w:r>
      <w:r>
        <w:t xml:space="preserve">.</w:t>
      </w:r>
    </w:p>
    <w:p>
      <w:pPr>
        <w:pStyle w:val="BodyText"/>
      </w:pPr>
      <w:r>
        <w:t xml:space="preserve">ECB (2021).</w:t>
      </w:r>
      <w:r>
        <w:t xml:space="preserve"> </w:t>
      </w:r>
      <w:r>
        <w:t xml:space="preserve">“</w:t>
      </w:r>
      <w:r>
        <w:t xml:space="preserve">Banking structures report.</w:t>
      </w:r>
      <w:r>
        <w:t xml:space="preserve">”</w:t>
      </w:r>
      <w:r>
        <w:t xml:space="preserve"> </w:t>
      </w:r>
      <w:r>
        <w:t xml:space="preserve">European Central Bank.</w:t>
      </w:r>
    </w:p>
    <w:p>
      <w:pPr>
        <w:pStyle w:val="BodyText"/>
      </w:pPr>
      <w:r>
        <w:t xml:space="preserve">BIS (2008-2015).</w:t>
      </w:r>
      <w:r>
        <w:t xml:space="preserve"> </w:t>
      </w:r>
      <w:r>
        <w:t xml:space="preserve">“</w:t>
      </w:r>
      <w:r>
        <w:t xml:space="preserve">Quarterly Review on International Banking and Financial Conditions.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7"/>
    <w:bookmarkStart w:id="74" w:name="annexes"/>
    <w:p>
      <w:pPr>
        <w:pStyle w:val="Heading2"/>
      </w:pPr>
      <w:r>
        <w:t xml:space="preserve">ANNEXES</w:t>
      </w:r>
    </w:p>
    <w:bookmarkStart w:id="68" w:name="annexe-a-résultats-complets-t-test"/>
    <w:p>
      <w:pPr>
        <w:pStyle w:val="Heading3"/>
      </w:pPr>
      <w:r>
        <w:t xml:space="preserve">ANNEXE A: Résultats Complets T-Test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COMPARAISON COMPLÈTE PRÉ-CRISE vs POST-CRISE                   ║</w:t>
      </w:r>
      <w:r>
        <w:br/>
      </w:r>
      <w:r>
        <w:rPr>
          <w:rStyle w:val="VerbatimChar"/>
        </w:rPr>
        <w:t xml:space="preserve">║                        TEST T DE STUDENT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 xml:space="preserve">VARIABLE: ass_total (Actifs Totaux)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Pré-crise (n = 1,441):</w:t>
      </w:r>
      <w:r>
        <w:br/>
      </w:r>
      <w:r>
        <w:rPr>
          <w:rStyle w:val="VerbatimChar"/>
        </w:rPr>
        <w:t xml:space="preserve">  Moyenne (μ₁): 20,072.57 millions €</w:t>
      </w:r>
      <w:r>
        <w:br/>
      </w:r>
      <w:r>
        <w:rPr>
          <w:rStyle w:val="VerbatimChar"/>
        </w:rPr>
        <w:t xml:space="preserve">  Écart-type (σ₁): 123,071.16</w:t>
      </w:r>
      <w:r>
        <w:br/>
      </w:r>
      <w:r>
        <w:rPr>
          <w:rStyle w:val="VerbatimChar"/>
        </w:rPr>
        <w:t xml:space="preserve">  Erreur Standard (SE₁): 3,251.60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Post-crise (n = 6,808):</w:t>
      </w:r>
      <w:r>
        <w:br/>
      </w:r>
      <w:r>
        <w:rPr>
          <w:rStyle w:val="VerbatimChar"/>
        </w:rPr>
        <w:t xml:space="preserve">  Moyenne (μ₂): 5,295.17 millions €</w:t>
      </w:r>
      <w:r>
        <w:br/>
      </w:r>
      <w:r>
        <w:rPr>
          <w:rStyle w:val="VerbatimChar"/>
        </w:rPr>
        <w:t xml:space="preserve">  Écart-type (σ₂): 63,335.16</w:t>
      </w:r>
      <w:r>
        <w:br/>
      </w:r>
      <w:r>
        <w:rPr>
          <w:rStyle w:val="VerbatimChar"/>
        </w:rPr>
        <w:t xml:space="preserve">  Erreur Standard (SE₂): 767.59</w:t>
      </w:r>
      <w:r>
        <w:br/>
      </w:r>
      <w:r>
        <w:br/>
      </w:r>
      <w:r>
        <w:rPr>
          <w:rStyle w:val="VerbatimChar"/>
        </w:rPr>
        <w:t xml:space="preserve">Différence observée:</w:t>
      </w:r>
      <w:r>
        <w:br/>
      </w:r>
      <w:r>
        <w:rPr>
          <w:rStyle w:val="VerbatimChar"/>
        </w:rPr>
        <w:t xml:space="preserve">  Δμ = μ₁ - μ₂ = 14,777.40 millions €</w:t>
      </w:r>
      <w:r>
        <w:br/>
      </w:r>
      <w:r>
        <w:rPr>
          <w:rStyle w:val="VerbatimChar"/>
        </w:rPr>
        <w:t xml:space="preserve">  Variation relative: -73.6%</w:t>
      </w:r>
      <w:r>
        <w:br/>
      </w:r>
      <w:r>
        <w:rPr>
          <w:rStyle w:val="VerbatimChar"/>
        </w:rPr>
        <w:t xml:space="preserve">  IC 95%: [8,241.33 - 21,313.47]</w:t>
      </w:r>
      <w:r>
        <w:br/>
      </w:r>
      <w:r>
        <w:br/>
      </w:r>
      <w:r>
        <w:rPr>
          <w:rStyle w:val="VerbatimChar"/>
        </w:rPr>
        <w:t xml:space="preserve">T-Test:</w:t>
      </w:r>
      <w:r>
        <w:br/>
      </w:r>
      <w:r>
        <w:rPr>
          <w:rStyle w:val="VerbatimChar"/>
        </w:rPr>
        <w:t xml:space="preserve">  t-statistique: 4.2847</w:t>
      </w:r>
      <w:r>
        <w:br/>
      </w:r>
      <w:r>
        <w:rPr>
          <w:rStyle w:val="VerbatimChar"/>
        </w:rPr>
        <w:t xml:space="preserve">  p-value: &lt; 0.0001 ✅ SIGNIFICATIF</w:t>
      </w:r>
      <w:r>
        <w:br/>
      </w:r>
      <w:r>
        <w:rPr>
          <w:rStyle w:val="VerbatimChar"/>
        </w:rPr>
        <w:t xml:space="preserve">  Cohen's d: 0.18 (Effet PETIT)</w:t>
      </w:r>
      <w:r>
        <w:br/>
      </w:r>
      <w:r>
        <w:rPr>
          <w:rStyle w:val="VerbatimChar"/>
        </w:rPr>
        <w:t xml:space="preserve">  Conclusion: REJET H₀ → Différence SIGNIFICATIVE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VARIABLE: ass_trade (Actifs de Trading)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Pré-crise (n = 1,441):</w:t>
      </w:r>
      <w:r>
        <w:br/>
      </w:r>
      <w:r>
        <w:rPr>
          <w:rStyle w:val="VerbatimChar"/>
        </w:rPr>
        <w:t xml:space="preserve">  Moyenne: 486.02 millions €</w:t>
      </w:r>
      <w:r>
        <w:br/>
      </w:r>
      <w:r>
        <w:rPr>
          <w:rStyle w:val="VerbatimChar"/>
        </w:rPr>
        <w:t xml:space="preserve">  Écart-type: 2,341.87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Post-crise (n = 6,808):</w:t>
      </w:r>
      <w:r>
        <w:br/>
      </w:r>
      <w:r>
        <w:rPr>
          <w:rStyle w:val="VerbatimChar"/>
        </w:rPr>
        <w:t xml:space="preserve">  Moyenne: 105.42 millions €</w:t>
      </w:r>
      <w:r>
        <w:br/>
      </w:r>
      <w:r>
        <w:rPr>
          <w:rStyle w:val="VerbatimChar"/>
        </w:rPr>
        <w:t xml:space="preserve">  Écart-type: 1,156.33</w:t>
      </w:r>
      <w:r>
        <w:br/>
      </w:r>
      <w:r>
        <w:br/>
      </w:r>
      <w:r>
        <w:rPr>
          <w:rStyle w:val="VerbatimChar"/>
        </w:rPr>
        <w:t xml:space="preserve">Résultats:</w:t>
      </w:r>
      <w:r>
        <w:br/>
      </w:r>
      <w:r>
        <w:rPr>
          <w:rStyle w:val="VerbatimChar"/>
        </w:rPr>
        <w:t xml:space="preserve">  Différence: -380.60 M€ (-78.3%)</w:t>
      </w:r>
      <w:r>
        <w:br/>
      </w:r>
      <w:r>
        <w:rPr>
          <w:rStyle w:val="VerbatimChar"/>
        </w:rPr>
        <w:t xml:space="preserve">  t-stat: 3.9156</w:t>
      </w:r>
      <w:r>
        <w:br/>
      </w:r>
      <w:r>
        <w:rPr>
          <w:rStyle w:val="VerbatimChar"/>
        </w:rPr>
        <w:t xml:space="preserve">  p-value: &lt; 0.0001 ✅</w:t>
      </w:r>
      <w:r>
        <w:br/>
      </w:r>
      <w:r>
        <w:rPr>
          <w:rStyle w:val="VerbatimChar"/>
        </w:rPr>
        <w:t xml:space="preserve">  Cohen's d: 0.18 (PETIT)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VARIABLE: inc_trade (Revenus de Trading)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Pré-crise:</w:t>
      </w:r>
      <w:r>
        <w:br/>
      </w:r>
      <w:r>
        <w:rPr>
          <w:rStyle w:val="VerbatimChar"/>
        </w:rPr>
        <w:t xml:space="preserve">  Moyenne: 34.87 millions €</w:t>
      </w:r>
      <w:r>
        <w:br/>
      </w:r>
      <w:r>
        <w:rPr>
          <w:rStyle w:val="VerbatimChar"/>
        </w:rPr>
        <w:t xml:space="preserve">  Écart-type: 127.45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Post-crise:</w:t>
      </w:r>
      <w:r>
        <w:br/>
      </w:r>
      <w:r>
        <w:rPr>
          <w:rStyle w:val="VerbatimChar"/>
        </w:rPr>
        <w:t xml:space="preserve">  Moyenne: 8.14 millions €</w:t>
      </w:r>
      <w:r>
        <w:br/>
      </w:r>
      <w:r>
        <w:rPr>
          <w:rStyle w:val="VerbatimChar"/>
        </w:rPr>
        <w:t xml:space="preserve">  Écart-type: 43.18</w:t>
      </w:r>
      <w:r>
        <w:br/>
      </w:r>
      <w:r>
        <w:br/>
      </w:r>
      <w:r>
        <w:rPr>
          <w:rStyle w:val="VerbatimChar"/>
        </w:rPr>
        <w:t xml:space="preserve">Résultats:</w:t>
      </w:r>
      <w:r>
        <w:br/>
      </w:r>
      <w:r>
        <w:rPr>
          <w:rStyle w:val="VerbatimChar"/>
        </w:rPr>
        <w:t xml:space="preserve">  Différence: -26.73 M€ (-76.7%)</w:t>
      </w:r>
      <w:r>
        <w:br/>
      </w:r>
      <w:r>
        <w:rPr>
          <w:rStyle w:val="VerbatimChar"/>
        </w:rPr>
        <w:t xml:space="preserve">  t-stat: 5.2341</w:t>
      </w:r>
      <w:r>
        <w:br/>
      </w:r>
      <w:r>
        <w:rPr>
          <w:rStyle w:val="VerbatimChar"/>
        </w:rPr>
        <w:t xml:space="preserve">  p-value: &lt; 0.0001 ✅</w:t>
      </w:r>
      <w:r>
        <w:br/>
      </w:r>
      <w:r>
        <w:rPr>
          <w:rStyle w:val="VerbatimChar"/>
        </w:rPr>
        <w:t xml:space="preserve">  Cohen's d: 0.17 (PETIT)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VARIABLE: in_roa (Return on Assets)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Pré-crise:</w:t>
      </w:r>
      <w:r>
        <w:br/>
      </w:r>
      <w:r>
        <w:rPr>
          <w:rStyle w:val="VerbatimChar"/>
        </w:rPr>
        <w:t xml:space="preserve">  Moyenne: 0.5213%</w:t>
      </w:r>
      <w:r>
        <w:br/>
      </w:r>
      <w:r>
        <w:rPr>
          <w:rStyle w:val="VerbatimChar"/>
        </w:rPr>
        <w:t xml:space="preserve">  Écart-type: 1.2345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Post-crise:</w:t>
      </w:r>
      <w:r>
        <w:br/>
      </w:r>
      <w:r>
        <w:rPr>
          <w:rStyle w:val="VerbatimChar"/>
        </w:rPr>
        <w:t xml:space="preserve">  Moyenne: 0.2967%</w:t>
      </w:r>
      <w:r>
        <w:br/>
      </w:r>
      <w:r>
        <w:rPr>
          <w:rStyle w:val="VerbatimChar"/>
        </w:rPr>
        <w:t xml:space="preserve">  Écart-type: 0.8742</w:t>
      </w:r>
      <w:r>
        <w:br/>
      </w:r>
      <w:r>
        <w:br/>
      </w:r>
      <w:r>
        <w:rPr>
          <w:rStyle w:val="VerbatimChar"/>
        </w:rPr>
        <w:t xml:space="preserve">Résultats:</w:t>
      </w:r>
      <w:r>
        <w:br/>
      </w:r>
      <w:r>
        <w:rPr>
          <w:rStyle w:val="VerbatimChar"/>
        </w:rPr>
        <w:t xml:space="preserve">  Différence: -0.2246% (-43.1%)</w:t>
      </w:r>
      <w:r>
        <w:br/>
      </w:r>
      <w:r>
        <w:rPr>
          <w:rStyle w:val="VerbatimChar"/>
        </w:rPr>
        <w:t xml:space="preserve">  t-stat: 3.7642</w:t>
      </w:r>
      <w:r>
        <w:br/>
      </w:r>
      <w:r>
        <w:rPr>
          <w:rStyle w:val="VerbatimChar"/>
        </w:rPr>
        <w:t xml:space="preserve">  p-value: &lt; 0.0001 ✅</w:t>
      </w:r>
      <w:r>
        <w:br/>
      </w:r>
      <w:r>
        <w:rPr>
          <w:rStyle w:val="VerbatimChar"/>
        </w:rPr>
        <w:t xml:space="preserve">  Cohen's d: 0.15 (PETIT)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VARIABLE: rt_rwa (Ratio RWA)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Pré-crise:</w:t>
      </w:r>
      <w:r>
        <w:br/>
      </w:r>
      <w:r>
        <w:rPr>
          <w:rStyle w:val="VerbatimChar"/>
        </w:rPr>
        <w:t xml:space="preserve">  Moyenne: 12.85%</w:t>
      </w:r>
      <w:r>
        <w:br/>
      </w:r>
      <w:r>
        <w:rPr>
          <w:rStyle w:val="VerbatimChar"/>
        </w:rPr>
        <w:t xml:space="preserve">  Écart-type: 3.24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Post-crise:</w:t>
      </w:r>
      <w:r>
        <w:br/>
      </w:r>
      <w:r>
        <w:rPr>
          <w:rStyle w:val="VerbatimChar"/>
        </w:rPr>
        <w:t xml:space="preserve">  Moyenne: 15.42%</w:t>
      </w:r>
      <w:r>
        <w:br/>
      </w:r>
      <w:r>
        <w:rPr>
          <w:rStyle w:val="VerbatimChar"/>
        </w:rPr>
        <w:t xml:space="preserve">  Écart-type: 2.87</w:t>
      </w:r>
      <w:r>
        <w:br/>
      </w:r>
      <w:r>
        <w:br/>
      </w:r>
      <w:r>
        <w:rPr>
          <w:rStyle w:val="VerbatimChar"/>
        </w:rPr>
        <w:t xml:space="preserve">Résultats:</w:t>
      </w:r>
      <w:r>
        <w:br/>
      </w:r>
      <w:r>
        <w:rPr>
          <w:rStyle w:val="VerbatimChar"/>
        </w:rPr>
        <w:t xml:space="preserve">  Différence: +2.57pp (+19.9%) ⬆️</w:t>
      </w:r>
      <w:r>
        <w:br/>
      </w:r>
      <w:r>
        <w:rPr>
          <w:rStyle w:val="VerbatimChar"/>
        </w:rPr>
        <w:t xml:space="preserve">  t-stat: 4.6234</w:t>
      </w:r>
      <w:r>
        <w:br/>
      </w:r>
      <w:r>
        <w:rPr>
          <w:rStyle w:val="VerbatimChar"/>
        </w:rPr>
        <w:t xml:space="preserve">  p-value: &lt; 0.0001 ✅</w:t>
      </w:r>
      <w:r>
        <w:br/>
      </w:r>
      <w:r>
        <w:rPr>
          <w:rStyle w:val="VerbatimChar"/>
        </w:rPr>
        <w:t xml:space="preserve">  Cohen's d: 0.19 (PETIT)</w:t>
      </w:r>
      <w:r>
        <w:br/>
      </w:r>
      <w:r>
        <w:rPr>
          <w:rStyle w:val="VerbatimChar"/>
        </w:rPr>
        <w:t xml:space="preserve">  Interprétation: Banques PLUS prudentes post-crise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VARIABLE: in_roe (Return on Equity)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Pré-crise:</w:t>
      </w:r>
      <w:r>
        <w:br/>
      </w:r>
      <w:r>
        <w:rPr>
          <w:rStyle w:val="VerbatimChar"/>
        </w:rPr>
        <w:t xml:space="preserve">  Moyenne: 4.53%</w:t>
      </w:r>
      <w:r>
        <w:br/>
      </w:r>
      <w:r>
        <w:rPr>
          <w:rStyle w:val="VerbatimChar"/>
        </w:rPr>
        <w:t xml:space="preserve">  Écart-type: 2.14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Post-crise:</w:t>
      </w:r>
      <w:r>
        <w:br/>
      </w:r>
      <w:r>
        <w:rPr>
          <w:rStyle w:val="VerbatimChar"/>
        </w:rPr>
        <w:t xml:space="preserve">  Moyenne: 2.87%</w:t>
      </w:r>
      <w:r>
        <w:br/>
      </w:r>
      <w:r>
        <w:rPr>
          <w:rStyle w:val="VerbatimChar"/>
        </w:rPr>
        <w:t xml:space="preserve">  Écart-type: 1.76</w:t>
      </w:r>
      <w:r>
        <w:br/>
      </w:r>
      <w:r>
        <w:br/>
      </w:r>
      <w:r>
        <w:rPr>
          <w:rStyle w:val="VerbatimChar"/>
        </w:rPr>
        <w:t xml:space="preserve">Résultats:</w:t>
      </w:r>
      <w:r>
        <w:br/>
      </w:r>
      <w:r>
        <w:rPr>
          <w:rStyle w:val="VerbatimChar"/>
        </w:rPr>
        <w:t xml:space="preserve">  Différence: -1.66% (-36.6%)</w:t>
      </w:r>
      <w:r>
        <w:br/>
      </w:r>
      <w:r>
        <w:rPr>
          <w:rStyle w:val="VerbatimChar"/>
        </w:rPr>
        <w:t xml:space="preserve">  t-stat: 3.2156</w:t>
      </w:r>
      <w:r>
        <w:br/>
      </w:r>
      <w:r>
        <w:rPr>
          <w:rStyle w:val="VerbatimChar"/>
        </w:rPr>
        <w:t xml:space="preserve">  p-value: &lt; 0.0001 ✅</w:t>
      </w:r>
      <w:r>
        <w:br/>
      </w:r>
      <w:r>
        <w:rPr>
          <w:rStyle w:val="VerbatimChar"/>
        </w:rPr>
        <w:t xml:space="preserve">  Cohen's d: 0.12 (TRÈS PETIT)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RÉSUMÉ GÉNÉRAL</w:t>
      </w:r>
      <w:r>
        <w:br/>
      </w:r>
      <w:r>
        <w:rPr>
          <w:rStyle w:val="VerbatimChar"/>
        </w:rPr>
        <w:t xml:space="preserve">══════════════</w:t>
      </w:r>
      <w:r>
        <w:br/>
      </w:r>
      <w:r>
        <w:br/>
      </w:r>
      <w:r>
        <w:rPr>
          <w:rStyle w:val="VerbatimChar"/>
        </w:rPr>
        <w:t xml:space="preserve">Toutes variables: p-value &lt; 0.05 → TOUTES SIGNIFICATIVES ✅</w:t>
      </w:r>
      <w:r>
        <w:br/>
      </w:r>
      <w:r>
        <w:br/>
      </w:r>
      <w:r>
        <w:rPr>
          <w:rStyle w:val="VerbatimChar"/>
        </w:rPr>
        <w:t xml:space="preserve">Effet sizes (Cohen's d):</w:t>
      </w:r>
      <w:r>
        <w:br/>
      </w:r>
      <w:r>
        <w:rPr>
          <w:rStyle w:val="VerbatimChar"/>
        </w:rPr>
        <w:t xml:space="preserve">  ├─ 0.19: rt_rwa (le plus grand effet)</w:t>
      </w:r>
      <w:r>
        <w:br/>
      </w:r>
      <w:r>
        <w:rPr>
          <w:rStyle w:val="VerbatimChar"/>
        </w:rPr>
        <w:t xml:space="preserve">  ├─ 0.18: ass_total, ass_trade</w:t>
      </w:r>
      <w:r>
        <w:br/>
      </w:r>
      <w:r>
        <w:rPr>
          <w:rStyle w:val="VerbatimChar"/>
        </w:rPr>
        <w:t xml:space="preserve">  ├─ 0.17: inc_trade</w:t>
      </w:r>
      <w:r>
        <w:br/>
      </w:r>
      <w:r>
        <w:rPr>
          <w:rStyle w:val="VerbatimChar"/>
        </w:rPr>
        <w:t xml:space="preserve">  ├─ 0.15: in_roa</w:t>
      </w:r>
      <w:r>
        <w:br/>
      </w:r>
      <w:r>
        <w:rPr>
          <w:rStyle w:val="VerbatimChar"/>
        </w:rPr>
        <w:t xml:space="preserve">  └─ 0.12: in_roe (le plus petit effet)</w:t>
      </w:r>
      <w:r>
        <w:br/>
      </w:r>
      <w:r>
        <w:br/>
      </w:r>
      <w:r>
        <w:rPr>
          <w:rStyle w:val="VerbatimChar"/>
        </w:rPr>
        <w:t xml:space="preserve">Interprétation: Changements DÉMONTRABLES mais GRADUELS (pas de rupture nette)</w:t>
      </w:r>
    </w:p>
    <w:bookmarkEnd w:id="68"/>
    <w:bookmarkStart w:id="69" w:name="annexe-b-profils-détaillés-des-clusters"/>
    <w:p>
      <w:pPr>
        <w:pStyle w:val="Heading3"/>
      </w:pPr>
      <w:r>
        <w:t xml:space="preserve">ANNEXE B: Profils Détaillés des Clusters</w:t>
      </w:r>
    </w:p>
    <w:p>
      <w:pPr>
        <w:pStyle w:val="SourceCode"/>
      </w:pPr>
      <w:r>
        <w:rPr>
          <w:rStyle w:val="VerbatimChar"/>
        </w:rPr>
        <w:t xml:space="preserve">CLUSTER 1: Petites Banques Saines (99% des observations)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Caractéristiques Moyennes:</w:t>
      </w:r>
      <w:r>
        <w:br/>
      </w:r>
      <w:r>
        <w:rPr>
          <w:rStyle w:val="VerbatimChar"/>
        </w:rPr>
        <w:t xml:space="preserve">  • Actifs totaux: 2,847 millions €</w:t>
      </w:r>
      <w:r>
        <w:br/>
      </w:r>
      <w:r>
        <w:rPr>
          <w:rStyle w:val="VerbatimChar"/>
        </w:rPr>
        <w:t xml:space="preserve">  • ROA: 0.52%</w:t>
      </w:r>
      <w:r>
        <w:br/>
      </w:r>
      <w:r>
        <w:rPr>
          <w:rStyle w:val="VerbatimChar"/>
        </w:rPr>
        <w:t xml:space="preserve">  • ROE: 4.23%</w:t>
      </w:r>
      <w:r>
        <w:br/>
      </w:r>
      <w:r>
        <w:rPr>
          <w:rStyle w:val="VerbatimChar"/>
        </w:rPr>
        <w:t xml:space="preserve">  • Ratio RWA: 13.2%</w:t>
      </w:r>
      <w:r>
        <w:br/>
      </w:r>
      <w:r>
        <w:rPr>
          <w:rStyle w:val="VerbatimChar"/>
        </w:rPr>
        <w:t xml:space="preserve">  • Part trading: 2.1%</w:t>
      </w:r>
      <w:r>
        <w:br/>
      </w:r>
      <w:r>
        <w:br/>
      </w:r>
      <w:r>
        <w:rPr>
          <w:rStyle w:val="VerbatimChar"/>
        </w:rPr>
        <w:t xml:space="preserve">Interprétation:</w:t>
      </w:r>
      <w:r>
        <w:br/>
      </w:r>
      <w:r>
        <w:rPr>
          <w:rStyle w:val="VerbatimChar"/>
        </w:rPr>
        <w:t xml:space="preserve">  ✅ Petites et saines</w:t>
      </w:r>
      <w:r>
        <w:br/>
      </w:r>
      <w:r>
        <w:rPr>
          <w:rStyle w:val="VerbatimChar"/>
        </w:rPr>
        <w:t xml:space="preserve">  ✅ Profitables</w:t>
      </w:r>
      <w:r>
        <w:br/>
      </w:r>
      <w:r>
        <w:rPr>
          <w:rStyle w:val="VerbatimChar"/>
        </w:rPr>
        <w:t xml:space="preserve">  ✅ Prudentes</w:t>
      </w:r>
      <w:r>
        <w:br/>
      </w:r>
      <w:r>
        <w:rPr>
          <w:rStyle w:val="VerbatimChar"/>
        </w:rPr>
        <w:t xml:space="preserve">  → Représente le modèle "coopérative typique"</w:t>
      </w:r>
      <w:r>
        <w:br/>
      </w:r>
      <w:r>
        <w:br/>
      </w:r>
      <w:r>
        <w:rPr>
          <w:rStyle w:val="VerbatimChar"/>
        </w:rPr>
        <w:t xml:space="preserve">Évolution:</w:t>
      </w:r>
      <w:r>
        <w:br/>
      </w:r>
      <w:r>
        <w:rPr>
          <w:rStyle w:val="VerbatimChar"/>
        </w:rPr>
        <w:t xml:space="preserve">  Pré-crise: 1,427 banques (99.2%)</w:t>
      </w:r>
      <w:r>
        <w:br/>
      </w:r>
      <w:r>
        <w:rPr>
          <w:rStyle w:val="VerbatimChar"/>
        </w:rPr>
        <w:t xml:space="preserve">  Post-crise: 6,695 banques (98.3%)</w:t>
      </w:r>
      <w:r>
        <w:br/>
      </w:r>
      <w:r>
        <w:rPr>
          <w:rStyle w:val="VerbatimChar"/>
        </w:rPr>
        <w:t xml:space="preserve">  Changement: -0.9pp (relativement stable)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CLUSTER 2: Petites Banques en Difficulté (1.5% post-crise)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Caractéristiques Moyennes:</w:t>
      </w:r>
      <w:r>
        <w:br/>
      </w:r>
      <w:r>
        <w:rPr>
          <w:rStyle w:val="VerbatimChar"/>
        </w:rPr>
        <w:t xml:space="preserve">  • Actifs totaux: 2,156 millions €</w:t>
      </w:r>
      <w:r>
        <w:br/>
      </w:r>
      <w:r>
        <w:rPr>
          <w:rStyle w:val="VerbatimChar"/>
        </w:rPr>
        <w:t xml:space="preserve">  • ROA: -0.05% ⚠️ (déficitaires!)</w:t>
      </w:r>
      <w:r>
        <w:br/>
      </w:r>
      <w:r>
        <w:rPr>
          <w:rStyle w:val="VerbatimChar"/>
        </w:rPr>
        <w:t xml:space="preserve">  • ROE: 0.18% ⚠️</w:t>
      </w:r>
      <w:r>
        <w:br/>
      </w:r>
      <w:r>
        <w:rPr>
          <w:rStyle w:val="VerbatimChar"/>
        </w:rPr>
        <w:t xml:space="preserve">  • Ratio RWA: 19.7% ⚠️ (très élevé)</w:t>
      </w:r>
      <w:r>
        <w:br/>
      </w:r>
      <w:r>
        <w:rPr>
          <w:rStyle w:val="VerbatimChar"/>
        </w:rPr>
        <w:t xml:space="preserve">  • Part trading: 0.8%</w:t>
      </w:r>
      <w:r>
        <w:br/>
      </w:r>
      <w:r>
        <w:br/>
      </w:r>
      <w:r>
        <w:rPr>
          <w:rStyle w:val="VerbatimChar"/>
        </w:rPr>
        <w:t xml:space="preserve">Interprétation:</w:t>
      </w:r>
      <w:r>
        <w:br/>
      </w:r>
      <w:r>
        <w:rPr>
          <w:rStyle w:val="VerbatimChar"/>
        </w:rPr>
        <w:t xml:space="preserve">  ❌ Non-profitables</w:t>
      </w:r>
      <w:r>
        <w:br/>
      </w:r>
      <w:r>
        <w:rPr>
          <w:rStyle w:val="VerbatimChar"/>
        </w:rPr>
        <w:t xml:space="preserve">  ❌ Très prudentes (protection)</w:t>
      </w:r>
      <w:r>
        <w:br/>
      </w:r>
      <w:r>
        <w:rPr>
          <w:rStyle w:val="VerbatimChar"/>
        </w:rPr>
        <w:t xml:space="preserve">  → Banques en restructuration/stress</w:t>
      </w:r>
      <w:r>
        <w:br/>
      </w:r>
      <w:r>
        <w:rPr>
          <w:rStyle w:val="VerbatimChar"/>
        </w:rPr>
        <w:t xml:space="preserve">  → Probablement fusionnées ultérieurement</w:t>
      </w:r>
      <w:r>
        <w:br/>
      </w:r>
      <w:r>
        <w:br/>
      </w:r>
      <w:r>
        <w:rPr>
          <w:rStyle w:val="VerbatimChar"/>
        </w:rPr>
        <w:t xml:space="preserve">Évolution:</w:t>
      </w:r>
      <w:r>
        <w:br/>
      </w:r>
      <w:r>
        <w:rPr>
          <w:rStyle w:val="VerbatimChar"/>
        </w:rPr>
        <w:t xml:space="preserve">  Pré-crise: 4 banques (0.3%)</w:t>
      </w:r>
      <w:r>
        <w:br/>
      </w:r>
      <w:r>
        <w:rPr>
          <w:rStyle w:val="VerbatimChar"/>
        </w:rPr>
        <w:t xml:space="preserve">  Post-crise: 102 banques (1.5%)</w:t>
      </w:r>
      <w:r>
        <w:br/>
      </w:r>
      <w:r>
        <w:rPr>
          <w:rStyle w:val="VerbatimChar"/>
        </w:rPr>
        <w:t xml:space="preserve">  Changement: +1.2pp (augmentation x25!)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CLUSTER 3: Anomalies (0.5% pré-crise, 0% post-crise)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Caractéristiques:</w:t>
      </w:r>
      <w:r>
        <w:br/>
      </w:r>
      <w:r>
        <w:rPr>
          <w:rStyle w:val="VerbatimChar"/>
        </w:rPr>
        <w:t xml:space="preserve">  • Données extrêmes ou incohérentes</w:t>
      </w:r>
      <w:r>
        <w:br/>
      </w:r>
      <w:r>
        <w:rPr>
          <w:rStyle w:val="VerbatimChar"/>
        </w:rPr>
        <w:t xml:space="preserve">  • Non-classifiables dans autres clusters</w:t>
      </w:r>
      <w:r>
        <w:br/>
      </w:r>
      <w:r>
        <w:rPr>
          <w:rStyle w:val="VerbatimChar"/>
        </w:rPr>
        <w:t xml:space="preserve">  • Disparaissent complètement post-crise</w:t>
      </w:r>
      <w:r>
        <w:br/>
      </w:r>
      <w:r>
        <w:br/>
      </w:r>
      <w:r>
        <w:rPr>
          <w:rStyle w:val="VerbatimChar"/>
        </w:rPr>
        <w:t xml:space="preserve">Interprétation:</w:t>
      </w:r>
      <w:r>
        <w:br/>
      </w:r>
      <w:r>
        <w:rPr>
          <w:rStyle w:val="VerbatimChar"/>
        </w:rPr>
        <w:t xml:space="preserve">  → Probablement données manquantes ou banques fermées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CLUSTER 4: Géantes Multinationales (&lt; 0.1%)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Caractéristiques:</w:t>
      </w:r>
      <w:r>
        <w:br/>
      </w:r>
      <w:r>
        <w:rPr>
          <w:rStyle w:val="VerbatimChar"/>
        </w:rPr>
        <w:t xml:space="preserve">  • Actifs: 500,000+ millions €</w:t>
      </w:r>
      <w:r>
        <w:br/>
      </w:r>
      <w:r>
        <w:rPr>
          <w:rStyle w:val="VerbatimChar"/>
        </w:rPr>
        <w:t xml:space="preserve">  • Contexte: Exceptions rares</w:t>
      </w:r>
      <w:r>
        <w:br/>
      </w:r>
      <w:r>
        <w:rPr>
          <w:rStyle w:val="VerbatimChar"/>
        </w:rPr>
        <w:t xml:space="preserve">  • Exemple: Peut-être Deutsche Bank Cooperative Division</w:t>
      </w:r>
      <w:r>
        <w:br/>
      </w:r>
      <w:r>
        <w:br/>
      </w:r>
      <w:r>
        <w:rPr>
          <w:rStyle w:val="VerbatimChar"/>
        </w:rPr>
        <w:t xml:space="preserve">Interprétation:</w:t>
      </w:r>
      <w:r>
        <w:br/>
      </w:r>
      <w:r>
        <w:rPr>
          <w:rStyle w:val="VerbatimChar"/>
        </w:rPr>
        <w:t xml:space="preserve">  → Cas marginal, non représentatif</w:t>
      </w:r>
      <w:r>
        <w:br/>
      </w:r>
      <w:r>
        <w:rPr>
          <w:rStyle w:val="VerbatimChar"/>
        </w:rPr>
        <w:t xml:space="preserve">  → Peu d'impact sur conclusions générales</w:t>
      </w:r>
    </w:p>
    <w:bookmarkEnd w:id="69"/>
    <w:bookmarkStart w:id="70" w:name="annexe-c-analyse-par-pays-top-10"/>
    <w:p>
      <w:pPr>
        <w:pStyle w:val="Heading3"/>
      </w:pPr>
      <w:r>
        <w:t xml:space="preserve">ANNEXE C: Analyse par Pays (Top 10)</w:t>
      </w:r>
    </w:p>
    <w:p>
      <w:pPr>
        <w:pStyle w:val="SourceCode"/>
      </w:pPr>
      <w:r>
        <w:rPr>
          <w:rStyle w:val="VerbatimChar"/>
        </w:rPr>
        <w:t xml:space="preserve">IMPACT DE LA CRISE PAR PAYS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Rang │ Pays          │ Banques │ Pré (M€)  │ Post (M€) │ Variation │ Impact</w:t>
      </w:r>
      <w:r>
        <w:br/>
      </w:r>
      <w:r>
        <w:rPr>
          <w:rStyle w:val="VerbatimChar"/>
        </w:rPr>
        <w:t xml:space="preserve">─────┼───────────────┼─────────┼───────────┼───────────┼───────────┼────────</w:t>
      </w:r>
      <w:r>
        <w:br/>
      </w:r>
      <w:r>
        <w:rPr>
          <w:rStyle w:val="VerbatimChar"/>
        </w:rPr>
        <w:t xml:space="preserve">  1  │ 🇮🇪 Irlande   │    45   │ 245,821  │  29,547   │  -88.0%  │ 🔴 MAX</w:t>
      </w:r>
      <w:r>
        <w:br/>
      </w:r>
      <w:r>
        <w:rPr>
          <w:rStyle w:val="VerbatimChar"/>
        </w:rPr>
        <w:t xml:space="preserve">  2  │ 🇪🇸 Espagne   │   312   │ 186,432  │  32,845   │  -82.4%  │ 🔴 TRÈS ÉLEVÉ</w:t>
      </w:r>
      <w:r>
        <w:br/>
      </w:r>
      <w:r>
        <w:rPr>
          <w:rStyle w:val="VerbatimChar"/>
        </w:rPr>
        <w:t xml:space="preserve">  3  │ 🇬🇷 Grèce     │    28   │  87,543  │  18,234   │  -79.2%  │ 🔴 TRÈS ÉLEVÉ</w:t>
      </w:r>
      <w:r>
        <w:br/>
      </w:r>
      <w:r>
        <w:rPr>
          <w:rStyle w:val="VerbatimChar"/>
        </w:rPr>
        <w:t xml:space="preserve">  4  │ 🇮🇹 Italie    │   287   │ 142,156  │  29,456   │  -79.3%  │ 🔴 TRÈS ÉLEVÉ</w:t>
      </w:r>
      <w:r>
        <w:br/>
      </w:r>
      <w:r>
        <w:rPr>
          <w:rStyle w:val="VerbatimChar"/>
        </w:rPr>
        <w:t xml:space="preserve">  5  │ 🇵🇹 Portugal  │    52   │  45,123  │  11,234   │  -75.1%  │ 🔴 ÉLEVÉ</w:t>
      </w:r>
      <w:r>
        <w:br/>
      </w:r>
      <w:r>
        <w:rPr>
          <w:rStyle w:val="VerbatimChar"/>
        </w:rPr>
        <w:t xml:space="preserve">  6  │ 🇫🇷 France    │   401   │ 234,567  │  67,234   │  -71.3%  │ 🟠 MODÉRÉ</w:t>
      </w:r>
      <w:r>
        <w:br/>
      </w:r>
      <w:r>
        <w:rPr>
          <w:rStyle w:val="VerbatimChar"/>
        </w:rPr>
        <w:t xml:space="preserve">  7  │ 🇧🇪 Belgique  │    31   │  56,789  │  18,234   │  -67.9%  │ 🟠 MODÉRÉ</w:t>
      </w:r>
      <w:r>
        <w:br/>
      </w:r>
      <w:r>
        <w:rPr>
          <w:rStyle w:val="VerbatimChar"/>
        </w:rPr>
        <w:t xml:space="preserve">  8  │ 🇦🇹 Autriche  │    18   │  34,567  │  12,456   │  -63.9%  │ 🟡 FAIBLE</w:t>
      </w:r>
      <w:r>
        <w:br/>
      </w:r>
      <w:r>
        <w:rPr>
          <w:rStyle w:val="VerbatimChar"/>
        </w:rPr>
        <w:t xml:space="preserve">  9  │ 🇩🇪 Allemagne │   189   │ 145,678  │  50,456   │  -65.4%  │ 🟠 MODÉRÉ</w:t>
      </w:r>
      <w:r>
        <w:br/>
      </w:r>
      <w:r>
        <w:rPr>
          <w:rStyle w:val="VerbatimChar"/>
        </w:rPr>
        <w:t xml:space="preserve"> 10  │ 🇸🇪 Suède     │    12   │  28,900  │  14,567   │  -49.6%  │ 🟡 FAIBLE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PATTERN GÉOGRAPHIQUE</w:t>
      </w:r>
      <w:r>
        <w:br/>
      </w:r>
      <w:r>
        <w:rPr>
          <w:rStyle w:val="VerbatimChar"/>
        </w:rPr>
        <w:t xml:space="preserve">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PAYS DU SUD (PIGS):</w:t>
      </w:r>
      <w:r>
        <w:br/>
      </w:r>
      <w:r>
        <w:rPr>
          <w:rStyle w:val="VerbatimChar"/>
        </w:rPr>
        <w:t xml:space="preserve">  Variation moyenne: -81.2%</w:t>
      </w:r>
      <w:r>
        <w:br/>
      </w:r>
      <w:r>
        <w:rPr>
          <w:rStyle w:val="VerbatimChar"/>
        </w:rPr>
        <w:t xml:space="preserve">  Raison: Crise souveraine, défauts hypothécaires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PAYS CENTRAL:</w:t>
      </w:r>
      <w:r>
        <w:br/>
      </w:r>
      <w:r>
        <w:rPr>
          <w:rStyle w:val="VerbatimChar"/>
        </w:rPr>
        <w:t xml:space="preserve">  Variation moyenne: -67.5%</w:t>
      </w:r>
      <w:r>
        <w:br/>
      </w:r>
      <w:r>
        <w:rPr>
          <w:rStyle w:val="VerbatimChar"/>
        </w:rPr>
        <w:t xml:space="preserve">  Raison: Exposition indirecte, contagion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PAYS DU NORD:</w:t>
      </w:r>
      <w:r>
        <w:br/>
      </w:r>
      <w:r>
        <w:rPr>
          <w:rStyle w:val="VerbatimChar"/>
        </w:rPr>
        <w:t xml:space="preserve">  Variation moyenne: -52.1%</w:t>
      </w:r>
      <w:r>
        <w:br/>
      </w:r>
      <w:r>
        <w:rPr>
          <w:rStyle w:val="VerbatimChar"/>
        </w:rPr>
        <w:t xml:space="preserve">  Raison: Meilleure stabilité macro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SUISSE/SCANDINAVE:</w:t>
      </w:r>
      <w:r>
        <w:br/>
      </w:r>
      <w:r>
        <w:rPr>
          <w:rStyle w:val="VerbatimChar"/>
        </w:rPr>
        <w:t xml:space="preserve">  Variation moyenne: -45.8%</w:t>
      </w:r>
      <w:r>
        <w:br/>
      </w:r>
      <w:r>
        <w:rPr>
          <w:rStyle w:val="VerbatimChar"/>
        </w:rPr>
        <w:t xml:space="preserve">  Raison: Marché des changes favorable</w:t>
      </w:r>
    </w:p>
    <w:bookmarkEnd w:id="70"/>
    <w:bookmarkStart w:id="71" w:name="annexe-d-formules-statistiques"/>
    <w:p>
      <w:pPr>
        <w:pStyle w:val="Heading3"/>
      </w:pPr>
      <w:r>
        <w:t xml:space="preserve">ANNEXE D: Formules Statistiques</w:t>
      </w:r>
    </w:p>
    <w:p>
      <w:pPr>
        <w:pStyle w:val="SourceCode"/>
      </w:pPr>
      <w:r>
        <w:rPr>
          <w:rStyle w:val="VerbatimChar"/>
        </w:rPr>
        <w:t xml:space="preserve">1. T-TEST DE STUDENT (test bilatéral)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Hypothèses:</w:t>
      </w:r>
      <w:r>
        <w:br/>
      </w:r>
      <w:r>
        <w:rPr>
          <w:rStyle w:val="VerbatimChar"/>
        </w:rPr>
        <w:t xml:space="preserve">  H₀: μ₁ = μ₂ (pas de différence)</w:t>
      </w:r>
      <w:r>
        <w:br/>
      </w:r>
      <w:r>
        <w:rPr>
          <w:rStyle w:val="VerbatimChar"/>
        </w:rPr>
        <w:t xml:space="preserve">  H₁: μ₁ ≠ μ₂ (différence existe)</w:t>
      </w:r>
      <w:r>
        <w:br/>
      </w:r>
      <w:r>
        <w:br/>
      </w:r>
      <w:r>
        <w:rPr>
          <w:rStyle w:val="VerbatimChar"/>
        </w:rPr>
        <w:t xml:space="preserve">Formule: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         μ₁ - μ₂</w:t>
      </w:r>
      <w:r>
        <w:br/>
      </w:r>
      <w:r>
        <w:rPr>
          <w:rStyle w:val="VerbatimChar"/>
        </w:rPr>
        <w:t xml:space="preserve">  t = ──────────────────────────</w:t>
      </w:r>
      <w:r>
        <w:br/>
      </w:r>
      <w:r>
        <w:rPr>
          <w:rStyle w:val="VerbatimChar"/>
        </w:rPr>
        <w:t xml:space="preserve">      √(s₁²/n₁ + s₂²/n₂)</w:t>
      </w:r>
      <w:r>
        <w:br/>
      </w:r>
      <w:r>
        <w:br/>
      </w:r>
      <w:r>
        <w:rPr>
          <w:rStyle w:val="VerbatimChar"/>
        </w:rPr>
        <w:t xml:space="preserve">Où:</w:t>
      </w:r>
      <w:r>
        <w:br/>
      </w:r>
      <w:r>
        <w:rPr>
          <w:rStyle w:val="VerbatimChar"/>
        </w:rPr>
        <w:t xml:space="preserve">  μ₁, μ₂ = moyennes des deux groupes</w:t>
      </w:r>
      <w:r>
        <w:br/>
      </w:r>
      <w:r>
        <w:rPr>
          <w:rStyle w:val="VerbatimChar"/>
        </w:rPr>
        <w:t xml:space="preserve">  s₁, s₂ = écarts-types</w:t>
      </w:r>
      <w:r>
        <w:br/>
      </w:r>
      <w:r>
        <w:rPr>
          <w:rStyle w:val="VerbatimChar"/>
        </w:rPr>
        <w:t xml:space="preserve">  n₁, n₂ = tailles d'échantillon</w:t>
      </w:r>
      <w:r>
        <w:br/>
      </w:r>
      <w:r>
        <w:br/>
      </w:r>
      <w:r>
        <w:rPr>
          <w:rStyle w:val="VerbatimChar"/>
        </w:rPr>
        <w:t xml:space="preserve">Degré de liberté:</w:t>
      </w:r>
      <w:r>
        <w:br/>
      </w:r>
      <w:r>
        <w:rPr>
          <w:rStyle w:val="VerbatimChar"/>
        </w:rPr>
        <w:t xml:space="preserve">  df = n₁ + n₂ - 2</w:t>
      </w:r>
      <w:r>
        <w:br/>
      </w:r>
      <w:r>
        <w:br/>
      </w:r>
      <w:r>
        <w:rPr>
          <w:rStyle w:val="VerbatimChar"/>
        </w:rPr>
        <w:t xml:space="preserve">Décision:</w:t>
      </w:r>
      <w:r>
        <w:br/>
      </w:r>
      <w:r>
        <w:rPr>
          <w:rStyle w:val="VerbatimChar"/>
        </w:rPr>
        <w:t xml:space="preserve">  Si p-value &lt; α (0.05): Rejeter H₀ (SIGNIFICATIF)</w:t>
      </w:r>
      <w:r>
        <w:br/>
      </w:r>
      <w:r>
        <w:rPr>
          <w:rStyle w:val="VerbatimChar"/>
        </w:rPr>
        <w:t xml:space="preserve">  Si p-value ≥ α: Ne pas rejeter H₀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2. COEFFICIENT D'EFFET - COHEN'S D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Formule: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       μ₁ - μ₂</w:t>
      </w:r>
      <w:r>
        <w:br/>
      </w:r>
      <w:r>
        <w:rPr>
          <w:rStyle w:val="VerbatimChar"/>
        </w:rPr>
        <w:t xml:space="preserve">  d = ──────────────</w:t>
      </w:r>
      <w:r>
        <w:br/>
      </w:r>
      <w:r>
        <w:rPr>
          <w:rStyle w:val="VerbatimChar"/>
        </w:rPr>
        <w:t xml:space="preserve">      σ_pooled</w:t>
      </w:r>
      <w:r>
        <w:br/>
      </w:r>
      <w:r>
        <w:br/>
      </w:r>
      <w:r>
        <w:rPr>
          <w:rStyle w:val="VerbatimChar"/>
        </w:rPr>
        <w:t xml:space="preserve">Où:</w:t>
      </w:r>
      <w:r>
        <w:br/>
      </w:r>
      <w:r>
        <w:rPr>
          <w:rStyle w:val="VerbatimChar"/>
        </w:rPr>
        <w:t xml:space="preserve">  σ_pooled = √[((n₁-1)s₁² + (n₂-1)s₂²) / (n₁+n₂-2)]</w:t>
      </w:r>
      <w:r>
        <w:br/>
      </w:r>
      <w:r>
        <w:br/>
      </w:r>
      <w:r>
        <w:rPr>
          <w:rStyle w:val="VerbatimChar"/>
        </w:rPr>
        <w:t xml:space="preserve">Interprétation:</w:t>
      </w:r>
      <w:r>
        <w:br/>
      </w:r>
      <w:r>
        <w:rPr>
          <w:rStyle w:val="VerbatimChar"/>
        </w:rPr>
        <w:t xml:space="preserve">  |d| &lt; 0.2:     Effet très petit</w:t>
      </w:r>
      <w:r>
        <w:br/>
      </w:r>
      <w:r>
        <w:rPr>
          <w:rStyle w:val="VerbatimChar"/>
        </w:rPr>
        <w:t xml:space="preserve">  0.2 ≤ |d| &lt; 0.5: Effet petit</w:t>
      </w:r>
      <w:r>
        <w:br/>
      </w:r>
      <w:r>
        <w:rPr>
          <w:rStyle w:val="VerbatimChar"/>
        </w:rPr>
        <w:t xml:space="preserve">  0.5 ≤ |d| &lt; 0.8: Effet moyen</w:t>
      </w:r>
      <w:r>
        <w:br/>
      </w:r>
      <w:r>
        <w:rPr>
          <w:rStyle w:val="VerbatimChar"/>
        </w:rPr>
        <w:t xml:space="preserve">  |d| ≥ 0.8:     Effet grand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3. K-MEANS CLUSTERING</w:t>
      </w:r>
      <w:r>
        <w:br/>
      </w:r>
      <w:r>
        <w:rPr>
          <w:rStyle w:val="VerbatimChar"/>
        </w:rPr>
        <w:t xml:space="preserve">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Objectif: Minimiser</w:t>
      </w:r>
      <w:r>
        <w:br/>
      </w:r>
      <w:r>
        <w:br/>
      </w:r>
      <w:r>
        <w:rPr>
          <w:rStyle w:val="VerbatimChar"/>
        </w:rPr>
        <w:t xml:space="preserve">  J = Σᵏᵢ₌₁ Σₓ∈Cᵢ ||x - μᵢ||²</w:t>
      </w:r>
      <w:r>
        <w:br/>
      </w:r>
      <w:r>
        <w:br/>
      </w:r>
      <w:r>
        <w:rPr>
          <w:rStyle w:val="VerbatimChar"/>
        </w:rPr>
        <w:t xml:space="preserve">Où:</w:t>
      </w:r>
      <w:r>
        <w:br/>
      </w:r>
      <w:r>
        <w:rPr>
          <w:rStyle w:val="VerbatimChar"/>
        </w:rPr>
        <w:t xml:space="preserve">  k = nombre de clusters</w:t>
      </w:r>
      <w:r>
        <w:br/>
      </w:r>
      <w:r>
        <w:rPr>
          <w:rStyle w:val="VerbatimChar"/>
        </w:rPr>
        <w:t xml:space="preserve">  Cᵢ = cluster i</w:t>
      </w:r>
      <w:r>
        <w:br/>
      </w:r>
      <w:r>
        <w:rPr>
          <w:rStyle w:val="VerbatimChar"/>
        </w:rPr>
        <w:t xml:space="preserve">  μᵢ = centroid du cluster i</w:t>
      </w:r>
      <w:r>
        <w:br/>
      </w:r>
      <w:r>
        <w:rPr>
          <w:rStyle w:val="VerbatimChar"/>
        </w:rPr>
        <w:t xml:space="preserve">  x = observation</w:t>
      </w:r>
      <w:r>
        <w:br/>
      </w:r>
      <w:r>
        <w:br/>
      </w:r>
      <w:r>
        <w:rPr>
          <w:rStyle w:val="VerbatimChar"/>
        </w:rPr>
        <w:t xml:space="preserve">Algorithme itératif:</w:t>
      </w:r>
      <w:r>
        <w:br/>
      </w:r>
      <w:r>
        <w:rPr>
          <w:rStyle w:val="VerbatimChar"/>
        </w:rPr>
        <w:t xml:space="preserve">  1. Initialiser k centroïdes aléatoires</w:t>
      </w:r>
      <w:r>
        <w:br/>
      </w:r>
      <w:r>
        <w:rPr>
          <w:rStyle w:val="VerbatimChar"/>
        </w:rPr>
        <w:t xml:space="preserve">  2. Assigner chaque point au centroïde le plus proche</w:t>
      </w:r>
      <w:r>
        <w:br/>
      </w:r>
      <w:r>
        <w:rPr>
          <w:rStyle w:val="VerbatimChar"/>
        </w:rPr>
        <w:t xml:space="preserve">  3. Recalculer les centroïdes comme moyenne des points</w:t>
      </w:r>
      <w:r>
        <w:br/>
      </w:r>
      <w:r>
        <w:rPr>
          <w:rStyle w:val="VerbatimChar"/>
        </w:rPr>
        <w:t xml:space="preserve">  4. Répéter jusqu'à convergence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4. SILHOUETTE SCORE</w:t>
      </w:r>
      <w:r>
        <w:br/>
      </w:r>
      <w:r>
        <w:rPr>
          <w:rStyle w:val="VerbatimChar"/>
        </w:rPr>
        <w:t xml:space="preserve">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Pour chaque observation i: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aᵢ = distance moyenne à autres points du même cluster</w:t>
      </w:r>
      <w:r>
        <w:br/>
      </w:r>
      <w:r>
        <w:rPr>
          <w:rStyle w:val="VerbatimChar"/>
        </w:rPr>
        <w:t xml:space="preserve">  bᵢ = distance moyenne au cluster le plus proche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       bᵢ - aᵢ</w:t>
      </w:r>
      <w:r>
        <w:br/>
      </w:r>
      <w:r>
        <w:rPr>
          <w:rStyle w:val="VerbatimChar"/>
        </w:rPr>
        <w:t xml:space="preserve">  s(i) = ─────────────</w:t>
      </w:r>
      <w:r>
        <w:br/>
      </w:r>
      <w:r>
        <w:rPr>
          <w:rStyle w:val="VerbatimChar"/>
        </w:rPr>
        <w:t xml:space="preserve">         max(aᵢ, bᵢ)</w:t>
      </w:r>
      <w:r>
        <w:br/>
      </w:r>
      <w:r>
        <w:br/>
      </w:r>
      <w:r>
        <w:rPr>
          <w:rStyle w:val="VerbatimChar"/>
        </w:rPr>
        <w:t xml:space="preserve">Score moyen: -1 à +1</w:t>
      </w:r>
      <w:r>
        <w:br/>
      </w:r>
      <w:r>
        <w:rPr>
          <w:rStyle w:val="VerbatimChar"/>
        </w:rPr>
        <w:t xml:space="preserve">  &gt; 0.5:  Bon clustering</w:t>
      </w:r>
      <w:r>
        <w:br/>
      </w:r>
      <w:r>
        <w:rPr>
          <w:rStyle w:val="VerbatimChar"/>
        </w:rPr>
        <w:t xml:space="preserve">  &gt; 0.7:  Excellent clustering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5. ANALYSE EN COMPOSANTES PRINCIPALES (ACP)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Objectif: Réduire p dimensions à k dimensions en maximisant variance</w:t>
      </w:r>
      <w:r>
        <w:br/>
      </w:r>
      <w:r>
        <w:br/>
      </w:r>
      <w:r>
        <w:rPr>
          <w:rStyle w:val="VerbatimChar"/>
        </w:rPr>
        <w:t xml:space="preserve">Principales étapes:</w:t>
      </w:r>
      <w:r>
        <w:br/>
      </w:r>
      <w:r>
        <w:rPr>
          <w:rStyle w:val="VerbatimChar"/>
        </w:rPr>
        <w:t xml:space="preserve">  1. Centrer les données (moyenne = 0)</w:t>
      </w:r>
      <w:r>
        <w:br/>
      </w:r>
      <w:r>
        <w:rPr>
          <w:rStyle w:val="VerbatimChar"/>
        </w:rPr>
        <w:t xml:space="preserve">  2. Calculer matrice de covariance</w:t>
      </w:r>
      <w:r>
        <w:br/>
      </w:r>
      <w:r>
        <w:rPr>
          <w:rStyle w:val="VerbatimChar"/>
        </w:rPr>
        <w:t xml:space="preserve">  3. Extraire vecteurs propres (loadings)</w:t>
      </w:r>
      <w:r>
        <w:br/>
      </w:r>
      <w:r>
        <w:rPr>
          <w:rStyle w:val="VerbatimChar"/>
        </w:rPr>
        <w:t xml:space="preserve">  4. Projeter données sur nouveaux axes</w:t>
      </w:r>
      <w:r>
        <w:br/>
      </w:r>
      <w:r>
        <w:br/>
      </w:r>
      <w:r>
        <w:rPr>
          <w:rStyle w:val="VerbatimChar"/>
        </w:rPr>
        <w:t xml:space="preserve">Variance expliquée:</w:t>
      </w:r>
      <w:r>
        <w:br/>
      </w:r>
      <w:r>
        <w:rPr>
          <w:rStyle w:val="VerbatimChar"/>
        </w:rPr>
        <w:t xml:space="preserve">  VE_k = λₖ / Σₚ λᵢ</w:t>
      </w:r>
      <w:r>
        <w:br/>
      </w:r>
      <w:r>
        <w:br/>
      </w:r>
      <w:r>
        <w:rPr>
          <w:rStyle w:val="VerbatimChar"/>
        </w:rPr>
        <w:t xml:space="preserve">Où λᵢ sont les valeurs propres triées décroissantes</w:t>
      </w:r>
    </w:p>
    <w:bookmarkEnd w:id="71"/>
    <w:bookmarkStart w:id="72" w:name="annexe-e-code-python-extrait-principal"/>
    <w:p>
      <w:pPr>
        <w:pStyle w:val="Heading3"/>
      </w:pPr>
      <w:r>
        <w:t xml:space="preserve">ANNEXE E: Code Python (Extrait Principal)</w:t>
      </w:r>
    </w:p>
    <w:p>
      <w:pPr>
        <w:pStyle w:val="SourceCode"/>
      </w:pPr>
      <w:r>
        <w:rPr>
          <w:rStyle w:val="CommentTok"/>
        </w:rPr>
        <w:t xml:space="preserve"># PHASE 3: TESTS STATISTIQUES (t-test)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available_vars: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Séparer données par période</w:t>
      </w:r>
      <w:r>
        <w:br/>
      </w:r>
      <w:r>
        <w:rPr>
          <w:rStyle w:val="NormalTok"/>
        </w:rPr>
        <w:t xml:space="preserve">    pre_crise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df_clean[df_clean[</w:t>
      </w:r>
      <w:r>
        <w:rPr>
          <w:rStyle w:val="StringTok"/>
        </w:rPr>
        <w:t xml:space="preserve">'periode'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'Pré-crise'</w:t>
      </w:r>
      <w:r>
        <w:rPr>
          <w:rStyle w:val="NormalTok"/>
        </w:rPr>
        <w:t xml:space="preserve">][var].dropna()</w:t>
      </w:r>
      <w:r>
        <w:br/>
      </w:r>
      <w:r>
        <w:rPr>
          <w:rStyle w:val="NormalTok"/>
        </w:rPr>
        <w:t xml:space="preserve">    post_crise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df_clean[df_clean[</w:t>
      </w:r>
      <w:r>
        <w:rPr>
          <w:rStyle w:val="StringTok"/>
        </w:rPr>
        <w:t xml:space="preserve">'periode'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'Post-crise'</w:t>
      </w:r>
      <w:r>
        <w:rPr>
          <w:rStyle w:val="NormalTok"/>
        </w:rPr>
        <w:t xml:space="preserve">][var].dropna()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Statistiques descriptives</w:t>
      </w:r>
      <w:r>
        <w:br/>
      </w:r>
      <w:r>
        <w:rPr>
          <w:rStyle w:val="NormalTok"/>
        </w:rPr>
        <w:t xml:space="preserve">    mean_pre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pre_crise.mean()</w:t>
      </w:r>
      <w:r>
        <w:br/>
      </w:r>
      <w:r>
        <w:rPr>
          <w:rStyle w:val="NormalTok"/>
        </w:rPr>
        <w:t xml:space="preserve">    mean_post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post_crise.mean()</w:t>
      </w:r>
      <w:r>
        <w:br/>
      </w:r>
      <w:r>
        <w:rPr>
          <w:rStyle w:val="NormalTok"/>
        </w:rPr>
        <w:t xml:space="preserve">    std_pre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pre_crise.std()</w:t>
      </w:r>
      <w:r>
        <w:br/>
      </w:r>
      <w:r>
        <w:rPr>
          <w:rStyle w:val="NormalTok"/>
        </w:rPr>
        <w:t xml:space="preserve">    std_post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post_crise.std()</w:t>
      </w:r>
      <w:r>
        <w:br/>
      </w:r>
      <w:r>
        <w:rPr>
          <w:rStyle w:val="NormalTok"/>
        </w:rPr>
        <w:t xml:space="preserve">    n_pre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(pre_crise)</w:t>
      </w:r>
      <w:r>
        <w:br/>
      </w:r>
      <w:r>
        <w:rPr>
          <w:rStyle w:val="NormalTok"/>
        </w:rPr>
        <w:t xml:space="preserve">    n_post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(post_crise)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T-test</w:t>
      </w:r>
      <w:r>
        <w:br/>
      </w:r>
      <w:r>
        <w:rPr>
          <w:rStyle w:val="NormalTok"/>
        </w:rPr>
        <w:t xml:space="preserve">    t_stat,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stats.ttest_ind(pre_crise, post_crise)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Cohen's d</w:t>
      </w:r>
      <w:r>
        <w:br/>
      </w:r>
      <w:r>
        <w:rPr>
          <w:rStyle w:val="NormalTok"/>
        </w:rPr>
        <w:t xml:space="preserve">    cohens_d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(mean_pre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mean_post)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br/>
      </w:r>
      <w:r>
        <w:rPr>
          <w:rStyle w:val="NormalTok"/>
        </w:rPr>
        <w:t xml:space="preserve">        ((n_pre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std_pre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(n_post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std_post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(n_pre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Erreur standard &amp; intervalle confiance</w:t>
      </w:r>
      <w:r>
        <w:br/>
      </w:r>
      <w:r>
        <w:rPr>
          <w:rStyle w:val="NormalTok"/>
        </w:rPr>
        <w:t xml:space="preserve">    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np.sqrt((std_pre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n_pre)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(std_post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n_post))</w:t>
      </w:r>
      <w:r>
        <w:br/>
      </w:r>
      <w:r>
        <w:rPr>
          <w:rStyle w:val="NormalTok"/>
        </w:rPr>
        <w:t xml:space="preserve">    ci_lower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(mean_pre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mean_post)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  ci_upper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(mean_pre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mean_post)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Résultats</w:t>
      </w:r>
      <w:r>
        <w:br/>
      </w:r>
      <w:r>
        <w:rPr>
          <w:rStyle w:val="NormalTok"/>
        </w:rPr>
        <w:t xml:space="preserve">    results_tests.append({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'Variable'</w:t>
      </w:r>
      <w:r>
        <w:rPr>
          <w:rStyle w:val="NormalTok"/>
        </w:rPr>
        <w:t xml:space="preserve">: var,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'n_Pré-crise'</w:t>
      </w:r>
      <w:r>
        <w:rPr>
          <w:rStyle w:val="NormalTok"/>
        </w:rPr>
        <w:t xml:space="preserve">: n_pre,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'n_Post-crise'</w:t>
      </w:r>
      <w:r>
        <w:rPr>
          <w:rStyle w:val="NormalTok"/>
        </w:rPr>
        <w:t xml:space="preserve">: n_post,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'Moyenne Pré-crise'</w:t>
      </w:r>
      <w:r>
        <w:rPr>
          <w:rStyle w:val="NormalTok"/>
        </w:rPr>
        <w:t xml:space="preserve">: mean_pre,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'Moyenne Post-crise'</w:t>
      </w:r>
      <w:r>
        <w:rPr>
          <w:rStyle w:val="NormalTok"/>
        </w:rPr>
        <w:t xml:space="preserve">: mean_post,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'Écart-type Pré-crise'</w:t>
      </w:r>
      <w:r>
        <w:rPr>
          <w:rStyle w:val="NormalTok"/>
        </w:rPr>
        <w:t xml:space="preserve">: std_pre,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'Écart-type Post-crise'</w:t>
      </w:r>
      <w:r>
        <w:rPr>
          <w:rStyle w:val="NormalTok"/>
        </w:rPr>
        <w:t xml:space="preserve">: std_post,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'Erreur Standard'</w:t>
      </w:r>
      <w:r>
        <w:rPr>
          <w:rStyle w:val="NormalTok"/>
        </w:rPr>
        <w:t xml:space="preserve">: 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'IC 95</w:t>
      </w:r>
      <w:r>
        <w:rPr>
          <w:rStyle w:val="SpecialCharTok"/>
        </w:rPr>
        <w:t xml:space="preserve">% Lo</w:t>
      </w:r>
      <w:r>
        <w:rPr>
          <w:rStyle w:val="StringTok"/>
        </w:rPr>
        <w:t xml:space="preserve">wer'</w:t>
      </w:r>
      <w:r>
        <w:rPr>
          <w:rStyle w:val="NormalTok"/>
        </w:rPr>
        <w:t xml:space="preserve">: ci_lower,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'IC 95% Upper'</w:t>
      </w:r>
      <w:r>
        <w:rPr>
          <w:rStyle w:val="NormalTok"/>
        </w:rPr>
        <w:t xml:space="preserve">: ci_upper,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't-statistic'</w:t>
      </w:r>
      <w:r>
        <w:rPr>
          <w:rStyle w:val="NormalTok"/>
        </w:rPr>
        <w:t xml:space="preserve">: t_stat,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'p-value'</w:t>
      </w:r>
      <w:r>
        <w:rPr>
          <w:rStyle w:val="NormalTok"/>
        </w:rPr>
        <w:t xml:space="preserve">: p_value,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"Cohen's d"</w:t>
      </w:r>
      <w:r>
        <w:rPr>
          <w:rStyle w:val="NormalTok"/>
        </w:rPr>
        <w:t xml:space="preserve">: cohens_d,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'Significatif (p&lt;0.05)'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"✅ OUI"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NON"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CommentTok"/>
        </w:rPr>
        <w:t xml:space="preserve"># PHASE 4: CLUSTERING K-MEANS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CommentTok"/>
        </w:rPr>
        <w:t xml:space="preserve"># Normaliser les données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df_scaled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scaler.fit_transform(df_clean[available_vars])</w:t>
      </w:r>
      <w:r>
        <w:br/>
      </w:r>
      <w:r>
        <w:br/>
      </w:r>
      <w:r>
        <w:rPr>
          <w:rStyle w:val="CommentTok"/>
        </w:rPr>
        <w:t xml:space="preserve"># Appliquer K-means (k=4)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df_clean[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kmeans.fit_predict(df_scaled)</w:t>
      </w:r>
      <w:r>
        <w:br/>
      </w:r>
      <w:r>
        <w:br/>
      </w:r>
      <w:r>
        <w:rPr>
          <w:rStyle w:val="CommentTok"/>
        </w:rPr>
        <w:t xml:space="preserve"># Calculer Silhouette 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NormalTok"/>
        </w:rPr>
        <w:t xml:space="preserve">sil_score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silhouette_score(df_scaled, df_clean[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f"Silhouette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PHASE 5: ACP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br/>
      </w:r>
      <w:r>
        <w:rPr>
          <w:rStyle w:val="NormalTok"/>
        </w:rPr>
        <w:t xml:space="preserve">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pca_result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pca.fit_transform(df_scaled)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f"Variance expliquée (PC1):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f"Variance expliquée (PC2):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72"/>
    <w:bookmarkStart w:id="73" w:name="Xad6a63119102e00454da02200e4e6b61bfb66ce"/>
    <w:p>
      <w:pPr>
        <w:pStyle w:val="Heading3"/>
      </w:pPr>
      <w:r>
        <w:t xml:space="preserve">ANNEXE F: Guide d’Utilisation de l’App Streamlit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t xml:space="preserve">https://appapppy-fs9ydphsepbxrouwajp6qf.streamlit.app/</w:t>
      </w:r>
    </w:p>
    <w:p>
      <w:pPr>
        <w:pStyle w:val="BodyText"/>
      </w:pPr>
      <w:r>
        <w:rPr>
          <w:bCs/>
          <w:b/>
        </w:rPr>
        <w:t xml:space="preserve">Pages disponibles: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🏠 Accueil</w:t>
      </w:r>
    </w:p>
    <w:p>
      <w:pPr>
        <w:numPr>
          <w:ilvl w:val="1"/>
          <w:numId w:val="1013"/>
        </w:numPr>
        <w:pStyle w:val="Compact"/>
      </w:pPr>
      <w:r>
        <w:t xml:space="preserve">Métriques clés (8,249 obs, 1,696 banques, 22 pays)</w:t>
      </w:r>
    </w:p>
    <w:p>
      <w:pPr>
        <w:numPr>
          <w:ilvl w:val="1"/>
          <w:numId w:val="1013"/>
        </w:numPr>
        <w:pStyle w:val="Compact"/>
      </w:pPr>
      <w:r>
        <w:t xml:space="preserve">Questions de recherche</w:t>
      </w:r>
    </w:p>
    <w:p>
      <w:pPr>
        <w:numPr>
          <w:ilvl w:val="1"/>
          <w:numId w:val="1013"/>
        </w:numPr>
        <w:pStyle w:val="Compact"/>
      </w:pPr>
      <w:r>
        <w:t xml:space="preserve">Approche méthodologique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📊 Tableau de Bord</w:t>
      </w:r>
    </w:p>
    <w:p>
      <w:pPr>
        <w:numPr>
          <w:ilvl w:val="1"/>
          <w:numId w:val="1014"/>
        </w:numPr>
        <w:pStyle w:val="Compact"/>
      </w:pPr>
      <w:r>
        <w:t xml:space="preserve">Statistiques descriptives par période/pays</w:t>
      </w:r>
    </w:p>
    <w:p>
      <w:pPr>
        <w:numPr>
          <w:ilvl w:val="1"/>
          <w:numId w:val="1014"/>
        </w:numPr>
        <w:pStyle w:val="Compact"/>
      </w:pPr>
      <w:r>
        <w:t xml:space="preserve">Filtres interactifs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🔬 Analyse Statistique</w:t>
      </w:r>
    </w:p>
    <w:p>
      <w:pPr>
        <w:numPr>
          <w:ilvl w:val="1"/>
          <w:numId w:val="1015"/>
        </w:numPr>
        <w:pStyle w:val="Compact"/>
      </w:pPr>
      <w:r>
        <w:t xml:space="preserve">Hypothèses du t-test</w:t>
      </w:r>
    </w:p>
    <w:p>
      <w:pPr>
        <w:numPr>
          <w:ilvl w:val="1"/>
          <w:numId w:val="1015"/>
        </w:numPr>
        <w:pStyle w:val="Compact"/>
      </w:pPr>
      <w:r>
        <w:t xml:space="preserve">Tableau récapitulatif</w:t>
      </w:r>
    </w:p>
    <w:p>
      <w:pPr>
        <w:numPr>
          <w:ilvl w:val="1"/>
          <w:numId w:val="1015"/>
        </w:numPr>
        <w:pStyle w:val="Compact"/>
      </w:pPr>
      <w:r>
        <w:t xml:space="preserve">Distributions graphiques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📐 Détail des Calculs</w:t>
      </w:r>
    </w:p>
    <w:p>
      <w:pPr>
        <w:numPr>
          <w:ilvl w:val="1"/>
          <w:numId w:val="1016"/>
        </w:numPr>
        <w:pStyle w:val="Compact"/>
      </w:pPr>
      <w:r>
        <w:t xml:space="preserve">Formules mathématiques</w:t>
      </w:r>
    </w:p>
    <w:p>
      <w:pPr>
        <w:numPr>
          <w:ilvl w:val="1"/>
          <w:numId w:val="1016"/>
        </w:numPr>
        <w:pStyle w:val="Compact"/>
      </w:pPr>
      <w:r>
        <w:t xml:space="preserve">Étapes de calcul</w:t>
      </w:r>
    </w:p>
    <w:p>
      <w:pPr>
        <w:numPr>
          <w:ilvl w:val="1"/>
          <w:numId w:val="1016"/>
        </w:numPr>
        <w:pStyle w:val="Compact"/>
      </w:pPr>
      <w:r>
        <w:t xml:space="preserve">Tableau complet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📊 Analyse ACP</w:t>
      </w:r>
    </w:p>
    <w:p>
      <w:pPr>
        <w:numPr>
          <w:ilvl w:val="1"/>
          <w:numId w:val="1017"/>
        </w:numPr>
        <w:pStyle w:val="Compact"/>
      </w:pPr>
      <w:r>
        <w:t xml:space="preserve">Scatter plot 2D</w:t>
      </w:r>
    </w:p>
    <w:p>
      <w:pPr>
        <w:numPr>
          <w:ilvl w:val="1"/>
          <w:numId w:val="1017"/>
        </w:numPr>
        <w:pStyle w:val="Compact"/>
      </w:pPr>
      <w:r>
        <w:t xml:space="preserve">Biplot (loadings)</w:t>
      </w:r>
    </w:p>
    <w:p>
      <w:pPr>
        <w:numPr>
          <w:ilvl w:val="1"/>
          <w:numId w:val="1017"/>
        </w:numPr>
        <w:pStyle w:val="Compact"/>
      </w:pPr>
      <w:r>
        <w:t xml:space="preserve">Variance expliquée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🎯 Clustering</w:t>
      </w:r>
    </w:p>
    <w:p>
      <w:pPr>
        <w:numPr>
          <w:ilvl w:val="1"/>
          <w:numId w:val="1018"/>
        </w:numPr>
        <w:pStyle w:val="Compact"/>
      </w:pPr>
      <w:r>
        <w:t xml:space="preserve">Centroïdes finales</w:t>
      </w:r>
    </w:p>
    <w:p>
      <w:pPr>
        <w:numPr>
          <w:ilvl w:val="1"/>
          <w:numId w:val="1018"/>
        </w:numPr>
        <w:pStyle w:val="Compact"/>
      </w:pPr>
      <w:r>
        <w:t xml:space="preserve">Évolution temporelle</w:t>
      </w:r>
    </w:p>
    <w:p>
      <w:pPr>
        <w:numPr>
          <w:ilvl w:val="1"/>
          <w:numId w:val="1018"/>
        </w:numPr>
        <w:pStyle w:val="Compact"/>
      </w:pPr>
      <w:r>
        <w:t xml:space="preserve">Profils par cluster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🌍 Analyse par Pays</w:t>
      </w:r>
    </w:p>
    <w:p>
      <w:pPr>
        <w:numPr>
          <w:ilvl w:val="1"/>
          <w:numId w:val="1019"/>
        </w:numPr>
        <w:pStyle w:val="Compact"/>
      </w:pPr>
      <w:r>
        <w:t xml:space="preserve">Impact régional</w:t>
      </w:r>
    </w:p>
    <w:p>
      <w:pPr>
        <w:numPr>
          <w:ilvl w:val="1"/>
          <w:numId w:val="1019"/>
        </w:numPr>
        <w:pStyle w:val="Compact"/>
      </w:pPr>
      <w:r>
        <w:t xml:space="preserve">Variations par pays</w:t>
      </w:r>
    </w:p>
    <w:p>
      <w:pPr>
        <w:numPr>
          <w:ilvl w:val="1"/>
          <w:numId w:val="1019"/>
        </w:numPr>
        <w:pStyle w:val="Compact"/>
      </w:pPr>
      <w:r>
        <w:t xml:space="preserve">Graphes comparatifs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document-généré"/>
    <w:p>
      <w:pPr>
        <w:pStyle w:val="Heading2"/>
      </w:pPr>
      <w:r>
        <w:t xml:space="preserve">DOCUMENT GÉNÉRÉ</w:t>
      </w:r>
    </w:p>
    <w:p>
      <w:pPr>
        <w:pStyle w:val="FirstParagraph"/>
      </w:pPr>
      <w:r>
        <w:t xml:space="preserve">Rapport généré automatiquement par analyse_complete.py</w:t>
      </w:r>
      <w:r>
        <w:t xml:space="preserve"> </w:t>
      </w:r>
      <w:r>
        <w:t xml:space="preserve">Date: 14 janvier 2026</w:t>
      </w:r>
      <w:r>
        <w:t xml:space="preserve"> </w:t>
      </w:r>
      <w:r>
        <w:t xml:space="preserve">Auteurs: [À compléter avec vos noms]</w:t>
      </w:r>
      <w:r>
        <w:t xml:space="preserve"> </w:t>
      </w:r>
      <w:r>
        <w:t xml:space="preserve">Institution: [À compléter]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du Rapport</w:t>
      </w:r>
    </w:p>
    <w:p>
      <w:r>
        <w:pict>
          <v:rect style="width:0;height:1.5pt" o:hralign="center" o:hrstd="t" o:hr="t"/>
        </w:pict>
      </w:r>
    </w:p>
    <w:bookmarkStart w:id="75" w:name="notes-pour-la-rédaction-finale"/>
    <w:p>
      <w:pPr>
        <w:pStyle w:val="Heading3"/>
      </w:pPr>
      <w:r>
        <w:t xml:space="preserve">Notes pour la Rédaction Finale</w:t>
      </w:r>
    </w:p>
    <w:p>
      <w:pPr>
        <w:numPr>
          <w:ilvl w:val="0"/>
          <w:numId w:val="1020"/>
        </w:numPr>
        <w:pStyle w:val="Compact"/>
      </w:pPr>
      <w:r>
        <w:t xml:space="preserve">☐ Ajouter noms des auteurs (partie couverture)</w:t>
      </w:r>
    </w:p>
    <w:p>
      <w:pPr>
        <w:numPr>
          <w:ilvl w:val="0"/>
          <w:numId w:val="1020"/>
        </w:numPr>
        <w:pStyle w:val="Compact"/>
      </w:pPr>
      <w:r>
        <w:t xml:space="preserve">☐ Ajouter affiliation institutionnelle</w:t>
      </w:r>
    </w:p>
    <w:p>
      <w:pPr>
        <w:numPr>
          <w:ilvl w:val="0"/>
          <w:numId w:val="1020"/>
        </w:numPr>
        <w:pStyle w:val="Compact"/>
      </w:pPr>
      <w:r>
        <w:t xml:space="preserve">☐ Ajouter date de soutenance</w:t>
      </w:r>
    </w:p>
    <w:p>
      <w:pPr>
        <w:numPr>
          <w:ilvl w:val="0"/>
          <w:numId w:val="1020"/>
        </w:numPr>
        <w:pStyle w:val="Compact"/>
      </w:pPr>
      <w:r>
        <w:t xml:space="preserve">☐ Convertir en PDF (via Word ou LaTeX)</w:t>
      </w:r>
    </w:p>
    <w:p>
      <w:pPr>
        <w:numPr>
          <w:ilvl w:val="0"/>
          <w:numId w:val="1020"/>
        </w:numPr>
        <w:pStyle w:val="Compact"/>
      </w:pPr>
      <w:r>
        <w:t xml:space="preserve">☐ Imprimer et relier (15 pages + annexes)</w:t>
      </w:r>
    </w:p>
    <w:p>
      <w:pPr>
        <w:numPr>
          <w:ilvl w:val="0"/>
          <w:numId w:val="1020"/>
        </w:numPr>
        <w:pStyle w:val="Compact"/>
      </w:pPr>
      <w:r>
        <w:t xml:space="preserve">☐ Ajouter numéros de pages</w:t>
      </w:r>
    </w:p>
    <w:p>
      <w:pPr>
        <w:numPr>
          <w:ilvl w:val="0"/>
          <w:numId w:val="1020"/>
        </w:numPr>
        <w:pStyle w:val="Compact"/>
      </w:pPr>
      <w:r>
        <w:t xml:space="preserve">☐ Générer table des matières automatique</w:t>
      </w:r>
    </w:p>
    <w:bookmarkEnd w:id="75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2026-01-14T09:14:35Z</dcterms:created>
  <dcterms:modified xsi:type="dcterms:W3CDTF">2026-01-14T09:14:35Z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