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33" w:rsidRDefault="00065F04" w:rsidP="00065F04">
      <w:pPr>
        <w:pStyle w:val="Titre1"/>
      </w:pPr>
      <w:r>
        <w:t>Cahier des charges</w:t>
      </w:r>
    </w:p>
    <w:p w:rsidR="00065F04" w:rsidRDefault="00065F04" w:rsidP="00065F04">
      <w:pPr>
        <w:pStyle w:val="Titre2"/>
        <w:jc w:val="both"/>
      </w:pPr>
      <w:r>
        <w:t>Introduction</w:t>
      </w:r>
    </w:p>
    <w:p w:rsidR="00065F04" w:rsidRPr="002B41A6" w:rsidRDefault="00065F04" w:rsidP="00065F04">
      <w:pPr>
        <w:jc w:val="both"/>
        <w:rPr>
          <w:rFonts w:cs="Arial"/>
        </w:rPr>
      </w:pPr>
      <w:r w:rsidRPr="002B41A6">
        <w:rPr>
          <w:rFonts w:cs="Arial"/>
        </w:rPr>
        <w:t xml:space="preserve">Industrie 4.0 est un concept visant à rendre l’usine plus intelligente et plus connectée. Ce concept se base sur des technologies comme l’Internet des Objets (Internet of Things) et des systèmes cyber-physiques (cyber-physical systems) pour mettre en réseau des machines, des </w:t>
      </w:r>
      <w:bookmarkStart w:id="0" w:name="_GoBack"/>
      <w:r w:rsidRPr="002B41A6">
        <w:rPr>
          <w:rFonts w:cs="Arial"/>
        </w:rPr>
        <w:t>produits, des humains et des processus.</w:t>
      </w:r>
    </w:p>
    <w:bookmarkEnd w:id="0"/>
    <w:p w:rsidR="00065F04" w:rsidRPr="002B41A6" w:rsidRDefault="00065F04" w:rsidP="00065F04">
      <w:pPr>
        <w:jc w:val="both"/>
        <w:rPr>
          <w:rFonts w:cs="Arial"/>
        </w:rPr>
      </w:pPr>
      <w:r w:rsidRPr="002B41A6">
        <w:rPr>
          <w:rFonts w:cs="Arial"/>
        </w:rPr>
        <w:t>L’intelligence de chaque unité de production (usinage ou assemblage) et sa capacité de communiquer avec d’autres unités afin d’optimiser globalement la production sont des éléments essentiels de l’Industrie 4.0.</w:t>
      </w:r>
    </w:p>
    <w:p w:rsidR="00065F04" w:rsidRDefault="00065F04" w:rsidP="00065F04">
      <w:pPr>
        <w:pStyle w:val="Titre2"/>
        <w:jc w:val="both"/>
      </w:pPr>
      <w:r>
        <w:t>But du projet</w:t>
      </w:r>
    </w:p>
    <w:p w:rsidR="002B41A6" w:rsidRPr="002B41A6" w:rsidRDefault="002B41A6" w:rsidP="002B41A6">
      <w:pPr>
        <w:jc w:val="both"/>
      </w:pPr>
      <w:r w:rsidRPr="002B41A6">
        <w:t>L’objectif de ce projet est d’explorer l’applicabilité concept de « Système Multi-Agents » (</w:t>
      </w:r>
      <w:r>
        <w:t xml:space="preserve"> </w:t>
      </w:r>
      <w:hyperlink r:id="rId7" w:history="1">
        <w:r w:rsidRPr="00DF68B4">
          <w:rPr>
            <w:rStyle w:val="Lienhypertexte"/>
          </w:rPr>
          <w:t>https://fr.wikipedia.org/wiki/Syst%C3%A8me_multi-agents</w:t>
        </w:r>
      </w:hyperlink>
      <w:r>
        <w:t xml:space="preserve"> </w:t>
      </w:r>
      <w:r w:rsidRPr="002B41A6">
        <w:t>) pour organiser des unités de productions dans une usine.</w:t>
      </w:r>
    </w:p>
    <w:p w:rsidR="00065F04" w:rsidRDefault="002B41A6" w:rsidP="002B41A6">
      <w:pPr>
        <w:jc w:val="both"/>
      </w:pPr>
      <w:r w:rsidRPr="002B41A6">
        <w:t>Ce projet s’inscrit dans une vision stratégique de la Haute Ecole Arc du « Smart and Micro Manufacturing » visant à soutenir les industriels de l’arc jurassien à faire face à la concurrence mondiale dans ce domaine.</w:t>
      </w:r>
    </w:p>
    <w:p w:rsidR="002B41A6" w:rsidRPr="002B41A6" w:rsidRDefault="002B41A6" w:rsidP="002B41A6">
      <w:pPr>
        <w:jc w:val="both"/>
      </w:pPr>
      <w:r w:rsidRPr="002B41A6">
        <w:t>L'objectif principal du projet est de réaliser le concept développé dans le cadre du projet PA sur une chaine de production réelle en collaboration avec le Groupe de Co</w:t>
      </w:r>
      <w:r>
        <w:t>mpétence "Procédés industriels"</w:t>
      </w:r>
    </w:p>
    <w:p w:rsidR="00065F04" w:rsidRDefault="00065F04" w:rsidP="00065F04">
      <w:pPr>
        <w:pStyle w:val="Titre2"/>
        <w:jc w:val="both"/>
      </w:pPr>
      <w:r>
        <w:t>Fonctionnalités</w:t>
      </w:r>
    </w:p>
    <w:p w:rsidR="00065F04" w:rsidRPr="002B41A6" w:rsidRDefault="002B41A6" w:rsidP="002B41A6">
      <w:r>
        <w:t>Ce chapitre décrit les fonctionnalités à implémenter</w:t>
      </w:r>
      <w:r w:rsidR="005104D1">
        <w:t>.</w:t>
      </w:r>
    </w:p>
    <w:p w:rsidR="00065F04" w:rsidRDefault="00065F04" w:rsidP="00065F04">
      <w:pPr>
        <w:pStyle w:val="Titre3"/>
        <w:jc w:val="both"/>
      </w:pPr>
      <w:r>
        <w:t>Fonctionnalités de base</w:t>
      </w:r>
    </w:p>
    <w:p w:rsidR="00117B14" w:rsidRDefault="00117B14" w:rsidP="00117B14">
      <w:pPr>
        <w:pStyle w:val="Paragraphedeliste"/>
        <w:numPr>
          <w:ilvl w:val="0"/>
          <w:numId w:val="1"/>
        </w:numPr>
      </w:pPr>
      <w:r>
        <w:t>Création d’un agent permettant la gestion de la machine-outil (presse)</w:t>
      </w:r>
    </w:p>
    <w:p w:rsidR="00117B14" w:rsidRDefault="00117B14" w:rsidP="00117B14">
      <w:pPr>
        <w:pStyle w:val="Paragraphedeliste"/>
        <w:numPr>
          <w:ilvl w:val="0"/>
          <w:numId w:val="1"/>
        </w:numPr>
      </w:pPr>
      <w:r>
        <w:t>Connexion de l’agent en ADS à Twincat afin d’utiliser la machine-outil.</w:t>
      </w:r>
    </w:p>
    <w:p w:rsidR="00117B14" w:rsidRDefault="00117B14" w:rsidP="00117B14">
      <w:pPr>
        <w:pStyle w:val="Paragraphedeliste"/>
        <w:numPr>
          <w:ilvl w:val="0"/>
          <w:numId w:val="1"/>
        </w:numPr>
      </w:pPr>
      <w:r>
        <w:t>Création d’un agent permettant de gérer le robot.</w:t>
      </w:r>
    </w:p>
    <w:p w:rsidR="00117B14" w:rsidRPr="004E48FC" w:rsidRDefault="00117B14" w:rsidP="00117B14">
      <w:pPr>
        <w:pStyle w:val="Paragraphedeliste"/>
        <w:numPr>
          <w:ilvl w:val="0"/>
          <w:numId w:val="1"/>
        </w:numPr>
      </w:pPr>
      <w:r>
        <w:t>Connexion de l’agent en TCP/IP à Synapxis afin d’utiliser le robot.</w:t>
      </w:r>
    </w:p>
    <w:p w:rsidR="00117B14" w:rsidRDefault="00117B14" w:rsidP="00523E95">
      <w:pPr>
        <w:pStyle w:val="Paragraphedeliste"/>
        <w:numPr>
          <w:ilvl w:val="0"/>
          <w:numId w:val="1"/>
        </w:numPr>
      </w:pPr>
      <w:r>
        <w:t>Programmation du robot lui permettant de charger / décharger la presse.</w:t>
      </w:r>
    </w:p>
    <w:p w:rsidR="00117B14" w:rsidRDefault="00117B14" w:rsidP="00523E95">
      <w:pPr>
        <w:pStyle w:val="Paragraphedeliste"/>
        <w:numPr>
          <w:ilvl w:val="0"/>
          <w:numId w:val="1"/>
        </w:numPr>
      </w:pPr>
      <w:r>
        <w:t>Programmation de la machine-outils en ADS afin de faire fonctionner la presse.</w:t>
      </w:r>
    </w:p>
    <w:p w:rsidR="005B1597" w:rsidRDefault="004C51B4" w:rsidP="00117B14">
      <w:pPr>
        <w:pStyle w:val="Paragraphedeliste"/>
        <w:numPr>
          <w:ilvl w:val="0"/>
          <w:numId w:val="1"/>
        </w:numPr>
      </w:pPr>
      <w:r>
        <w:t>Création d’un environnement JADE (sma, df et rma) connaissant tous les agents des machines</w:t>
      </w:r>
      <w:r w:rsidR="001D5F74">
        <w:t xml:space="preserve"> et permettant de gérer la chaine de production</w:t>
      </w:r>
    </w:p>
    <w:p w:rsidR="00117B14" w:rsidRDefault="00065F04" w:rsidP="00117B14">
      <w:pPr>
        <w:pStyle w:val="Titre3"/>
        <w:jc w:val="both"/>
      </w:pPr>
      <w:r>
        <w:t>Fonctionnalités optionnelles</w:t>
      </w:r>
    </w:p>
    <w:p w:rsidR="00117B14" w:rsidRDefault="00117B14" w:rsidP="00117B14">
      <w:pPr>
        <w:pStyle w:val="Paragraphedeliste"/>
        <w:numPr>
          <w:ilvl w:val="0"/>
          <w:numId w:val="1"/>
        </w:numPr>
      </w:pPr>
      <w:r>
        <w:t>Gestion des discussions des agents si ceux-ci sont dans le même sous-réseau.</w:t>
      </w:r>
    </w:p>
    <w:p w:rsidR="00065F04" w:rsidRDefault="00117B14" w:rsidP="00117B14">
      <w:pPr>
        <w:pStyle w:val="Paragraphedeliste"/>
        <w:numPr>
          <w:ilvl w:val="0"/>
          <w:numId w:val="1"/>
        </w:numPr>
      </w:pPr>
      <w:r>
        <w:t>Gestion des discussions des agents si ceux-ci sont dans un réseau différent.</w:t>
      </w:r>
      <w:r>
        <w:t xml:space="preserve"> </w:t>
      </w:r>
      <w:r w:rsidR="00065F04">
        <w:t>Moyen</w:t>
      </w:r>
      <w:r w:rsidR="002A363C">
        <w:t>s</w:t>
      </w:r>
      <w:r w:rsidR="00065F04">
        <w:t xml:space="preserve"> à disposition</w:t>
      </w:r>
    </w:p>
    <w:p w:rsidR="00065F04" w:rsidRDefault="00523E95" w:rsidP="00065F04">
      <w:r>
        <w:rPr>
          <w:rFonts w:cs="Arial"/>
        </w:rPr>
        <w:t>Le langa</w:t>
      </w:r>
      <w:r w:rsidR="00E97606">
        <w:rPr>
          <w:rFonts w:cs="Arial"/>
        </w:rPr>
        <w:t>ge de développement est le Java</w:t>
      </w:r>
      <w:r w:rsidR="004956AE">
        <w:rPr>
          <w:rFonts w:cs="Arial"/>
        </w:rPr>
        <w:t xml:space="preserve"> (JDK5 minimum)</w:t>
      </w:r>
      <w:r w:rsidR="00E97606">
        <w:rPr>
          <w:rFonts w:cs="Arial"/>
        </w:rPr>
        <w:t xml:space="preserve"> et</w:t>
      </w:r>
      <w:r>
        <w:rPr>
          <w:rFonts w:cs="Arial"/>
        </w:rPr>
        <w:t xml:space="preserve"> le développement des agents se fait grâce au framework JADE</w:t>
      </w:r>
      <w:r w:rsidR="00E97606">
        <w:rPr>
          <w:rFonts w:cs="Arial"/>
        </w:rPr>
        <w:t xml:space="preserve"> (</w:t>
      </w:r>
      <w:r w:rsidR="00E97606">
        <w:t>Java Agent DEvelopment Framework).</w:t>
      </w:r>
      <w:r w:rsidR="004956AE">
        <w:t xml:space="preserve"> L’environnement de développement</w:t>
      </w:r>
      <w:r w:rsidR="001D5F74">
        <w:t xml:space="preserve"> des agents</w:t>
      </w:r>
      <w:r w:rsidR="004956AE">
        <w:t xml:space="preserve"> est Eclipse.</w:t>
      </w:r>
      <w:r w:rsidR="001D5F74">
        <w:t xml:space="preserve"> La programmation et simulation de la machine-outils se fait au moyen de TwinCat3 et la programmation et simulation du robot se fait au moyen de Synapxis.</w:t>
      </w:r>
    </w:p>
    <w:p w:rsidR="00301BDA" w:rsidRDefault="00301BDA" w:rsidP="00065F04"/>
    <w:p w:rsidR="00301BDA" w:rsidRPr="002B41A6" w:rsidRDefault="00301BDA" w:rsidP="00065F04">
      <w:pPr>
        <w:rPr>
          <w:rFonts w:cs="Arial"/>
        </w:rPr>
      </w:pPr>
      <w:r>
        <w:lastRenderedPageBreak/>
        <w:t>Saint-Imier, le 09.03.17</w:t>
      </w:r>
      <w:r w:rsidR="00464FE6">
        <w:t xml:space="preserve"> / Vincent Chaperon</w:t>
      </w:r>
    </w:p>
    <w:sectPr w:rsidR="00301BDA" w:rsidRPr="002B41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8B" w:rsidRDefault="000B638B" w:rsidP="004E48FC">
      <w:pPr>
        <w:spacing w:after="0" w:line="240" w:lineRule="auto"/>
      </w:pPr>
      <w:r>
        <w:separator/>
      </w:r>
    </w:p>
  </w:endnote>
  <w:endnote w:type="continuationSeparator" w:id="0">
    <w:p w:rsidR="000B638B" w:rsidRDefault="000B638B" w:rsidP="004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FC" w:rsidRDefault="004E48FC" w:rsidP="004E48FC">
    <w:pPr>
      <w:pStyle w:val="Pieddepage"/>
    </w:pPr>
    <w:r>
      <w:tab/>
    </w:r>
    <w:sdt>
      <w:sdtPr>
        <w:id w:val="-8945805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D5F74" w:rsidRPr="001D5F74">
          <w:rPr>
            <w:noProof/>
            <w:lang w:val="fr-FR"/>
          </w:rPr>
          <w:t>1</w:t>
        </w:r>
        <w:r>
          <w:fldChar w:fldCharType="end"/>
        </w:r>
      </w:sdtContent>
    </w:sdt>
    <w:r>
      <w:tab/>
    </w:r>
  </w:p>
  <w:p w:rsidR="004E48FC" w:rsidRDefault="004E48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8B" w:rsidRDefault="000B638B" w:rsidP="004E48FC">
      <w:pPr>
        <w:spacing w:after="0" w:line="240" w:lineRule="auto"/>
      </w:pPr>
      <w:r>
        <w:separator/>
      </w:r>
    </w:p>
  </w:footnote>
  <w:footnote w:type="continuationSeparator" w:id="0">
    <w:p w:rsidR="000B638B" w:rsidRDefault="000B638B" w:rsidP="004E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FC" w:rsidRDefault="004E48FC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3735070</wp:posOffset>
          </wp:positionH>
          <wp:positionV relativeFrom="paragraph">
            <wp:posOffset>-131997</wp:posOffset>
          </wp:positionV>
          <wp:extent cx="2695575" cy="381635"/>
          <wp:effectExtent l="0" t="0" r="9525" b="0"/>
          <wp:wrapTight wrapText="bothSides">
            <wp:wrapPolygon edited="0">
              <wp:start x="0" y="0"/>
              <wp:lineTo x="0" y="11860"/>
              <wp:lineTo x="6411" y="17251"/>
              <wp:lineTo x="6411" y="19408"/>
              <wp:lineTo x="7480" y="20486"/>
              <wp:lineTo x="11296" y="20486"/>
              <wp:lineTo x="12212" y="20486"/>
              <wp:lineTo x="12365" y="20486"/>
              <wp:lineTo x="12823" y="17251"/>
              <wp:lineTo x="21524" y="11860"/>
              <wp:lineTo x="21524" y="6469"/>
              <wp:lineTo x="18013" y="0"/>
              <wp:lineTo x="0" y="0"/>
            </wp:wrapPolygon>
          </wp:wrapTight>
          <wp:docPr id="1" name="Image 1" descr="Logo arc ingénierie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rc ingénierie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77F"/>
    <w:multiLevelType w:val="hybridMultilevel"/>
    <w:tmpl w:val="F8544144"/>
    <w:lvl w:ilvl="0" w:tplc="1C1CE2B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F0"/>
    <w:rsid w:val="00004A84"/>
    <w:rsid w:val="00065F04"/>
    <w:rsid w:val="000B638B"/>
    <w:rsid w:val="00113601"/>
    <w:rsid w:val="00117B14"/>
    <w:rsid w:val="001D5F74"/>
    <w:rsid w:val="00206FF0"/>
    <w:rsid w:val="002A363C"/>
    <w:rsid w:val="002B41A6"/>
    <w:rsid w:val="00301BDA"/>
    <w:rsid w:val="00383ECA"/>
    <w:rsid w:val="00464FE6"/>
    <w:rsid w:val="004956AE"/>
    <w:rsid w:val="004C51B4"/>
    <w:rsid w:val="004E48FC"/>
    <w:rsid w:val="005104D1"/>
    <w:rsid w:val="00523E95"/>
    <w:rsid w:val="005B1597"/>
    <w:rsid w:val="0072093C"/>
    <w:rsid w:val="008A2E33"/>
    <w:rsid w:val="008E7595"/>
    <w:rsid w:val="00A74FD7"/>
    <w:rsid w:val="00AA4008"/>
    <w:rsid w:val="00B8258C"/>
    <w:rsid w:val="00E97606"/>
    <w:rsid w:val="00EE0A60"/>
    <w:rsid w:val="00E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ABBF8"/>
  <w15:chartTrackingRefBased/>
  <w15:docId w15:val="{4C8B2B68-DA24-4C43-8472-B1BA834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41A6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65F04"/>
    <w:pPr>
      <w:keepNext/>
      <w:keepLines/>
      <w:spacing w:before="240" w:after="24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41A6"/>
    <w:pPr>
      <w:keepNext/>
      <w:keepLines/>
      <w:spacing w:before="120" w:after="12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4D1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i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F04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41A6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04D1"/>
    <w:rPr>
      <w:rFonts w:ascii="Cambria" w:eastAsiaTheme="majorEastAsia" w:hAnsi="Cambria" w:cstheme="majorBidi"/>
      <w:b/>
      <w:i/>
      <w:color w:val="000000" w:themeColor="tex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B41A6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2B41A6"/>
    <w:rPr>
      <w:color w:val="2B579A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4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8F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4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8FC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1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yst%C3%A8me_multi-ag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2</cp:revision>
  <dcterms:created xsi:type="dcterms:W3CDTF">2017-05-31T11:34:00Z</dcterms:created>
  <dcterms:modified xsi:type="dcterms:W3CDTF">2017-05-31T11:34:00Z</dcterms:modified>
</cp:coreProperties>
</file>