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微软雅黑"/>
          <w:b/>
          <w:color w:val="1C1C1C"/>
          <w:sz w:val="44"/>
        </w:rPr>
        <w:t>刘心雨</w:t>
      </w:r>
    </w:p>
    <w:p>
      <w:pPr>
        <w:spacing w:before="40" w:after="0" w:line="240" w:lineRule="auto"/>
      </w:pPr>
      <w:r>
        <w:rPr>
          <w:rFonts w:ascii="Calibri" w:hAnsi="Calibri" w:eastAsia="微软雅黑"/>
          <w:b/>
          <w:color w:val="1F3D32"/>
          <w:sz w:val="24"/>
        </w:rPr>
        <w:t>海外增长 / 效果投放</w:t>
      </w:r>
    </w:p>
    <w:p>
      <w:pPr>
        <w:spacing w:before="20" w:after="120" w:line="240" w:lineRule="auto"/>
        <w:pBdr>
          <w:bottom w:val="single" w:sz="12" w:space="1" w:color="1C1C1C"/>
        </w:pBdr>
      </w:pPr>
      <w:r>
        <w:rPr>
          <w:rFonts w:ascii="Calibri" w:hAnsi="Calibri" w:eastAsia="微软雅黑"/>
          <w:b w:val="0"/>
          <w:color w:val="3A3A3A"/>
          <w:sz w:val="20"/>
        </w:rPr>
        <w:t>上海  ·  +86 182 0217 7965  ·  vinciliu@outlook.com</w:t>
      </w:r>
    </w:p>
    <w:p>
      <w:pPr>
        <w:spacing w:before="160" w:after="40" w:line="276" w:lineRule="auto"/>
      </w:pPr>
      <w:r>
        <w:rPr>
          <w:rFonts w:ascii="Calibri" w:hAnsi="Calibri" w:eastAsia="微软雅黑"/>
          <w:b w:val="0"/>
          <w:color w:val="1C1C1C"/>
          <w:sz w:val="21"/>
        </w:rPr>
        <w:t>12 年数字营销经验，近 5 年聚焦海外效果增长。在得物负责美国市场，从 0 到 1 搭建投放自归因与 Feed 体系，Shopping 广告转化率提升至 1.5 倍，UV-购买转化率提升 15%。现于美团 Keemart 负责沙特市场 TikTok、Google 投放与 CAC，并参与科威特开国的渠道方案。用可置信的数据做决策，与算法、产品、运营一起把方案落地。</w:t>
      </w:r>
    </w:p>
    <w:p>
      <w:pPr>
        <w:spacing w:before="240" w:after="80" w:line="240" w:lineRule="auto"/>
        <w:pBdr>
          <w:bottom w:val="single" w:sz="12" w:space="1" w:color="1C1C1C"/>
        </w:pBdr>
      </w:pPr>
      <w:r>
        <w:rPr>
          <w:rFonts w:ascii="Calibri" w:hAnsi="Calibri" w:eastAsia="微软雅黑"/>
          <w:b/>
          <w:color w:val="1C1C1C"/>
          <w:sz w:val="22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2026.07</w:t>
              <w:br/>
              <w:t>– 至今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美团 · Keemart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效果投放 · 沙特市场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负责 Keemart 沙特市场 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TikTok 与 Google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 渠道投放，做账户日常优化，围绕 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CAC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 调整受众、素材与出价。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负责渠道对账与结算，与代理完成月度消耗核对和费用管理，保证投放花费可追溯、可结算。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自建投放分析工具，覆盖周报、结算核对与异常预警，提升投放数据分析效率。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参与科威特开国筹备，输出渠道侧投放方案，明确媒体组合与预算安排。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2021.09</w:t>
              <w:br/>
              <w:t>– 2026.07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得物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海外增长 · 美国市场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从 0 到 1 搭建出海投放自归因与实时控盘，联合算法团队校验媒体埋点并回传自归因事件，用于圈定高意向用户。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建设商品标签、GTIN 等字段，搭建 Feed 管理后台，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Shopping 广告转化率提升至 1.5 倍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搭建投放侧用户评论体系，按评论等级差异化出价，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CTR 平均提升 2.5%–3%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优化集合页算法推荐，使搜索结果与用户搜索词动态匹配，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UV-购买转化率提升 15%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定位核心转化卡点并输出 MRD，推动产品侧优化。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按 SEO 标准优化网站 FCP/LCP、站点结构与反链，提升 Google Seller Rating，降低对竞价流量的依赖。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建立爆品选品机制：监控竞品榜单并引入外网爆品投放，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相对爆品增加至 30%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；与算法、AI 产品合作做相似品推荐，提高爆品命中率。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2019.10</w:t>
              <w:br/>
              <w:t>– 2021.08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PGYTECH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Digital Marketing Manager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梳理国内外市场团队分工并制定 OKR，对齐推广目标与业绩评估。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制定国内外 SEO 与内容策略，统筹独立站以及天猫、京东的引流。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负责 Google、Facebook、百度、今日头条的竞价投放，覆盖方案、预算、排期和账户日常优化。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按日复盘投放数据并调整策略，保证素材口径与内容营销一致。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2018.10</w:t>
              <w:br/>
              <w:t>– 2019.10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传音控股 · 易美酒店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Digital Marketing Manager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从 0 到 1 完成移动端与 Web 官网的规划上线，接入 SEO 与数据分析；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4 个月内迭代 2 个版本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，优化 UI 与移动端速度。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优化内容、代码结构与关键词，网站 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Google 搜索排名提升至第 2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从 0 到 1 搭建线上推广与加盟获客体系，在 Google、Facebook 及联盟渠道投放，并按海外用户习惯调整打法；获取加盟意向客户约 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150 个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，获客成本降至原先约一半。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主导 CRM 从需求、方案、排期到验收，实现客户全周期管理，提升客服、销售与市场的协同效率。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2014.07</w:t>
              <w:br/>
              <w:t>– 2018.08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Sherpa's（百胜中国）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Digital Marketing Manager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从 0 到 1 搭建线上营销与广告体系（SEO / SEM / EDM 及社交媒体），按数据优化配置与素材，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用户交易频次提升至原来的 5 倍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搭建 Google Analytics 与 Tableau 数据分析体系，实现各推广渠道可监测、可复盘，并据此优化产品与投放。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打通线下活动、微信与网站，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活动客户线上留存率 100%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，并做线上二次营销。</w:t>
            </w:r>
          </w:p>
          <w:p>
            <w:pPr>
              <w:spacing w:before="20" w:after="0" w:line="259" w:lineRule="auto"/>
              <w:ind w:left="227"/>
            </w:pP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· 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 xml:space="preserve">管理国内外 KOL 的沟通、议价、内容与关系维护，固定合作博主约 </w:t>
            </w:r>
            <w:r>
              <w:rPr>
                <w:rFonts w:ascii="Calibri" w:hAnsi="Calibri" w:eastAsia="微软雅黑"/>
                <w:b/>
                <w:color w:val="1C1C1C"/>
                <w:sz w:val="21"/>
              </w:rPr>
              <w:t>20 个</w:t>
            </w:r>
            <w:r>
              <w:rPr>
                <w:rFonts w:ascii="Calibri" w:hAnsi="Calibri" w:eastAsia="微软雅黑"/>
                <w:b w:val="0"/>
                <w:color w:val="1C1C1C"/>
                <w:sz w:val="21"/>
              </w:rPr>
              <w:t>。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80" w:line="240" w:lineRule="auto"/>
        <w:pBdr>
          <w:bottom w:val="single" w:sz="12" w:space="1" w:color="1C1C1C"/>
        </w:pBdr>
      </w:pPr>
      <w:r>
        <w:rPr>
          <w:rFonts w:ascii="Calibri" w:hAnsi="Calibri" w:eastAsia="微软雅黑"/>
          <w:b/>
          <w:color w:val="1C1C1C"/>
          <w:sz w:val="22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277"/>
      </w:tblGrid>
      <w:tr>
        <w:tc>
          <w:tcPr>
            <w:tcW w:type="dxa" w:w="1814"/>
          </w:tcPr>
          <w:p>
            <w:pPr>
              <w:spacing w:before="40" w:after="0" w:line="252" w:lineRule="auto"/>
            </w:pPr>
            <w:r>
              <w:rPr>
                <w:rFonts w:ascii="Calibri" w:hAnsi="Calibri" w:eastAsia="微软雅黑"/>
                <w:b w:val="0"/>
                <w:color w:val="3A3A3A"/>
                <w:sz w:val="18"/>
              </w:rPr>
              <w:t>2010 – 2014</w:t>
            </w:r>
          </w:p>
        </w:tc>
        <w:tc>
          <w:tcPr>
            <w:tcW w:type="dxa" w:w="8277"/>
          </w:tcPr>
          <w:p>
            <w:pPr>
              <w:spacing w:before="0" w:after="0" w:line="252" w:lineRule="auto"/>
            </w:pPr>
            <w:r>
              <w:rPr>
                <w:rFonts w:ascii="Calibri" w:hAnsi="Calibri" w:eastAsia="微软雅黑"/>
                <w:b/>
                <w:color w:val="1C1C1C"/>
                <w:sz w:val="24"/>
              </w:rPr>
              <w:t>云南大学 · 旅游文化学院</w:t>
            </w:r>
            <w:r>
              <w:rPr>
                <w:rFonts w:ascii="Calibri" w:hAnsi="Calibri" w:eastAsia="微软雅黑"/>
                <w:b w:val="0"/>
                <w:color w:val="1F3D32"/>
                <w:sz w:val="20"/>
              </w:rPr>
              <w:t xml:space="preserve">    对外汉语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80" w:line="240" w:lineRule="auto"/>
        <w:pBdr>
          <w:bottom w:val="single" w:sz="12" w:space="1" w:color="1C1C1C"/>
        </w:pBdr>
      </w:pPr>
      <w:r>
        <w:rPr>
          <w:rFonts w:ascii="Calibri" w:hAnsi="Calibri" w:eastAsia="微软雅黑"/>
          <w:b/>
          <w:color w:val="1C1C1C"/>
          <w:sz w:val="22"/>
        </w:rPr>
        <w:t>专业技能</w:t>
      </w:r>
    </w:p>
    <w:p>
      <w:pPr>
        <w:spacing w:before="20" w:after="0" w:line="252" w:lineRule="auto"/>
      </w:pPr>
      <w:r>
        <w:rPr>
          <w:rFonts w:ascii="Calibri" w:hAnsi="Calibri" w:eastAsia="微软雅黑"/>
          <w:b/>
          <w:color w:val="1C1C1C"/>
          <w:sz w:val="21"/>
        </w:rPr>
        <w:t xml:space="preserve">渠道    </w:t>
      </w:r>
      <w:r>
        <w:rPr>
          <w:rFonts w:ascii="Calibri" w:hAnsi="Calibri" w:eastAsia="微软雅黑"/>
          <w:b w:val="0"/>
          <w:color w:val="1C1C1C"/>
          <w:sz w:val="21"/>
        </w:rPr>
        <w:t>TikTok Ads、Google Ads、Facebook Ads、百度、今日头条、联盟</w:t>
      </w:r>
    </w:p>
    <w:p>
      <w:pPr>
        <w:spacing w:before="20" w:after="0" w:line="252" w:lineRule="auto"/>
      </w:pPr>
      <w:r>
        <w:rPr>
          <w:rFonts w:ascii="Calibri" w:hAnsi="Calibri" w:eastAsia="微软雅黑"/>
          <w:b/>
          <w:color w:val="1C1C1C"/>
          <w:sz w:val="21"/>
        </w:rPr>
        <w:t xml:space="preserve">方法    </w:t>
      </w:r>
      <w:r>
        <w:rPr>
          <w:rFonts w:ascii="Calibri" w:hAnsi="Calibri" w:eastAsia="微软雅黑"/>
          <w:b w:val="0"/>
          <w:color w:val="1C1C1C"/>
          <w:sz w:val="21"/>
        </w:rPr>
        <w:t>CAC 优化、自归因与埋点校验、Feed / Shopping、SEO、预算与月结对账</w:t>
      </w:r>
    </w:p>
    <w:p>
      <w:pPr>
        <w:spacing w:before="20" w:after="0" w:line="252" w:lineRule="auto"/>
      </w:pPr>
      <w:r>
        <w:rPr>
          <w:rFonts w:ascii="Calibri" w:hAnsi="Calibri" w:eastAsia="微软雅黑"/>
          <w:b/>
          <w:color w:val="1C1C1C"/>
          <w:sz w:val="21"/>
        </w:rPr>
        <w:t xml:space="preserve">数据    </w:t>
      </w:r>
      <w:r>
        <w:rPr>
          <w:rFonts w:ascii="Calibri" w:hAnsi="Calibri" w:eastAsia="微软雅黑"/>
          <w:b w:val="0"/>
          <w:color w:val="1C1C1C"/>
          <w:sz w:val="21"/>
        </w:rPr>
        <w:t>Google Analytics、Tableau、自建投放周报 / 结算核对 / 异常预警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