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Promemoria pratica</w:t>
      </w:r>
    </w:p>
    <w:p>
      <w:pPr>
        <w:spacing w:after="160"/>
      </w:pPr>
      <w:r>
        <w:t>Cliente: Enrico Bellini</w:t>
        <w:br/>
        <w:t>Codice fiscale: BLLNRC71M09D612Y</w:t>
        <w:br/>
        <w:t>Domicilio: Via San Marco 14, 30124 Venezia</w:t>
        <w:br/>
        <w:t>Fascicolo RG 4567/2026</w:t>
        <w:br/>
        <w:t>PEC: enrico.bellini@pec.example.com</w:t>
      </w:r>
    </w:p>
    <w:p>
      <w:pPr>
        <w:spacing w:after="160"/>
      </w:pPr>
      <w:r>
        <w:t>Oggetto: verifica della documentazione contrattuale e predisposizione della memoria riepilogativa.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Legale | Caso LEG-01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LEG-01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