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5983B0" w:val="clear"/>
        <w:spacing w:before="600" w:after="100"/>
        <w:jc w:val="center"/>
        <w:rPr>
          <w:color w:val="FFFFFF"/>
        </w:rPr>
      </w:pPr>
      <w:r>
        <w:rPr>
          <w:rFonts w:eastAsia="Calibri" w:cs="Calibri"/>
          <w:b/>
          <w:bCs/>
          <w:color w:val="FFFFFF"/>
          <w:sz w:val="36"/>
          <w:szCs w:val="36"/>
        </w:rPr>
        <w:t>VÁLLALKOZÁSI SZERZŐDÉS</w:t>
      </w:r>
    </w:p>
    <w:p>
      <w:pPr>
        <w:pStyle w:val="Normal"/>
        <w:shd w:fill="5983B0" w:val="clear"/>
        <w:spacing w:before="40" w:after="40"/>
        <w:jc w:val="center"/>
        <w:rPr>
          <w:color w:val="FFFFFF"/>
        </w:rPr>
      </w:pPr>
      <w:r>
        <w:rPr>
          <w:rFonts w:eastAsia="Calibri" w:cs="Calibri"/>
          <w:color w:val="FFFFFF"/>
          <w:sz w:val="24"/>
          <w:szCs w:val="24"/>
        </w:rPr>
        <w:t>Pénzügyi Operáció Automatizáció</w:t>
      </w:r>
    </w:p>
    <w:p>
      <w:pPr>
        <w:pStyle w:val="Normal"/>
        <w:shd w:fill="5983B0" w:val="clear"/>
        <w:spacing w:before="40" w:after="200"/>
        <w:jc w:val="center"/>
        <w:rPr>
          <w:color w:val="FFFFFF"/>
        </w:rPr>
      </w:pPr>
      <w:r>
        <w:rPr>
          <w:rFonts w:eastAsia="Calibri" w:cs="Calibri"/>
          <w:color w:val="FFFFFF"/>
          <w:sz w:val="22"/>
          <w:szCs w:val="22"/>
        </w:rPr>
        <w:t>Megvalósítási projekthez</w:t>
      </w:r>
    </w:p>
    <w:p>
      <w:pPr>
        <w:pStyle w:val="Normal"/>
        <w:spacing w:before="40" w:after="400"/>
        <w:jc w:val="center"/>
        <w:rPr/>
      </w:pPr>
      <w:r>
        <w:rPr>
          <w:rFonts w:eastAsia="Calibri" w:cs="Calibri"/>
          <w:color w:val="666666"/>
          <w:sz w:val="20"/>
          <w:szCs w:val="20"/>
        </w:rPr>
        <w:t>Szerződésszám: ARM-2026-001  |  Kelt: 2026. március 30.  |  Budapest</w:t>
      </w:r>
    </w:p>
    <w:p>
      <w:pPr>
        <w:pStyle w:val="Normal"/>
        <w:pBdr>
          <w:bottom w:val="single" w:sz="6" w:space="4" w:color="2E75B6"/>
        </w:pBdr>
        <w:spacing w:before="360" w:after="200"/>
        <w:rPr/>
      </w:pPr>
      <w:r>
        <w:rPr>
          <w:rFonts w:eastAsia="Calibri" w:cs="Calibri"/>
          <w:b/>
          <w:bCs/>
          <w:color w:val="1B4F72"/>
          <w:sz w:val="28"/>
          <w:szCs w:val="28"/>
        </w:rPr>
        <w:t>Szerződő Felek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500"/>
        <w:gridCol w:w="4526"/>
      </w:tblGrid>
      <w:tr>
        <w:trPr/>
        <w:tc>
          <w:tcPr>
            <w:tcW w:w="4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Vállalkozó</w:t>
            </w:r>
          </w:p>
        </w:tc>
        <w:tc>
          <w:tcPr>
            <w:tcW w:w="452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Megrendelő</w:t>
            </w:r>
          </w:p>
        </w:tc>
      </w:tr>
      <w:tr>
        <w:trPr/>
        <w:tc>
          <w:tcPr>
            <w:tcW w:w="4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 xml:space="preserve">Vincze Tamás </w:t>
            </w:r>
            <w:r>
              <w:rPr>
                <w:rFonts w:eastAsia="Calibri" w:cs="Calibri"/>
                <w:b/>
                <w:bCs/>
                <w:sz w:val="20"/>
                <w:szCs w:val="20"/>
              </w:rPr>
              <w:t>e.v. 62117328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AI Operációs Architekt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Egyéni vállalkozó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Székhely: 1044 Budapest, Fiumei út 51.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Adószám: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91925558-1-41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Bankszámlaszám: ___________________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Email: vt@vinczetamas.hu</w:t>
            </w:r>
          </w:p>
        </w:tc>
        <w:tc>
          <w:tcPr>
            <w:tcW w:w="452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Armadillo Design Kft.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Képviseli: ___________________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Székhely: ___________________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Cégjegyzékszám: ___________________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Adószám: ___________________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Bankszámlaszám: ___________________</w:t>
            </w:r>
          </w:p>
          <w:p>
            <w:pPr>
              <w:pStyle w:val="Normal"/>
              <w:spacing w:before="80" w:after="8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Email: ___________________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 Vállalkozó és a Megrendelő (a továbbiakban együttesen: Felek) az alábbi feltételekkel kötik meg jelen Vállalkozási Szerződést (a továbbiakban: Szerződés).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0" w:after="200"/>
        <w:rPr/>
      </w:pPr>
      <w:r>
        <w:rPr>
          <w:rFonts w:eastAsia="Calibri" w:cs="Calibri"/>
          <w:b/>
          <w:bCs/>
          <w:color w:val="1B4F72"/>
          <w:sz w:val="28"/>
          <w:szCs w:val="28"/>
        </w:rPr>
        <w:t>I. Megvalósítási Projekt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1. A projekt célja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 megvalósítás tervezett kezdete: 2026. április 1.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0"/>
          <w:szCs w:val="20"/>
        </w:rPr>
        <w:t>A Megrendelő pénzügyi működésének automatizálása Google Apps Script, Gemini AI és munkafolyamat alapú rendszerrel. A rendszer a Megrendelő meglévő Google Workspace infrastruktúráján működik, külső SaaS előfizetés nélkül.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2. A projekt tartalma (Fázis 0–4)</w:t>
      </w:r>
    </w:p>
    <w:tbl>
      <w:tblPr>
        <w:tblW w:w="9021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11"/>
        <w:gridCol w:w="5325"/>
        <w:gridCol w:w="1089"/>
        <w:gridCol w:w="1696"/>
      </w:tblGrid>
      <w:tr>
        <w:trPr/>
        <w:tc>
          <w:tcPr>
            <w:tcW w:w="911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Fázis</w:t>
            </w:r>
          </w:p>
        </w:tc>
        <w:tc>
          <w:tcPr>
            <w:tcW w:w="5325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Tartalom</w:t>
            </w:r>
          </w:p>
        </w:tc>
        <w:tc>
          <w:tcPr>
            <w:tcW w:w="1089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Időtartam</w:t>
            </w:r>
          </w:p>
        </w:tc>
        <w:tc>
          <w:tcPr>
            <w:tcW w:w="169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Függőség</w:t>
            </w:r>
          </w:p>
        </w:tc>
      </w:tr>
      <w:tr>
        <w:trPr/>
        <w:tc>
          <w:tcPr>
            <w:tcW w:w="911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Fázis 0</w:t>
            </w:r>
          </w:p>
        </w:tc>
        <w:tc>
          <w:tcPr>
            <w:tcW w:w="5325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Operatív validáció: folyamatfeltárás, dokumentáció, SSOT adatbázis felépítése, adatstruktúra kialakítása</w:t>
            </w:r>
          </w:p>
        </w:tc>
        <w:tc>
          <w:tcPr>
            <w:tcW w:w="1089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2 hét</w:t>
            </w:r>
          </w:p>
        </w:tc>
        <w:tc>
          <w:tcPr>
            <w:tcW w:w="169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Nincs</w:t>
            </w:r>
          </w:p>
        </w:tc>
      </w:tr>
      <w:tr>
        <w:trPr/>
        <w:tc>
          <w:tcPr>
            <w:tcW w:w="911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Fázis 1</w:t>
            </w:r>
          </w:p>
        </w:tc>
        <w:tc>
          <w:tcPr>
            <w:tcW w:w="5325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Számla feldolgozás stabilizálása: Gmail befogadás, AI OCR adatkinyerés, Drive archiválás, státuszkövetés</w:t>
            </w:r>
          </w:p>
        </w:tc>
        <w:tc>
          <w:tcPr>
            <w:tcW w:w="1089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2–3 nap</w:t>
            </w:r>
          </w:p>
        </w:tc>
        <w:tc>
          <w:tcPr>
            <w:tcW w:w="169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F0 kész + IT</w:t>
            </w:r>
          </w:p>
        </w:tc>
      </w:tr>
      <w:tr>
        <w:trPr/>
        <w:tc>
          <w:tcPr>
            <w:tcW w:w="911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Fázis 2</w:t>
            </w:r>
          </w:p>
        </w:tc>
        <w:tc>
          <w:tcPr>
            <w:tcW w:w="5325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Automatizáció és AI réteg: konfidencia-értékelés, automatikus routing, visszautasítási workflow, hibakezelés</w:t>
            </w:r>
          </w:p>
        </w:tc>
        <w:tc>
          <w:tcPr>
            <w:tcW w:w="1089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2–3 nap</w:t>
            </w:r>
          </w:p>
        </w:tc>
        <w:tc>
          <w:tcPr>
            <w:tcW w:w="169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F1 stabil</w:t>
            </w:r>
          </w:p>
        </w:tc>
      </w:tr>
      <w:tr>
        <w:trPr/>
        <w:tc>
          <w:tcPr>
            <w:tcW w:w="911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Fázis 3</w:t>
            </w:r>
          </w:p>
        </w:tc>
        <w:tc>
          <w:tcPr>
            <w:tcW w:w="5325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Pénzügyi operáció és kifizetési rendszer: heti jóváhagyási futam, banki kötegállomány generálás, banki kötegelés, utalás-dátum kalkuláció</w:t>
            </w:r>
          </w:p>
        </w:tc>
        <w:tc>
          <w:tcPr>
            <w:tcW w:w="1089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2 nap</w:t>
            </w:r>
          </w:p>
        </w:tc>
        <w:tc>
          <w:tcPr>
            <w:tcW w:w="169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F2 + banki spec</w:t>
            </w:r>
          </w:p>
        </w:tc>
      </w:tr>
      <w:tr>
        <w:trPr/>
        <w:tc>
          <w:tcPr>
            <w:tcW w:w="911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Fázis 4</w:t>
            </w:r>
          </w:p>
        </w:tc>
        <w:tc>
          <w:tcPr>
            <w:tcW w:w="5325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Műszerfal és kontroll réteg: Looker Studio pénzügyi műszerfal, valós idejű nézetek (cash flow, ÁFA, kintlévőség)</w:t>
            </w:r>
          </w:p>
        </w:tc>
        <w:tc>
          <w:tcPr>
            <w:tcW w:w="1089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1–2 nap</w:t>
            </w:r>
          </w:p>
        </w:tc>
        <w:tc>
          <w:tcPr>
            <w:tcW w:w="169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F1 adatok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FFF8E1"/>
        <w:spacing w:before="120" w:after="120"/>
        <w:ind w:start="200" w:end="20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A fázisok részletes tartalmi leírását az elfogadott ajánlat (ARM-2026-001/A) tartalmazza, amely jelen szerződés elválaszthatatlan melléklete.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2/A. Leszállítandók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megvalósítás keretében a Szolgáltató az alábbi leszállítandókat biztosítja a Megrendelő részére: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40"/>
        <w:jc w:val="both"/>
        <w:rPr/>
      </w:pPr>
      <w:r>
        <w:rPr>
          <w:rFonts w:eastAsia="Calibri" w:cs="Calibri"/>
          <w:b/>
          <w:bCs/>
          <w:color w:val="000000"/>
          <w:sz w:val="20"/>
          <w:szCs w:val="20"/>
        </w:rPr>
        <w:t>a) Működő automatizált bejövő számla-feldolgozási folyamat:</w:t>
      </w:r>
    </w:p>
    <w:p>
      <w:pPr>
        <w:pStyle w:val="Normal"/>
        <w:numPr>
          <w:ilvl w:val="0"/>
          <w:numId w:val="8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Fázis 0–4 keretében megvalósított, éles környezetben tesztelt és átadott automatizált workflow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Automatikus befogadás, AI-alapú adatkinyerés, státuszkövetés, jóváhagyási értesítők, kötegelt utalási fájl generálás és Looker Studio műszerfal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 rendszer a Megrendelő Google Workspace infrastruktúráján működik, konfigurált és élesített állapotban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40"/>
        <w:jc w:val="both"/>
        <w:rPr/>
      </w:pPr>
      <w:r>
        <w:rPr>
          <w:rFonts w:eastAsia="Calibri" w:cs="Calibri"/>
          <w:b/>
          <w:bCs/>
          <w:color w:val="000000"/>
          <w:sz w:val="20"/>
          <w:szCs w:val="20"/>
        </w:rPr>
        <w:t>b) Szabványos Működési Eljárás (SOP):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Magyar nyelvű Szabványos Működési Eljárás dokumentum, amely tartalmazza a rendszer napi kezelési lépéseit, a szereplők feladatait és a kivételkezelési folyamatokat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 SOP kiterjed a bejövő számlák feldolgozási folyamatára, a szerdai jóváhagyási és kötegelési munkafolyamatra, a hibás tételek kezelésére és a kötegelt utalási fájl banki feltöltésének lépéseire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40"/>
        <w:jc w:val="both"/>
        <w:rPr/>
      </w:pPr>
      <w:r>
        <w:rPr>
          <w:rFonts w:eastAsia="Calibri" w:cs="Calibri"/>
          <w:b/>
          <w:bCs/>
          <w:color w:val="000000"/>
          <w:sz w:val="20"/>
          <w:szCs w:val="20"/>
        </w:rPr>
        <w:t>c) Folyamatábra: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 teljes automatizált folyamatot bemutató folyamatábra (diagram), amely vizuálisan ábrázolja az email befogadástól a banki köteg feltöltéséig tartó munkafolyamatot, a döntési pontokkal és szereplőkkel együtt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FFF8E1"/>
        <w:spacing w:before="120" w:after="120"/>
        <w:ind w:start="200" w:end="200"/>
        <w:jc w:val="both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Az SOP és a folyamatábra a projekt lezárásakor, a Fázis 4 elfogadásával egyidejűleg kerül átadásra. A dokumentumok a rendszer konfigurálható paramétereinek listáját is tartalmazzák.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3. Díjazás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0"/>
          <w:szCs w:val="20"/>
        </w:rPr>
        <w:t xml:space="preserve">A megvalósítás teljes díja: </w:t>
      </w:r>
      <w:r>
        <w:rPr>
          <w:rFonts w:eastAsia="Calibri" w:cs="Calibri"/>
          <w:b/>
          <w:bCs/>
          <w:sz w:val="20"/>
          <w:szCs w:val="20"/>
        </w:rPr>
        <w:t>2.000.000 Ft + ÁFA</w:t>
      </w:r>
      <w:r>
        <w:rPr>
          <w:rFonts w:eastAsia="Calibri" w:cs="Calibri"/>
          <w:sz w:val="20"/>
          <w:szCs w:val="20"/>
        </w:rPr>
        <w:t xml:space="preserve"> (azaz kettőmillió forint + általános forgalmi adó).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3/A. Kedvezmény és ellenértéke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0"/>
          <w:szCs w:val="20"/>
        </w:rPr>
        <w:t>A jelen szerződés szerinti 2.000.000 Ft + ÁFA díj a Vállalkozó által biztosított kedvezményes ár.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0"/>
          <w:szCs w:val="20"/>
        </w:rPr>
        <w:t>A kedvezmény feltétele a referencia- és marketing jogok biztosítása a Vállalkozó részére (IV. fejezet).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0"/>
          <w:szCs w:val="20"/>
        </w:rPr>
        <w:t>Amennyiben a Megrendelő a referenciajogokat visszavonja vagy azok gyakorlását korlátozza, a Vállalkozó jogosult a kedvezmény összegét (500.000 Ft + ÁFA) utólag kiszámlázni.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4. Fizetési ütemezés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00"/>
        <w:gridCol w:w="1500"/>
        <w:gridCol w:w="2200"/>
        <w:gridCol w:w="1826"/>
      </w:tblGrid>
      <w:tr>
        <w:trPr/>
        <w:tc>
          <w:tcPr>
            <w:tcW w:w="3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Fizetési mérföldkő</w:t>
            </w:r>
          </w:p>
        </w:tc>
        <w:tc>
          <w:tcPr>
            <w:tcW w:w="1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Arány</w:t>
            </w:r>
          </w:p>
        </w:tc>
        <w:tc>
          <w:tcPr>
            <w:tcW w:w="22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Összeg (nettó)</w:t>
            </w:r>
          </w:p>
        </w:tc>
        <w:tc>
          <w:tcPr>
            <w:tcW w:w="182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shd w:fill="1B4F7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Fizetési határidő</w:t>
            </w:r>
          </w:p>
        </w:tc>
      </w:tr>
      <w:tr>
        <w:trPr/>
        <w:tc>
          <w:tcPr>
            <w:tcW w:w="3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Szerződéskötés</w:t>
            </w:r>
          </w:p>
        </w:tc>
        <w:tc>
          <w:tcPr>
            <w:tcW w:w="1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22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600.000 Ft</w:t>
            </w:r>
          </w:p>
        </w:tc>
        <w:tc>
          <w:tcPr>
            <w:tcW w:w="182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Azonnal</w:t>
            </w:r>
          </w:p>
        </w:tc>
      </w:tr>
      <w:tr>
        <w:trPr/>
        <w:tc>
          <w:tcPr>
            <w:tcW w:w="3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Fázis 2 stabil működés éles adatokkal</w:t>
            </w:r>
          </w:p>
        </w:tc>
        <w:tc>
          <w:tcPr>
            <w:tcW w:w="1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40%</w:t>
            </w:r>
          </w:p>
        </w:tc>
        <w:tc>
          <w:tcPr>
            <w:tcW w:w="22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800.000 Ft</w:t>
            </w:r>
          </w:p>
        </w:tc>
        <w:tc>
          <w:tcPr>
            <w:tcW w:w="182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8 nap</w:t>
            </w:r>
          </w:p>
        </w:tc>
      </w:tr>
      <w:tr>
        <w:trPr/>
        <w:tc>
          <w:tcPr>
            <w:tcW w:w="3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Fázis 3 banki teszt + Fázis 4 műszerfal működik</w:t>
            </w:r>
          </w:p>
        </w:tc>
        <w:tc>
          <w:tcPr>
            <w:tcW w:w="1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22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600.000 Ft</w:t>
            </w:r>
          </w:p>
        </w:tc>
        <w:tc>
          <w:tcPr>
            <w:tcW w:w="182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8 nap</w:t>
            </w:r>
          </w:p>
        </w:tc>
      </w:tr>
      <w:tr>
        <w:trPr/>
        <w:tc>
          <w:tcPr>
            <w:tcW w:w="3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Összesen</w:t>
            </w:r>
          </w:p>
        </w:tc>
        <w:tc>
          <w:tcPr>
            <w:tcW w:w="15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200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2.000.000 Ft</w:t>
            </w:r>
          </w:p>
        </w:tc>
        <w:tc>
          <w:tcPr>
            <w:tcW w:w="1826" w:type="dxa"/>
            <w:tcBorders>
              <w:top w:val="single" w:sz="2" w:space="0" w:color="B0B0B0"/>
              <w:start w:val="single" w:sz="2" w:space="0" w:color="B0B0B0"/>
              <w:bottom w:val="single" w:sz="2" w:space="0" w:color="B0B0B0"/>
              <w:end w:val="single" w:sz="2" w:space="0" w:color="B0B0B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FFF8E1"/>
        <w:spacing w:before="120" w:after="120"/>
        <w:ind w:start="200" w:end="20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A fizetési mérföldkövek teljesülési feltétele minden esetben a működési állapot igazolása, nem az átadás ténye. A számla a mérföldkő teljesülésének napján kerül kiállításra.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5. Fázis elfogadása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Egy fázis teljesítettnek (elfogadottnak) minősül, ha a Megrendelő a teljesítés bemutatását követő 7 (hét) naptári napon belül nem tesz írásos észrevételt. Írásos észrevételnek minősül az e-mailben küldött, konkrét hibát vagy hiányosságot megjelölő értesítés.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5/A. Teljesítési igazolás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Vállalkozó minden fizetési mérföldkő elérésekor teljesítési igazolást állít ki.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Megrendelő köteles a teljesítési igazolást annak kézhezvételétől számított 7 (hét) naptári napon belül aláírni, vagy írásban, konkrét indoklással ellátott észrevételt tenni.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Amennyiben a Megrendelő a határidőn belül nem tesz észrevételt, a teljesítés automatikusan elfogadottnak minősül.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6. Határidők és függőségek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 megvalósítás tervezett átfutási ideje az ajánlatban rögzített ütemezés szerint 7–10 munkanap (a Fázis 0 operatív validációs időszakot nem számítva).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Amennyiben a Megrendelő oldaláról szükséges input (partnerlisták, banki specifikációk, IT előkészítés, webhook URL-ek, jóváhagyási jogosultak listája) késedelmesen érkezik, az érintett fázis határideje az input beérkezésétől számítva arányosan tolódik.</w:t>
      </w:r>
    </w:p>
    <w:p>
      <w:pPr>
        <w:pStyle w:val="Normal"/>
        <w:pBdr>
          <w:left w:val="single" w:sz="12" w:space="8" w:color="2E75B6"/>
        </w:pBdr>
        <w:shd w:val="clear" w:fill="FFF8E1"/>
        <w:spacing w:before="120" w:after="120"/>
        <w:ind w:start="200" w:end="20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Teljes fejlesztési kapacitás: heti max. 15 óra. Az ütemezés ehhez igazodik.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7. Hatókör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Jelen szerződés kizárólag a Fázis 0–4 keretében meghatározott feladatokra terjed ki. Minden további fejlesztés (beleértve, de nem kizárólagosan: banki API integráció, könyvelési szoftver integráció, NAV-integráció, mobilalkalmazás, kimenő számla kezelés) külön megállapodás tárgyát képezi.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0"/>
          <w:szCs w:val="20"/>
        </w:rPr>
        <w:t xml:space="preserve">Hatókörön kívüli változtatás díja: </w:t>
      </w:r>
      <w:r>
        <w:rPr>
          <w:rFonts w:eastAsia="Calibri" w:cs="Calibri"/>
          <w:b/>
          <w:bCs/>
          <w:sz w:val="20"/>
          <w:szCs w:val="20"/>
        </w:rPr>
        <w:t>65.000 Ft / nap</w:t>
      </w:r>
      <w:r>
        <w:rPr>
          <w:rFonts w:eastAsia="Calibri" w:cs="Calibri"/>
          <w:sz w:val="20"/>
          <w:szCs w:val="20"/>
        </w:rPr>
        <w:t xml:space="preserve"> + ÁFA. Banki formátumváltozás (bank kezdeményezi): külön megrendelés, napidíjas.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7/C. Banki integráció pontosítása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jelen szerződés keretében a Vállalkozó a banki utalásokhoz szükséges kötegelt utalási fájl előállítását biztosítja.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kötegelt fájl a Megrendelő banki rendszerébe manuálisan tölthető fel.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Jelen szerződés nem tartalmaz közvetlen banki API integrációt vagy automatikus banki kommunikációt. Az ilyen jellegű fejlesztések külön megállapodás tárgyát képezik.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7/D. Műszerfal (dashboard) pontosítása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Fázis 4 keretében megvalósított műszerfal Google Looker Studio alapú, böngészőben elérhető kimutatási felület.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rendszer nem minősül mobilalkalmazásnak, azonban mobil eszközről is megtekinthető, optimalizált nézetben.</w:t>
      </w:r>
    </w:p>
    <w:p>
      <w:pPr>
        <w:pStyle w:val="Normal"/>
        <w:pBdr>
          <w:left w:val="single" w:sz="12" w:space="8" w:color="2E75B6"/>
        </w:pBdr>
        <w:shd w:val="clear" w:fill="FFF8E1"/>
        <w:spacing w:before="120" w:after="120"/>
        <w:ind w:start="200" w:end="200"/>
        <w:jc w:val="both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A műszerfal valós idejű adatokat jelenít meg a Google Sheets adatforrásból. A megjelenített adatok frissítési sebessége a Google infrastruktúrától függ.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7/A. Stabilizációs időszak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megvalósítás lezárását követően a Vállalkozó 30 (harminc) napos stabilizációs időszakot biztosít.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stabilizációs időszak célja az éles működés során esetlegesen felmerülő hibák kezelése és a rendszer működésének biztosítása.</w:t>
      </w:r>
    </w:p>
    <w:p>
      <w:pPr>
        <w:pStyle w:val="Normal"/>
        <w:spacing w:before="8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stabilizációs időszak kizárólag az alábbiakat tartalmazza: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hibakezelés és hibaelhárítás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működési problémák javítása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stabilizációs időszak nem tartalmazza: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új funkciók fejlesztését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meglévő funkciók módosítását vagy bővítését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tanácsadást vagy optimalizációt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új integrációk kialakítását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stabilizációs időszak alatt a válaszidő: következő munkanapon belül.</w:t>
      </w:r>
    </w:p>
    <w:p>
      <w:pPr>
        <w:pStyle w:val="Normal"/>
        <w:pBdr>
          <w:left w:val="single" w:sz="12" w:space="8" w:color="2E75B6"/>
        </w:pBdr>
        <w:shd w:val="clear" w:fill="FFF8E1"/>
        <w:spacing w:before="120" w:after="120"/>
        <w:ind w:start="200" w:end="200"/>
        <w:jc w:val="both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A stabilizációs időszak a megvalósítás részét képezi, és nem minősül külön támogatási és karbantartási szolgáltatásnak. A stabilizáció díja a megvalósítási díjban foglalt.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7/B. Stabilizációs időszak lezárása és további együttműködés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30 napos stabilizációs időszak lezárását követően a Felek közös áttekintő megbeszélés keretében értékelik a rendszer működését és a megvalósítás eredményeit.</w:t>
      </w:r>
    </w:p>
    <w:p>
      <w:pPr>
        <w:pStyle w:val="Normal"/>
        <w:spacing w:before="8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Az áttekintő megbeszélés célja: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 rendszer működésének és stabilitásának értékelése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az elért hatékonyság és megtakarítás áttekintése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 további fejlesztési és optimalizációs lehetőségek azonosítása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stabilizációs időszakot követően esetlegesen igényelt támogatási és karbantartási szolgáltatás kizárólag külön megállapodás alapján, külön ajánlat elfogadását követően vehető igénybe.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Felek az áttekintő megbeszélés során közösen döntenek a további együttműködés kereteiről és díjazásáról.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360" w:after="200"/>
        <w:rPr/>
      </w:pPr>
      <w:r>
        <w:rPr>
          <w:rFonts w:eastAsia="Calibri" w:cs="Calibri"/>
          <w:b/>
          <w:bCs/>
          <w:color w:val="1B4F72"/>
          <w:sz w:val="28"/>
          <w:szCs w:val="28"/>
        </w:rPr>
        <w:t>II. Referencia és Marketing Jogok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8. A Vállalkozó referenciajogai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 Megrendelő a megvalósítási díjban érvényesített kedvezmény ellenértékeként az alábbi referencia- és marketing jogokat biztosítja a Vállalkozó számára: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Calibri" w:cs="Calibri"/>
          <w:sz w:val="20"/>
          <w:szCs w:val="20"/>
        </w:rPr>
        <w:t>Az Armadillo Design Kft. nevének és logójának felhasználása a Vállalkozó weboldalán, LinkedIn profilján és üzleti ajánlataiban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Calibri" w:cs="Calibri"/>
          <w:sz w:val="20"/>
          <w:szCs w:val="20"/>
        </w:rPr>
        <w:t>1 (egy) darab anonimizált esettanulmány (case study) készítése és publikálása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Calibri" w:cs="Calibri"/>
          <w:sz w:val="20"/>
          <w:szCs w:val="20"/>
        </w:rPr>
        <w:t>A Megrendelő elérhetőségének megadása referenciaként, kizárólag közvetlen megkeresés esetén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Calibri" w:cs="Calibri"/>
          <w:sz w:val="20"/>
          <w:szCs w:val="20"/>
        </w:rPr>
        <w:t>1 (egy) darab LinkedIn ajánlás vagy poszt kérése a projekt átadását követően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jc w:val="both"/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Ezen jogok a szerződés megszűnését követően is hatályban maradnak, visszavonásig. A Megrendelő a referenciajogot 30 napos írásos felmondással vonhatja vissza, de csak abban az esetben, ha a kedvezménnyel érintett díjkülönbözetet utólag megtéríti.</w:t>
      </w:r>
    </w:p>
    <w:p>
      <w:pPr>
        <w:pStyle w:val="Normal"/>
        <w:spacing w:before="80" w:after="80"/>
        <w:jc w:val="both"/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</w:r>
    </w:p>
    <w:p>
      <w:pPr>
        <w:pStyle w:val="Normal"/>
        <w:pBdr>
          <w:bottom w:val="single" w:sz="6" w:space="4" w:color="2E75B6"/>
        </w:pBdr>
        <w:spacing w:before="0" w:after="200"/>
        <w:rPr/>
      </w:pPr>
      <w:r>
        <w:rPr>
          <w:rFonts w:eastAsia="Calibri" w:cs="Calibri"/>
          <w:b/>
          <w:bCs/>
          <w:color w:val="1B4F72"/>
          <w:sz w:val="28"/>
          <w:szCs w:val="28"/>
        </w:rPr>
        <w:t>III. Felelősség és Korlátozás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9. Felelősség korlátozása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sz w:val="20"/>
          <w:szCs w:val="20"/>
        </w:rPr>
        <w:t>A Vállalkozó nem vállal felelősséget harmadik fél által üzemeltetett rendszerek (Google Workspace, Gemini API, MagNet Bank) hibáiért, leállásaiért vagy változásaiért.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sz w:val="20"/>
          <w:szCs w:val="20"/>
        </w:rPr>
        <w:t>Adatvesztésért a Vállalkozó felelőssége a Google infrastruktúra keretein belül korlátozódik – a Megrendelő saját adatmentési felelősségét ez nem érinti.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sz w:val="20"/>
          <w:szCs w:val="20"/>
        </w:rPr>
        <w:t>Vis maior esemény esetén (ide értve a járványügyi korlátozásokat, természeti katasztrófákat, háborút és közüzemi szolgáltatások tartós kiesését) egyik fél sem felel a teljesítés akadályoztatásáért.</w:t>
      </w:r>
    </w:p>
    <w:p>
      <w:pPr>
        <w:pStyle w:val="Normal"/>
        <w:pBdr>
          <w:bottom w:val="single" w:sz="6" w:space="4" w:color="2E75B6"/>
        </w:pBdr>
        <w:spacing w:before="360" w:after="200"/>
        <w:rPr/>
      </w:pPr>
      <w:r>
        <w:rPr>
          <w:rFonts w:eastAsia="Calibri" w:cs="Calibri"/>
          <w:b/>
          <w:bCs/>
          <w:color w:val="1B4F72"/>
          <w:sz w:val="28"/>
          <w:szCs w:val="28"/>
        </w:rPr>
        <w:t>IV/A. Szellemi Tulajdon és Kódbázis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9/A. A kódok és rendszer tulajdonjoga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jelen szerződés keretében megvalósított automatizált folyamatot megvalósító teljes technikai környezet — ideértve a Google Apps Script kódbázist, az alkalmazott adatstruktúrákat (Google Spreadsheet SSOT rendszer), a konfigurációs beállításokat, a Looker Studio műszerfal-konfigurációt és a kötegelt utalási fájl generáló logikát — az Armadillo Design Kft. kizárólagos tulajdonát képezi.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Megrendelő jogosult a rendszert korlátlanul használni, módosítani, fejleszteni és harmadik féllel tovább fejlesztetni, a Szolgáltató előzetes hozzájárulása nélkül.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Szolgáltató a megvalósítás keretében keletkező kódokra, dokumentációra és konfigurációra vonatkozóan semmilyen szerzői, felhasználói vagy egyéb szellemi tulajdonjogot nem tart fenn a Megrendelővel szemben.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9/B. Átadási kötelezettség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Szolgáltató a megvalósítás lezárásakor köteles a Megrendelőnek átadni: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 teljes Apps Script kódbázist (forráskód formájában, a Megrendelő Google Workspace fiókjában elhelyezve)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 Szabványos Működési Eljárást (SOP) és a folyamatábrát (ld. 2/A. pont)</w:t>
      </w:r>
    </w:p>
    <w:p>
      <w:pPr>
        <w:pStyle w:val="Normal"/>
        <w:numPr>
          <w:ilvl w:val="0"/>
          <w:numId w:val="5"/>
        </w:numPr>
        <w:spacing w:before="40" w:after="40"/>
        <w:rPr/>
      </w:pPr>
      <w:r>
        <w:rPr>
          <w:rFonts w:eastAsia="Calibri" w:cs="Calibri"/>
          <w:color w:val="000000"/>
          <w:sz w:val="20"/>
          <w:szCs w:val="20"/>
        </w:rPr>
        <w:t>a rendszer konfigurálható paramétereinek listáját és beállítási útmutatóját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FFF8E1"/>
        <w:spacing w:before="120" w:after="120"/>
        <w:ind w:start="200" w:end="200"/>
        <w:jc w:val="both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A kódok és a rendszer a Megrendelő infrastruktúráján futnak, és azok a Megrendelő tulajdonát képezik. A Szolgáltató a rendszerhez csak a megvalósítás és az aktív támogatási időszak alatt fér hozzá, a Megrendelő által biztosított jogosultságokkal.</w:t>
      </w:r>
    </w:p>
    <w:p>
      <w:pPr>
        <w:pStyle w:val="Normal"/>
        <w:pBdr>
          <w:bottom w:val="single" w:sz="6" w:space="4" w:color="2E75B6"/>
        </w:pBdr>
        <w:spacing w:before="360" w:after="200"/>
        <w:rPr/>
      </w:pPr>
      <w:r>
        <w:rPr>
          <w:rFonts w:eastAsia="Calibri" w:cs="Calibri"/>
          <w:b/>
          <w:bCs/>
          <w:color w:val="1B4F72"/>
          <w:sz w:val="28"/>
          <w:szCs w:val="28"/>
        </w:rPr>
        <w:t>IV. Titoktartás és Adatvédelem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10. Titoktartási kötelezettség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 Felek kötelezettséget vállalnak arra, hogy a jelen szerződés teljesítése során tudomásukra jutott üzleti titkokat, technikai információkat és személyes adatokat bizalmasan kezelik, harmadik fél számára nem teszik hozzáférhetővé.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 titoktartási kötelezettség a szerződés megszűnését követően 2 (két) évig marad hatályban.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11. Adatvédelem</w:t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0"/>
          <w:szCs w:val="20"/>
        </w:rPr>
        <w:t>11/A. Adatfeldolgozás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Szolgáltató a jelen szerződés teljesítése során a Megrendelő által kezelt adatokat adatfeldolgozóként kezeli. A kezelt adatok köre különösen: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pénzügyi és számlázási adatok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beszállítói és partner adatok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tranzakciós információk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felek közötti kommunikáció tartalma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Szolgáltató az adatokat kizárólag a megvalósítás, a működés biztosítása, valamint a hibakezelés és tesztelés céljából kezeli.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Szolgáltató az adatokat elsődlegesen a Megrendelő Google Workspace környezetében kezeli; saját rendszerében csak a szükséges mértékben és ideiglenesen dolgozza fel, harmadik fél részére nem adja át.</w:t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0"/>
          <w:szCs w:val="20"/>
        </w:rPr>
        <w:t>11/B. Kommunikáció és felvételek kezelése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Szolgáltató a szerződés teljesítése során a Megrendelővel folytatott kommunikáció keretében adatokat kezelhet — ideértve e-mail kommunikációt, üzenetküldő alkalmazásokat (pl. WhatsApp), valamint online és személyes megbeszélések tartalmát.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felek megállapodnak, hogy a megbeszélések — a hatékony munkavégzés érdekében — rögzíthetők, és azokból automatikus leirat készülhet (pl. AI alapú eszközök segítségével). A felvételek készítése minden esetben a Megrendelő előzetes tudtával történik.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Szolgáltató vállalja, hogy a felvételeket és leiratokat kizárólag a projekt megvalósítása és dokumentálása céljából használja, bizalmasan kezeli, és harmadik fél részére nem adja át.</w:t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0"/>
          <w:szCs w:val="20"/>
        </w:rPr>
        <w:t>11/C. Adattörlés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Szolgáltató vállalja, hogy a projekt lezárását követően a Megrendelő által megosztott adatokat saját rendszereiből indokolatlan késedelem nélkül törli. Ez alól kivételt képeznek azok az adatok, amelyek megőrzését jogszabály kötelezően előírja.</w:t>
      </w:r>
    </w:p>
    <w:p>
      <w:pPr>
        <w:pStyle w:val="Normal"/>
        <w:pBdr>
          <w:left w:val="single" w:sz="12" w:space="8" w:color="2E75B6"/>
        </w:pBdr>
        <w:shd w:val="clear" w:fill="FFF8E1"/>
        <w:spacing w:before="120" w:after="120"/>
        <w:ind w:start="200" w:end="200"/>
        <w:jc w:val="both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Az adatkezelés a GDPR (2016/679/EU rendelet) és az Infotv. (2011. évi CXII. törvény) rendelkezéseivel összhangban történik. Az adatfeldolgozói viszony részletes feltételeit a Felek szükség esetén külön adatfeldolgozói megállapodásban rögzíthetik.</w:t>
      </w:r>
    </w:p>
    <w:p>
      <w:pPr>
        <w:pStyle w:val="Normal"/>
        <w:spacing w:before="80" w:after="80"/>
        <w:jc w:val="both"/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</w:r>
    </w:p>
    <w:p>
      <w:pPr>
        <w:pStyle w:val="Normal"/>
        <w:pBdr>
          <w:bottom w:val="single" w:sz="6" w:space="4" w:color="2E75B6"/>
        </w:pBdr>
        <w:spacing w:before="360" w:after="200"/>
        <w:rPr/>
      </w:pPr>
      <w:r>
        <w:rPr>
          <w:rFonts w:eastAsia="Calibri" w:cs="Calibri"/>
          <w:b/>
          <w:bCs/>
          <w:color w:val="1B4F72"/>
          <w:sz w:val="28"/>
          <w:szCs w:val="28"/>
        </w:rPr>
        <w:t>IV/B. Szerződés megszűnése és Felmondás</w:t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0"/>
          <w:szCs w:val="20"/>
        </w:rPr>
        <w:t>16/A. A szerződés megszűnési esetei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jelen szerződés megszűnik: a felek közös megegyezésével; a szerződés mindkét részre történő teljesítésével; rendes felmondással; azonnali hatályú felmondással.</w:t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0"/>
          <w:szCs w:val="20"/>
        </w:rPr>
        <w:t>16/B. Rendes felmondás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felek a szerződést írásban, indokolás nélkül felmondhatják. A felmondási idő 30 (harminc) nap, amely a másik félhez megérkező írásbeli felmondó nyilatkozat napján kezdődik.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felmondási idő alatt a felek kötelesek együttműködni a folyamatban lévő feladatok rendezett lezárása érdekében.</w:t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0"/>
          <w:szCs w:val="20"/>
        </w:rPr>
        <w:t>16/C. Azonnali hatályú felmondás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Bármely fél jogosult a szerződést azonnali hatállyal felmondani, ha a másik fél súlyosan megszegi a szerződésben foglalt kötelezettségeit, és a szerződésszegést írásbeli felszólítás ellenére sem orvosolja 5 (öt) munkanapon belül.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Súlyos szerződésszegésnek minősül különösen: a díjfizetési kötelezettség 30 napot meghaladó elmulasztása; a titoktartási kötelezettség megsértése; a rendszerhez való illetéktelen hozzáférés biztosítása harmadik fél részére.</w:t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0"/>
          <w:szCs w:val="20"/>
        </w:rPr>
        <w:t>16/D. Pénzügyi elszámolás megszűnés esetén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szerződés megszűnése esetén: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már teljesített és elfogadott fázisok ellenértéke esedékes és fizetendő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megkezdett, de le nem zárt fázis munkái időarányosan kerülnek elszámolásra, a Felek írásbeli megállapodása alapján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már kiállított számlák fizetési kötelezettsége a megszűnéstől függetlenül fennmarad</w:t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0"/>
          <w:szCs w:val="20"/>
        </w:rPr>
        <w:t>16/E. Kötelezettségek megszűnéskor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szerződés megszűnésekor a Szolgáltató köteles: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Megrendelő rendszeréhez és adataihoz való saját hozzáférést haladéktalanul megszüntetni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saját rendszereiben tárolt megrendelői adatokat a 11/C. pont szerint törölni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folyamatban lévő munkákat dokumentált módon lezárni és a Megrendelőnek átadni</w:t>
      </w:r>
    </w:p>
    <w:p>
      <w:pPr>
        <w:pStyle w:val="Normal"/>
        <w:numPr>
          <w:ilvl w:val="0"/>
          <w:numId w:val="5"/>
        </w:numPr>
        <w:spacing w:before="40" w:after="40"/>
        <w:jc w:val="both"/>
        <w:rPr/>
      </w:pPr>
      <w:r>
        <w:rPr>
          <w:rFonts w:eastAsia="Calibri" w:cs="Calibri"/>
          <w:color w:val="000000"/>
          <w:sz w:val="20"/>
          <w:szCs w:val="20"/>
        </w:rPr>
        <w:t>a rendszer működéséhez szükséges valamennyi információt (konfigurációk, hozzáférési adatok, SOP) a Megrendelő részére biztosítani</w:t>
      </w:r>
    </w:p>
    <w:p>
      <w:pPr>
        <w:pStyle w:val="Normal"/>
        <w:pBdr>
          <w:bottom w:val="single" w:sz="6" w:space="4" w:color="2E75B6"/>
        </w:pBdr>
        <w:spacing w:before="360" w:after="200"/>
        <w:rPr/>
      </w:pPr>
      <w:r>
        <w:rPr>
          <w:rFonts w:eastAsia="Calibri" w:cs="Calibri"/>
          <w:b/>
          <w:bCs/>
          <w:color w:val="1B4F72"/>
          <w:sz w:val="28"/>
          <w:szCs w:val="28"/>
        </w:rPr>
        <w:t>V. Záró Rendelkezések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12. Irányadó jog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Jelen szerződésre a magyar jog az irányadó, különösen a Polgári Törvénykönyvről szóló 2013. évi V. törvény (Ptk.) rendelkezései.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13. Vitarendezés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 Felek vitás kérdéseik rendezését elsődlegesen közvetlen egyeztetéssel kísérlik meg. Amennyiben az egyeztetés 30 napon belül nem vezet eredményre, a Felek a pertárgyérték alapján illetékes magyar bíróság kizárólagos illetékességét kötik ki.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14. Szerződés hatálya és módosítása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Jelen szerződés a mindkét Fél által történő aláírás napján lép hatályba. A szerződés módosítása kizárólag írásban, mindkét Fél aláírásával érvényes.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A szerződés mellékletei a szerződés elválaszthatatlan részét képezik.</w:t>
      </w:r>
    </w:p>
    <w:p>
      <w:pPr>
        <w:pStyle w:val="Normal"/>
        <w:spacing w:before="280" w:after="140"/>
        <w:rPr/>
      </w:pPr>
      <w:r>
        <w:rPr>
          <w:rFonts w:eastAsia="Calibri" w:cs="Calibri"/>
          <w:b/>
          <w:bCs/>
          <w:color w:val="2E75B6"/>
          <w:sz w:val="24"/>
          <w:szCs w:val="24"/>
        </w:rPr>
        <w:t>15. Mellékletek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Calibri" w:cs="Calibri"/>
          <w:sz w:val="20"/>
          <w:szCs w:val="20"/>
        </w:rPr>
        <w:t>1. sz. melléklet: Elfogadott ajánlat (ARM-2026-001/A) – részletes fázisleírással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Calibri" w:cs="Calibri"/>
          <w:sz w:val="20"/>
          <w:szCs w:val="20"/>
        </w:rPr>
        <w:t>2. sz. melléklet: Projekt hatóköre dokumentum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Calibri" w:cs="Calibri"/>
          <w:sz w:val="20"/>
          <w:szCs w:val="20"/>
        </w:rPr>
        <w:t>3. sz. melléklet: Megvalósítási terv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Calibri" w:cs="Calibri"/>
          <w:sz w:val="20"/>
          <w:szCs w:val="20"/>
        </w:rPr>
        <w:t>4. sz. melléklet: Szabványos Működési Eljárás (SOP) — átadás a projekt lezárásakor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Calibri" w:cs="Calibri"/>
          <w:sz w:val="20"/>
          <w:szCs w:val="20"/>
        </w:rPr>
        <w:t>5. sz. melléklet: Folyamatábra — átadás a projekt lezárásakor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30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Jelen szerződést a Felek, mint akaratukkal mindenben megegyezőt, elolvasás és értelmezés után jóváhagyólag írták alá.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0"/>
          <w:szCs w:val="20"/>
        </w:rPr>
        <w:t>Budapest, 2026. 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40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/>
          </w:tcPr>
          <w:p>
            <w:pPr>
              <w:pStyle w:val="Normal"/>
              <w:pBdr>
                <w:bottom w:val="single" w:sz="2" w:space="1" w:color="000000"/>
              </w:pBdr>
              <w:spacing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spacing w:before="120" w:after="4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 xml:space="preserve">Vincze Tamás </w:t>
            </w:r>
            <w:r>
              <w:rPr>
                <w:rFonts w:eastAsia="Calibri" w:cs="Calibri"/>
                <w:b/>
                <w:bCs/>
                <w:sz w:val="20"/>
                <w:szCs w:val="20"/>
              </w:rPr>
              <w:t>e.v. 62117328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666666"/>
                <w:sz w:val="18"/>
                <w:szCs w:val="18"/>
              </w:rPr>
              <w:t>Vállalkozó</w:t>
            </w:r>
          </w:p>
        </w:tc>
        <w:tc>
          <w:tcPr>
            <w:tcW w:w="4513" w:type="dxa"/>
            <w:tcBorders/>
            <w:tcMar>
              <w:start w:w="400" w:type="dxa"/>
              <w:end w:w="120" w:type="dxa"/>
            </w:tcMar>
          </w:tcPr>
          <w:p>
            <w:pPr>
              <w:pStyle w:val="Normal"/>
              <w:pBdr>
                <w:bottom w:val="single" w:sz="2" w:space="1" w:color="000000"/>
              </w:pBdr>
              <w:spacing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spacing w:before="120" w:after="4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___________________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666666"/>
                <w:sz w:val="18"/>
                <w:szCs w:val="18"/>
              </w:rPr>
              <w:t>Megrendelő (Armadillo Design Kft.)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2E75B6"/>
      </w:pBdr>
      <w:tabs>
        <w:tab w:val="clear" w:pos="720"/>
        <w:tab w:val="right" w:pos="9026" w:leader="none"/>
      </w:tabs>
      <w:rPr/>
    </w:pPr>
    <w:r>
      <w:rPr>
        <w:rFonts w:eastAsia="Calibri" w:cs="Calibri"/>
        <w:color w:val="666666"/>
        <w:sz w:val="16"/>
        <w:szCs w:val="16"/>
      </w:rPr>
      <w:t>Vincze Tamás – AI Operációs Architekt  |  vinczetamas.hu</w:t>
    </w:r>
    <w:r>
      <w:rPr>
        <w:rFonts w:eastAsia="Calibri" w:cs="Calibri"/>
        <w:sz w:val="16"/>
        <w:szCs w:val="16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2E75B6"/>
      </w:pBdr>
      <w:tabs>
        <w:tab w:val="clear" w:pos="720"/>
        <w:tab w:val="right" w:pos="9026" w:leader="none"/>
      </w:tabs>
      <w:rPr/>
    </w:pPr>
    <w:r>
      <w:rPr>
        <w:rFonts w:eastAsia="Calibri" w:cs="Calibri"/>
        <w:color w:val="666666"/>
        <w:sz w:val="16"/>
        <w:szCs w:val="16"/>
      </w:rPr>
      <w:t>Vincze Tamás – AI Operációs Architekt  |  vinczetamas.hu</w:t>
    </w:r>
    <w:r>
      <w:rPr>
        <w:rFonts w:eastAsia="Calibri" w:cs="Calibri"/>
        <w:sz w:val="16"/>
        <w:szCs w:val="16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i/>
        <w:iCs/>
        <w:color w:val="666666"/>
        <w:sz w:val="16"/>
        <w:szCs w:val="16"/>
      </w:rPr>
      <w:t>ARM-2026-001  |  Vállalkozási Szerződés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i/>
        <w:iCs/>
        <w:color w:val="666666"/>
        <w:sz w:val="16"/>
        <w:szCs w:val="16"/>
      </w:rPr>
      <w:t>ARM-2026-001  |  Vállalkozási Szerződés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5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hu-H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hu-H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hu-H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1556</TotalTime>
  <Application>LibreOffice/26.2.0.3$Windows_X86_64 LibreOffice_project/620$Build-3</Application>
  <AppVersion>15.0000</AppVersion>
  <Pages>7</Pages>
  <Words>2103</Words>
  <Characters>14540</Characters>
  <CharactersWithSpaces>16398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2026-03-25T22:14:19Z</dcterms:created>
  <dc:creator>Un-named</dc:creator>
  <dc:description/>
  <dc:language>hu-HU</dc:language>
  <cp:lastModifiedBy/>
  <dcterms:modified xsi:type="dcterms:W3CDTF">2026-04-02T09:35:55Z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