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DB4"/>
          <w:sz w:val="24"/>
          <w:szCs w:val="24"/>
        </w:rPr>
        <w:t xml:space="preserve">Project AIR / Vindicara</w:t>
      </w:r>
    </w:p>
    <w:p>
      <w:pPr>
        <w:spacing w:after="40"/>
      </w:pPr>
      <w:r>
        <w:rPr>
          <w:b/>
          <w:bCs/>
          <w:color w:val="13294B"/>
          <w:sz w:val="40"/>
          <w:szCs w:val="40"/>
        </w:rPr>
        <w:t xml:space="preserve">Pressure Test, Repositioning, and V2/V3 Roadmap</w:t>
      </w:r>
    </w:p>
    <w:p>
      <w:pPr>
        <w:spacing w:after="240"/>
      </w:pPr>
      <w:r>
        <w:rPr>
          <w:i/>
          <w:iCs/>
          <w:color w:val="595959"/>
          <w:sz w:val="19"/>
          <w:szCs w:val="19"/>
        </w:rPr>
        <w:t xml:space="preserve">Prepared for Kev  |  June 1, 2026  |  Confidential strategy memo</w:t>
      </w:r>
    </w:p>
    <w:p>
      <w:pPr>
        <w:pBdr>
          <w:bottom w:val="single" w:color="2E6DB4" w:sz="8" w:space="1"/>
        </w:pBdr>
        <w:spacing w:after="200"/>
      </w:pPr>
    </w:p>
    <w:p>
      <w:pPr>
        <w:pStyle w:val="Heading1"/>
      </w:pPr>
      <w:r>
        <w:t xml:space="preserve">Bottom line up front</w:t>
      </w:r>
    </w:p>
    <w:p>
      <w:pPr>
        <w:spacing w:after="140" w:line="276"/>
      </w:pPr>
      <w:r>
        <w:rPr>
          <w:b/>
          <w:bCs/>
        </w:rPr>
        <w:t xml:space="preserve">Your headline positioning is already commoditized. </w:t>
      </w:r>
      <w:r>
        <w:t xml:space="preserve">On April 2, 2026, Microsoft shipped the Agent Governance Toolkit: open source, MIT, free, multi-language, claiming 10/10 OWASP Agentic coverage with sub-millisecond policy enforcement and native hooks into LangChain, CrewAI, Google ADK, and the Microsoft Agent Framework. That is your Layer 0 (detection) plus Layer 3 (containment) given away by the largest distributor on earth.</w:t>
      </w:r>
    </w:p>
    <w:p>
      <w:pPr>
        <w:spacing w:after="140" w:line="276"/>
      </w:pPr>
      <w:r>
        <w:t xml:space="preserve">The detection-and-prevention market is now a red ocean: Microsoft free at the bottom, with Zenity, Lakera, Harmonic, Palo Alto Prisma AIRS, Straiker, and the freshly funded Capsule Security ($7M seed) crowding runtime control. </w:t>
      </w:r>
      <w:r>
        <w:rPr>
          <w:b/>
          <w:bCs/>
        </w:rPr>
        <w:t xml:space="preserve">"We cover the OWASP Top 10" is table stakes, not a moat.</w:t>
      </w:r>
    </w:p>
    <w:p>
      <w:pPr>
        <w:spacing w:after="140" w:line="276"/>
      </w:pPr>
      <w:r>
        <w:rPr>
          <w:b/>
          <w:bCs/>
        </w:rPr>
        <w:t xml:space="preserve">The win: </w:t>
      </w:r>
      <w:r>
        <w:t xml:space="preserve">stop competing on detection and own the </w:t>
      </w:r>
      <w:r>
        <w:rPr>
          <w:b/>
          <w:bCs/>
        </w:rPr>
        <w:t xml:space="preserve">evidence and accountability layer</w:t>
      </w:r>
      <w:r>
        <w:t xml:space="preserve">. Nobody credibly answers "how do I prove what the agent did, to a regulator or a court, without trusting the vendor?" That is exactly what AIR's Layer 1 (public anchoring), Structural Verification, and Layer 4 (cross-agent custody) already do, and it is the one property a platform giant is structurally disincentivized to build because their model is lock-in.</w:t>
      </w:r>
    </w:p>
    <w:p>
      <w:pPr>
        <w:spacing w:after="140" w:line="276"/>
      </w:pPr>
      <w:r>
        <w:rPr>
          <w:b/>
          <w:bCs/>
        </w:rPr>
        <w:t xml:space="preserve">The forcing function: </w:t>
      </w:r>
      <w:r>
        <w:t xml:space="preserve">EU AI Act Article 12 record-keeping plus full Annex III enforcement lands </w:t>
      </w:r>
      <w:r>
        <w:rPr>
          <w:b/>
          <w:bCs/>
        </w:rPr>
        <w:t xml:space="preserve">August 2, 2026 (two months out)</w:t>
      </w:r>
      <w:r>
        <w:t xml:space="preserve">. Automatic, lifetime, tamper-evident logs for high-risk AI. Penalties up to EUR 15M or 3% of worldwide turnover. 72-hour incident reporting. No finalized technical standard yet, and roughly a third of organizations have no evidence-quality audit trail. A free detection toolkit does not solve this. AIR can.</w:t>
      </w:r>
    </w:p>
    <w:p>
      <w:pPr>
        <w:pStyle w:val="Heading1"/>
      </w:pPr>
      <w:r>
        <w:t xml:space="preserve">The competitive reality</w:t>
      </w:r>
    </w:p>
    <w:p>
      <w:pPr>
        <w:pStyle w:val="Heading2"/>
      </w:pPr>
      <w:r>
        <w:t xml:space="preserve">What the giants now give away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Microsoft Agent Governance Toolkit (Apr 2026): </w:t>
      </w:r>
      <w:r>
        <w:t xml:space="preserve">MIT, free, Python/TS/Rust/Go/.NET, "10/10 OWASP Agentic," deterministic sub-ms policy, native framework hooks, Azure distribution. Directly overlaps AIR Layer 0 + Layer 3.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Palo Alto Prisma AIRS: </w:t>
      </w:r>
      <w:r>
        <w:t xml:space="preserve">unifies discovery, identity, datapath control, supply chain, runtime behavior. The enterprise-suite play.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Lakera, Harmonic, Zenity, Straiker, Capsule: </w:t>
      </w:r>
      <w:r>
        <w:t xml:space="preserve">runtime control and MCP-gateway enforcement, well funded, security-buyer native.</w:t>
      </w:r>
    </w:p>
    <w:p>
      <w:pPr>
        <w:spacing w:after="140" w:line="276"/>
      </w:pPr>
      <w:r>
        <w:t xml:space="preserve">Implication: leading with "16 detectors, 10-of-10 OWASP, Auth0 containment" now reads as "the same coverage Microsoft gives away, but paid." In diligence that is a liability, not a selling point.</w:t>
      </w:r>
    </w:p>
    <w:p>
      <w:pPr>
        <w:pStyle w:val="Heading2"/>
      </w:pPr>
      <w:r>
        <w:t xml:space="preserve">Where AIR is genuinely differentiated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External trust anchoring (Layer 1): </w:t>
      </w:r>
      <w:r>
        <w:t xml:space="preserve">RFC 3161 + Sigstore Rekor public inclusion proofs, verifiable with zero Vindicara API calls (verify-public). Public, vendor-independent verifiability is the moat: giants will not build it because it removes their lock-in.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Structural Verification: </w:t>
      </w:r>
      <w:r>
        <w:t xml:space="preserve">symbolic proof that behavior served declared intent. This is post-hoc evidence, a different job from a guardrail.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Cross-agent chain of custody (Layer 4): </w:t>
      </w:r>
      <w:r>
        <w:t xml:space="preserve">PTID propagation, handoff/acceptance pairing, Rekor counter-attestation with hashed identifiers. The rarest claim in the market as A2A/MCP delegation scales.</w:t>
      </w:r>
    </w:p>
    <w:p>
      <w:pPr>
        <w:spacing w:after="140" w:line="276"/>
      </w:pPr>
      <w:r>
        <w:rPr>
          <w:b/>
          <w:bCs/>
        </w:rPr>
        <w:t xml:space="preserve">Caveat (important): </w:t>
      </w:r>
      <w:r>
        <w:t xml:space="preserve">you are not alone in the evidence space. VeritasChain CAP-SRP, TierZero, Kiteworks, truescreen, and academic protocols (OpenKedge's Intent-to-Execution Evidence Chain, HDP, AIP) are all forming here. It is early and fragmented, with no dominant player. The window is real but not infinite.</w:t>
      </w:r>
    </w:p>
    <w:p>
      <w:pPr>
        <w:pStyle w:val="Heading2"/>
      </w:pPr>
      <w:r>
        <w:t xml:space="preserve">Competitive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80"/>
        <w:gridCol w:w="1180"/>
        <w:gridCol w:w="1180"/>
        <w:gridCol w:w="1180"/>
        <w:gridCol w:w="11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MS AGT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Palo Alto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Lakera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Forensic startups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OWASP detection coverage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 16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 10/10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Runtime prevention / policy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 L3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Tamper-evident signed chain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Public, vendor-independent verify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Cross-agent chain of custody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 alpha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Partial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Structural intent verification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EU AI Act Art.12 evidence fit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595959"/>
                <w:sz w:val="17"/>
                <w:szCs w:val="17"/>
              </w:rPr>
              <w:t xml:space="preserve">Partial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Distribution / brand reach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 huge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E7A46"/>
                <w:sz w:val="17"/>
                <w:szCs w:val="17"/>
              </w:rPr>
              <w:t xml:space="preserve">Yes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B23B3B"/>
                <w:sz w:val="17"/>
                <w:szCs w:val="17"/>
              </w:rPr>
              <w:t xml:space="preserve">No</w:t>
            </w:r>
          </w:p>
        </w:tc>
      </w:tr>
    </w:tbl>
    <w:p>
      <w:pPr>
        <w:spacing w:after="160" w:before="100"/>
      </w:pPr>
      <w:r>
        <w:rPr>
          <w:i/>
          <w:iCs/>
          <w:color w:val="595959"/>
          <w:sz w:val="16"/>
          <w:szCs w:val="16"/>
        </w:rPr>
        <w:t xml:space="preserve">Forensic startups = VeritasChain / TierZero / Kiteworks / truescreen and emerging IEEC/HDP/AIP protocols. AIR's defensible row cluster is the middle four; its weak row is distribution.</w:t>
      </w:r>
    </w:p>
    <w:p>
      <w:pPr>
        <w:pStyle w:val="Heading1"/>
      </w:pPr>
      <w:r>
        <w:t xml:space="preserve">The repositioning</w:t>
      </w:r>
    </w:p>
    <w:p>
      <w:pPr>
        <w:spacing w:after="140" w:line="276"/>
      </w:pPr>
      <w:r>
        <w:rPr>
          <w:b/>
          <w:bCs/>
        </w:rPr>
        <w:t xml:space="preserve">From: </w:t>
      </w:r>
      <w:r>
        <w:t xml:space="preserve">"Agent security platform: 16 detectors covering the OWASP Top 10 with Auth0 containment."</w:t>
      </w:r>
    </w:p>
    <w:p>
      <w:pPr>
        <w:spacing w:after="140" w:line="276"/>
      </w:pPr>
      <w:r>
        <w:rPr>
          <w:b/>
          <w:bCs/>
        </w:rPr>
        <w:t xml:space="preserve">To: </w:t>
      </w:r>
      <w:r>
        <w:t xml:space="preserve">"The evidence layer for agentic AI. AIR is not how you stop the agent (everyone does that now). It is how you prove what happened, to a regulator, an auditor, or opposing counsel, without them trusting you."</w:t>
      </w:r>
    </w:p>
    <w:p>
      <w:pPr>
        <w:spacing w:after="140" w:line="276"/>
      </w:pPr>
      <w:r>
        <w:t xml:space="preserve">Frame it as the flight data recorder for AI agents, not another firewall. Concede Layer 0 to Microsoft and integrate with it: ingest from the Microsoft Agent Governance Toolkit or any OWASP detector, then sit above it as the tamper-evident, publicly verifiable system of record. You stop competing with free and start consuming it.</w:t>
      </w:r>
    </w:p>
    <w:p>
      <w:pPr>
        <w:pStyle w:val="Heading1"/>
      </w:pPr>
      <w:r>
        <w:t xml:space="preserve">Must do now (next 14 days, before HN / HF0)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b/>
          <w:bCs/>
        </w:rPr>
        <w:t xml:space="preserve">Rewrite the top-line narrative. </w:t>
      </w:r>
      <w:r>
        <w:t xml:space="preserve">Stop leading with detector counts. Lead with evidence + public verifiability + EU AI Act Article 12. Update README, site hero, pitch, and the HN launch post to the "evidence layer" line.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b/>
          <w:bCs/>
        </w:rPr>
        <w:t xml:space="preserve">Name and claim the category. </w:t>
      </w:r>
      <w:r>
        <w:t xml:space="preserve">Pick the term (e.g., Agent Evidence, AI Accountability Layer, Agent Flight Recorder) and use it consistently everywhere. Category creators get cited; feature competitors get compared.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b/>
          <w:bCs/>
        </w:rPr>
        <w:t xml:space="preserve">Close the macOS durability caveat. </w:t>
      </w:r>
      <w:r>
        <w:t xml:space="preserve">os.fsync is not F_FULLFSYNC; the docs admit a possible silent record drop on crash. For an evidence product, durability IS the product. Wire F_FULLFSYNC or scope claims to durability-guaranteed deployments. This is the first thing diligence will find.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b/>
          <w:bCs/>
        </w:rPr>
        <w:t xml:space="preserve">Reposition vs Microsoft as "integrate, not compete." </w:t>
      </w:r>
      <w:r>
        <w:t xml:space="preserve">Ship/announce an ingestion path from the Microsoft AGT (and generic OWASP detectors) into the AIR signed chain. Turn the threat into your top-of-funnel.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b/>
          <w:bCs/>
        </w:rPr>
        <w:t xml:space="preserve">Repoint outreach at the compliance/legal buyer. </w:t>
      </w:r>
      <w:r>
        <w:t xml:space="preserve">Target EU-exposed, fintech, and healthtech orgs facing Aug 2. Sell "Article 12 evidence in a box" and "survive a 72-hour incident report," not "another guardrail." Goal: 1+ LOI from a regulated company (also your pre-raise metric).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b/>
          <w:bCs/>
        </w:rPr>
        <w:t xml:space="preserve">Scope the external crypto + forensic audit now. </w:t>
      </w:r>
      <w:r>
        <w:t xml:space="preserve">"Court-admissible" cannot be self-asserted. It is already in your use-of-funds; start scoping so the claim is defensible at pitch, with a NIST / ISO 24970 / prEN 18229-1 mapping.</w:t>
      </w:r>
    </w:p>
    <w:p>
      <w:pPr>
        <w:pStyle w:val="Heading1"/>
      </w:pPr>
      <w:r>
        <w:t xml:space="preserve">The roadmap: what exists vs what should change</w:t>
      </w:r>
    </w:p>
    <w:p>
      <w:pPr>
        <w:pStyle w:val="Heading2"/>
      </w:pPr>
      <w:r>
        <w:t xml:space="preserve">What you already have written down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GTM (docs/SPEC.md): </w:t>
      </w:r>
      <w:r>
        <w:t xml:space="preserve">Phase 2 Team tier ($1,499/mo) ~late June; Phase 3 AIR Cloud GA + SOC 2 Type I ~Nov 2026; Phase 4 Enterprise + Series seed ready ~May 2027.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Pricing: </w:t>
      </w:r>
      <w:r>
        <w:t xml:space="preserve">OSS free MIT; Team $1,499/mo; Enterprise $50K-$250K ACV (branded regulator PDFs, insurance carrier integrations, on-prem/air-gapped).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Engineering next (CLAUDE.md): </w:t>
      </w:r>
      <w:r>
        <w:t xml:space="preserve">Layer 4 Wave 2 cross-tenant federation; v1.5 enterprise federation + Okta/Entra/Spiffe adapters; Layer 1 v0.4.1 key rotation + transparency log; learned-baseline ASI10; full ASI04 supply chain; CrewAI/AutoGen/A2A integrations.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Cadence: </w:t>
      </w:r>
      <w:r>
        <w:t xml:space="preserve">currently at 1.0.1 (May 25), shipped Layers 1-5 in ~6 weeks. Fast. Fundraise: pre-seed $500K SAFE at $5M cap.</w:t>
      </w:r>
    </w:p>
    <w:p>
      <w:pPr>
        <w:spacing w:after="140" w:line="276"/>
      </w:pPr>
      <w:r>
        <w:rPr>
          <w:b/>
          <w:bCs/>
        </w:rPr>
        <w:t xml:space="preserve">Verdict: </w:t>
      </w:r>
      <w:r>
        <w:t xml:space="preserve">the engineering roadmap is solid but sequenced around the now-commoditized detection/cloud story. Re-sequence it around evidence. Below is that re-sequencing, mapped onto your existing items.</w:t>
      </w:r>
    </w:p>
    <w:p>
      <w:pPr>
        <w:pStyle w:val="Heading2"/>
      </w:pPr>
      <w:r>
        <w:t xml:space="preserve">V2: the Evidence Layer release (target Q3 2026, anchored to Aug 2)</w:t>
      </w:r>
    </w:p>
    <w:p>
      <w:pPr>
        <w:spacing w:after="140" w:line="276"/>
      </w:pPr>
      <w:r>
        <w:rPr>
          <w:i/>
          <w:iCs/>
        </w:rPr>
        <w:t xml:space="preserve">Theme: become the Article 12 / court-admissible system of record. This is the release that creates the category and gives the raise a story.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Productize the public verifier as the hero feature. </w:t>
      </w:r>
      <w:r>
        <w:t xml:space="preserve">Standalone "anyone can verify" portal + hosted verify service over verify-public. The thing giants will not build.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Article 12 evidence pack. </w:t>
      </w:r>
      <w:r>
        <w:t xml:space="preserve">Annex III mapping, automatic lifetime logging conformance, retention, 72-hour incident export, branded regulator PDFs (pull forward from Enterprise tier).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Layer 4 Wave 2 to GA, not alpha. </w:t>
      </w:r>
      <w:r>
        <w:t xml:space="preserve">Cross-tenant federation via Fulcio + OIDC discovery, out of the single-tenant flag. This is the real moat and it must ship.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Durability hardening. </w:t>
      </w:r>
      <w:r>
        <w:t xml:space="preserve">F_FULLFSYNC on macOS, Linux durability benchmarks, remove every "may silently drop" caveat.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External audit + legal sign-off. </w:t>
      </w:r>
      <w:r>
        <w:t xml:space="preserve">Third-party crypto/forensic review; "court-admissible" backed by an expert; standards crosswalk.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Standards alignment. </w:t>
      </w:r>
      <w:r>
        <w:t xml:space="preserve">Engage the IEEC/HDP/AIP authors; publish an AgDR-to-emerging-standard crosswalk; position AIR as the reference implementation rather than a proprietary format.</w:t>
      </w:r>
    </w:p>
    <w:p>
      <w:pPr>
        <w:pStyle w:val="Heading2"/>
      </w:pPr>
      <w:r>
        <w:t xml:space="preserve">V3: the Standard + Ecosystem release (2027, anchored to Enterprise + Series seed)</w:t>
      </w:r>
    </w:p>
    <w:p>
      <w:pPr>
        <w:spacing w:after="140" w:line="276"/>
      </w:pPr>
      <w:r>
        <w:rPr>
          <w:i/>
          <w:iCs/>
        </w:rPr>
        <w:t xml:space="preserve">Theme: own the standard and the liability economics, not just the product.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Be the reference implementation / co-author </w:t>
      </w:r>
      <w:r>
        <w:t xml:space="preserve">of the open agent-evidence standard. Own the spec, monetize the infrastructure (the Snyk/Sigstore pattern).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Insurance / liability program. </w:t>
      </w:r>
      <w:r>
        <w:t xml:space="preserve">Turn the "insurance carrier integrations" line into a real program: evidence chains that qualify for or reduce AI liability premiums. No security vendor occupies this. It converts AIR into a line item buyers are required to have.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Cross-agent custody at ecosystem scale. </w:t>
      </w:r>
      <w:r>
        <w:t xml:space="preserve">Federated proof servers / registries for non-human identities; A2A capture as a first-class surface, not an SDK wrapper.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Enrichment detectors, de-emphasized. </w:t>
      </w:r>
      <w:r>
        <w:t xml:space="preserve">Learned-baseline ASI10 and full ASI04 ship as enrichment on top of the evidence chain, never as the headline.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AIR Cloud GA + SOC 2 Type II, </w:t>
      </w:r>
      <w:r>
        <w:t xml:space="preserve">multi-system compliance aggregation, on-prem/air-gapped for govtech and regulated fintech/healthtech.</w:t>
      </w:r>
    </w:p>
    <w:p>
      <w:pPr>
        <w:pStyle w:val="Heading1"/>
      </w:pPr>
      <w:r>
        <w:t xml:space="preserve">Technical credibility risks to close before diligence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Standards risk (highest). </w:t>
      </w:r>
      <w:r>
        <w:t xml:space="preserve">AgDR / "Signed Intent Capsule" is proprietary while IEEC/HDP/AIP open standards form fast. Align or co-author, or risk being the format the market routes around.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Layer 4 maturity gap. </w:t>
      </w:r>
      <w:r>
        <w:t xml:space="preserve">Your most differentiated claim is also your least mature: alpha, single-tenant, Auth0-only, demonstrated once. The pitch-vs-alpha gap is the first thing a sharp CTO finds. Wave 2 is the moat and is unshipped.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Durability. </w:t>
      </w:r>
      <w:r>
        <w:t xml:space="preserve">Covered above. For evidence positioning this is existential, not a footnote.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"Court-admissible" and post-quantum claims. </w:t>
      </w:r>
      <w:r>
        <w:t xml:space="preserve">Both need external backing. ML-DSA-65 is "experimental opt-in"; for a chain meant to survive a 6+ year audit horizon, make PQ real or do not lean on it.</w:t>
      </w:r>
    </w:p>
    <w:p>
      <w:pPr>
        <w:pStyle w:val="Heading1"/>
      </w:pPr>
      <w:r>
        <w:t xml:space="preserve">Decisions for you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Category name: lock the term you want to own (Agent Evidence / AI Accountability Layer / Agent Flight Recorder / other).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Microsoft posture: confirm "integrate with the AGT" as the public stance vs head-to-head.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Standards: co-author/align with IEEC or HDP authors now, or hold AgDR proprietary and accept the routing-around risk?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t xml:space="preserve">Wedge vertical for the first LOI: EU high-risk deployers, fintech, or healthtech (you already have the healthcare demo)?</w:t>
      </w:r>
    </w:p>
    <w:p>
      <w:pPr>
        <w:pBdr>
          <w:top w:val="single" w:color="CCCCCC" w:sz="6" w:space="6"/>
        </w:pBdr>
        <w:spacing w:before="240"/>
      </w:pPr>
      <w:r>
        <w:rPr>
          <w:i/>
          <w:iCs/>
          <w:color w:val="595959"/>
          <w:sz w:val="15"/>
          <w:szCs w:val="15"/>
        </w:rPr>
        <w:t xml:space="preserve">Sources: Microsoft Agent Governance Toolkit (GitHub, opensource.microsoft.com, InfoWorld); OWASP Top 10 for Agentic Applications 2026; EU AI Act Article 12 (artificialintelligenceact.eu, Help Net Security); Kiteworks tamper-evident audit research; VeritasChain CAP-SRP; HDP and AIP protocols (arXiv); internal docs/SPEC.md, CLAUDE.md, CHANGELOG.md.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Vindicara / Project AIR  |  Confidential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329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B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2026-06-02T02:39:27.750Z</dcterms:created>
  <dcterms:modified xsi:type="dcterms:W3CDTF">2026-06-02T02:39:27.750Z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