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FB549" w14:textId="77777777" w:rsidR="00B86A44" w:rsidRPr="000E723A" w:rsidRDefault="00A62B99">
      <w:pPr>
        <w:pStyle w:val="Title"/>
        <w:rPr>
          <w:bCs/>
          <w:szCs w:val="22"/>
        </w:rPr>
      </w:pPr>
      <w:r>
        <w:rPr>
          <w:bCs/>
          <w:szCs w:val="22"/>
        </w:rPr>
        <w:t>PIXELRUSH STUDIOS – Broadlaunch Mobile MOBILE APPLICATION LICENSING AGREEMENT</w:t>
      </w:r>
    </w:p>
    <w:p w14:paraId="7E0A94B9" w14:textId="77777777" w:rsidR="00B86A44" w:rsidRPr="000E723A" w:rsidRDefault="00B86A44">
      <w:pPr>
        <w:pStyle w:val="BodyText"/>
        <w:tabs>
          <w:tab w:val="clear" w:pos="2340"/>
          <w:tab w:val="clear" w:pos="8010"/>
          <w:tab w:val="clear" w:pos="8640"/>
        </w:tabs>
        <w:jc w:val="left"/>
        <w:rPr>
          <w:szCs w:val="22"/>
        </w:rPr>
      </w:pPr>
    </w:p>
    <w:p w14:paraId="76F869ED" w14:textId="77777777" w:rsidR="00453CF0" w:rsidRPr="000E723A" w:rsidRDefault="00B86A44" w:rsidP="004B34E9">
      <w:pPr>
        <w:pStyle w:val="BodyText"/>
        <w:tabs>
          <w:tab w:val="clear" w:pos="2340"/>
          <w:tab w:val="clear" w:pos="8010"/>
          <w:tab w:val="clear" w:pos="8640"/>
        </w:tabs>
        <w:rPr>
          <w:szCs w:val="22"/>
          <w:lang w:val="en-GB"/>
        </w:rPr>
      </w:pPr>
      <w:r>
        <w:rPr>
          <w:szCs w:val="22"/>
        </w:rPr>
        <w:t>This licensing agreement (“</w:t>
      </w:r>
      <w:r>
        <w:rPr>
          <w:b/>
          <w:szCs w:val="22"/>
        </w:rPr>
        <w:t>Agreement</w:t>
      </w:r>
      <w:r>
        <w:rPr>
          <w:szCs w:val="22"/>
        </w:rPr>
        <w:t xml:space="preserve">”) is entered into as of </w:t>
      </w:r>
      <w:r>
        <w:rPr>
          <w:b/>
          <w:szCs w:val="22"/>
        </w:rPr>
        <w:t>October 15, 2024</w:t>
      </w:r>
      <w:r>
        <w:rPr>
          <w:szCs w:val="22"/>
        </w:rPr>
        <w:t xml:space="preserve"> (“</w:t>
      </w:r>
      <w:r>
        <w:rPr>
          <w:b/>
          <w:szCs w:val="22"/>
        </w:rPr>
        <w:t>Effective Date</w:t>
      </w:r>
      <w:r>
        <w:rPr>
          <w:szCs w:val="22"/>
        </w:rPr>
        <w:t xml:space="preserve">”), by and between </w:t>
      </w:r>
      <w:r>
        <w:rPr>
          <w:b/>
          <w:smallCaps/>
          <w:szCs w:val="22"/>
        </w:rPr>
        <w:t xml:space="preserve">PixelRush Studios, Inc. </w:t>
      </w:r>
      <w:r>
        <w:rPr>
          <w:szCs w:val="22"/>
        </w:rPr>
        <w:t>(“</w:t>
      </w:r>
      <w:r>
        <w:rPr>
          <w:b/>
          <w:szCs w:val="22"/>
        </w:rPr>
        <w:t>Licensor</w:t>
      </w:r>
      <w:r>
        <w:rPr>
          <w:szCs w:val="22"/>
        </w:rPr>
        <w:t>”) a Delaware corporation with offices at</w:t>
      </w:r>
      <w:r>
        <w:rPr>
          <w:color w:val="000000"/>
          <w:szCs w:val="22"/>
        </w:rPr>
        <w:t xml:space="preserve"> 350 North Michigan Avenue, Suite 2100, Chicago, IL 60601</w:t>
      </w:r>
      <w:r>
        <w:rPr>
          <w:szCs w:val="22"/>
        </w:rPr>
        <w:t xml:space="preserve">, and </w:t>
      </w:r>
      <w:r>
        <w:rPr>
          <w:b/>
          <w:smallCaps/>
          <w:szCs w:val="22"/>
        </w:rPr>
        <w:t xml:space="preserve">Broadlaunch Mobile </w:t>
      </w:r>
      <w:r>
        <w:rPr>
          <w:szCs w:val="22"/>
        </w:rPr>
        <w:t>(“</w:t>
      </w:r>
      <w:r>
        <w:rPr>
          <w:b/>
          <w:szCs w:val="22"/>
        </w:rPr>
        <w:t>Publisher</w:t>
      </w:r>
      <w:r>
        <w:rPr>
          <w:szCs w:val="22"/>
        </w:rPr>
        <w:t xml:space="preserve">”),  a New Jersey corporation with offices at  </w:t>
      </w:r>
      <w:r>
        <w:rPr>
          <w:szCs w:val="22"/>
          <w:lang w:val="en-GB"/>
        </w:rPr>
        <w:t>14 Birchwood Place, Livingston, NJ 07039.</w:t>
      </w:r>
    </w:p>
    <w:p w14:paraId="33049884" w14:textId="77777777" w:rsidR="00453CF0" w:rsidRPr="000E723A" w:rsidRDefault="00453CF0">
      <w:pPr>
        <w:pStyle w:val="BodyText"/>
        <w:tabs>
          <w:tab w:val="clear" w:pos="2340"/>
          <w:tab w:val="clear" w:pos="8010"/>
          <w:tab w:val="clear" w:pos="8640"/>
        </w:tabs>
        <w:rPr>
          <w:szCs w:val="22"/>
        </w:rPr>
      </w:pPr>
    </w:p>
    <w:p w14:paraId="525BDDB0" w14:textId="77777777" w:rsidR="00B86A44" w:rsidRPr="000E723A" w:rsidRDefault="00B86A44">
      <w:pPr>
        <w:pStyle w:val="BodyText"/>
        <w:tabs>
          <w:tab w:val="clear" w:pos="2340"/>
          <w:tab w:val="clear" w:pos="8010"/>
          <w:tab w:val="clear" w:pos="8640"/>
        </w:tabs>
        <w:rPr>
          <w:szCs w:val="22"/>
        </w:rPr>
      </w:pPr>
      <w:r>
        <w:rPr>
          <w:b/>
          <w:szCs w:val="22"/>
        </w:rPr>
        <w:t>WHEREAS</w:t>
      </w:r>
      <w:r>
        <w:rPr>
          <w:szCs w:val="22"/>
        </w:rPr>
        <w:t>, Licensor owns or controls rights to certain proprietary video games, including related brands and other materials (the “</w:t>
      </w:r>
      <w:r>
        <w:rPr>
          <w:b/>
          <w:szCs w:val="22"/>
        </w:rPr>
        <w:t>Licensor Title</w:t>
      </w:r>
      <w:r>
        <w:rPr>
          <w:szCs w:val="22"/>
        </w:rPr>
        <w:t xml:space="preserve">” as defined below); and </w:t>
      </w:r>
    </w:p>
    <w:p w14:paraId="29548BB2" w14:textId="77777777" w:rsidR="00B86A44" w:rsidRPr="000E723A" w:rsidRDefault="00B86A44">
      <w:pPr>
        <w:pStyle w:val="BodyText"/>
        <w:tabs>
          <w:tab w:val="clear" w:pos="2340"/>
          <w:tab w:val="clear" w:pos="8010"/>
          <w:tab w:val="clear" w:pos="8640"/>
        </w:tabs>
        <w:rPr>
          <w:szCs w:val="22"/>
        </w:rPr>
      </w:pPr>
    </w:p>
    <w:p w14:paraId="2B7FEE94" w14:textId="77777777" w:rsidR="00B86A44" w:rsidRPr="000E723A" w:rsidRDefault="00B86A44">
      <w:pPr>
        <w:spacing w:after="240"/>
        <w:jc w:val="both"/>
        <w:rPr>
          <w:sz w:val="22"/>
          <w:szCs w:val="22"/>
        </w:rPr>
      </w:pPr>
      <w:r>
        <w:rPr>
          <w:b/>
          <w:sz w:val="22"/>
          <w:szCs w:val="22"/>
        </w:rPr>
        <w:t>WHEREAS</w:t>
      </w:r>
      <w:r>
        <w:rPr>
          <w:sz w:val="22"/>
          <w:szCs w:val="22"/>
        </w:rPr>
        <w:t>, Publisher is engaged in the business of, among other things, developing and producing interactive Mobile Application (defined below) for wireless communication devices, such as mobile telephones; and</w:t>
      </w:r>
    </w:p>
    <w:p w14:paraId="65F05F1B" w14:textId="77777777" w:rsidR="00B86A44" w:rsidRDefault="00B86A44">
      <w:pPr>
        <w:spacing w:after="240"/>
        <w:jc w:val="both"/>
        <w:rPr>
          <w:color w:val="000000"/>
          <w:sz w:val="22"/>
          <w:szCs w:val="22"/>
        </w:rPr>
      </w:pPr>
      <w:r>
        <w:rPr>
          <w:b/>
          <w:sz w:val="22"/>
          <w:szCs w:val="22"/>
        </w:rPr>
        <w:t>WHEREAS</w:t>
      </w:r>
      <w:r>
        <w:rPr>
          <w:sz w:val="22"/>
          <w:szCs w:val="22"/>
        </w:rPr>
        <w:t xml:space="preserve">, Publisher desires to obtain a license from Licensor for the Licensor Title (defined below) and agrees to develop one Mobile Application version of the Licensor Title to be operated on mobile/cellular telephones and further to publish, license, promote, distribute and sell such Mobile Application throughout the Territory (defined below) to </w:t>
      </w:r>
      <w:r>
        <w:rPr>
          <w:color w:val="000000"/>
          <w:sz w:val="22"/>
          <w:szCs w:val="22"/>
        </w:rPr>
        <w:t>individual end users by single sale and subscription, through carrier service providers, handset manufacturers, retail cards, Internet distribution, or premium SMS delivery.</w:t>
      </w:r>
    </w:p>
    <w:p w14:paraId="517D899E" w14:textId="77777777" w:rsidR="000E723A" w:rsidRPr="000E723A" w:rsidRDefault="000E723A" w:rsidP="000E723A">
      <w:pPr>
        <w:keepNext/>
        <w:spacing w:before="240" w:after="240"/>
        <w:jc w:val="both"/>
        <w:rPr>
          <w:sz w:val="22"/>
          <w:szCs w:val="22"/>
        </w:rPr>
      </w:pPr>
      <w:r>
        <w:rPr>
          <w:b/>
          <w:sz w:val="22"/>
          <w:szCs w:val="22"/>
        </w:rPr>
        <w:t>NOW, THEREFORE</w:t>
      </w:r>
      <w:r>
        <w:rPr>
          <w:sz w:val="22"/>
          <w:szCs w:val="22"/>
        </w:rPr>
        <w:t>, the parties do hereby agree as follows:</w:t>
      </w:r>
    </w:p>
    <w:p w14:paraId="58154112" w14:textId="77777777" w:rsidR="00B86A44" w:rsidRPr="000E723A" w:rsidRDefault="00FE3765">
      <w:pPr>
        <w:pStyle w:val="PlainText"/>
        <w:jc w:val="both"/>
        <w:rPr>
          <w:rFonts w:ascii="Times New Roman" w:hAnsi="Times New Roman" w:cs="Times New Roman"/>
          <w:bCs/>
          <w:sz w:val="22"/>
          <w:szCs w:val="22"/>
          <w:u w:val="single"/>
        </w:rPr>
      </w:pPr>
      <w:r>
        <w:rPr>
          <w:rFonts w:ascii="Times New Roman" w:hAnsi="Times New Roman" w:cs="Times New Roman"/>
          <w:b/>
          <w:sz w:val="22"/>
          <w:szCs w:val="22"/>
        </w:rPr>
        <w:t>1.</w:t>
      </w:r>
      <w:r>
        <w:rPr>
          <w:rFonts w:ascii="Times New Roman" w:hAnsi="Times New Roman" w:cs="Times New Roman"/>
          <w:b/>
          <w:sz w:val="22"/>
          <w:szCs w:val="22"/>
        </w:rPr>
        <w:tab/>
      </w:r>
      <w:r>
        <w:rPr>
          <w:rFonts w:ascii="Times New Roman" w:hAnsi="Times New Roman" w:cs="Times New Roman"/>
          <w:b/>
          <w:sz w:val="22"/>
          <w:szCs w:val="22"/>
          <w:u w:val="single"/>
        </w:rPr>
        <w:t>Definitions</w:t>
      </w:r>
    </w:p>
    <w:p w14:paraId="426E451A" w14:textId="77777777" w:rsidR="00B86A44" w:rsidRPr="000E723A" w:rsidRDefault="00B86A44">
      <w:pPr>
        <w:pStyle w:val="PlainText"/>
        <w:jc w:val="both"/>
        <w:rPr>
          <w:rFonts w:ascii="Times New Roman" w:hAnsi="Times New Roman" w:cs="Times New Roman"/>
          <w:b/>
          <w:bCs/>
          <w:sz w:val="22"/>
          <w:szCs w:val="22"/>
        </w:rPr>
      </w:pPr>
    </w:p>
    <w:p w14:paraId="1B5DD010" w14:textId="77777777" w:rsidR="000E723A" w:rsidRDefault="008F491B" w:rsidP="0007082D">
      <w:pPr>
        <w:numPr>
          <w:ilvl w:val="1"/>
          <w:numId w:val="2"/>
        </w:numPr>
        <w:tabs>
          <w:tab w:val="clear" w:pos="360"/>
          <w:tab w:val="num" w:pos="720"/>
        </w:tabs>
        <w:spacing w:after="120"/>
        <w:ind w:left="720" w:hanging="720"/>
        <w:jc w:val="both"/>
        <w:rPr>
          <w:color w:val="000000"/>
          <w:sz w:val="22"/>
          <w:szCs w:val="22"/>
        </w:rPr>
      </w:pPr>
      <w:r>
        <w:rPr>
          <w:b/>
          <w:sz w:val="22"/>
          <w:szCs w:val="22"/>
        </w:rPr>
        <w:t>Distribution Channels</w:t>
      </w:r>
      <w:r>
        <w:rPr>
          <w:sz w:val="22"/>
          <w:szCs w:val="22"/>
        </w:rPr>
        <w:t xml:space="preserve"> means </w:t>
      </w:r>
      <w:bookmarkStart w:id="0" w:name="OLE_LINK3"/>
      <w:bookmarkStart w:id="1" w:name="OLE_LINK4"/>
      <w:r>
        <w:rPr>
          <w:sz w:val="22"/>
          <w:szCs w:val="22"/>
        </w:rPr>
        <w:t>any manner of distribution of the Mobile Application, including without limitation</w:t>
      </w:r>
      <w:bookmarkEnd w:id="0"/>
      <w:bookmarkEnd w:id="1"/>
      <w:r>
        <w:rPr>
          <w:sz w:val="22"/>
          <w:szCs w:val="22"/>
        </w:rPr>
        <w:t xml:space="preserve">, providers of mobile </w:t>
      </w:r>
      <w:r>
        <w:rPr>
          <w:color w:val="000000"/>
          <w:sz w:val="22"/>
          <w:szCs w:val="22"/>
        </w:rPr>
        <w:t>carrier services, handset manufacturers, retail cards, Internet distribution, or premium SMS delivery who are authorized by Publisher to distribute the Mobile Application.</w:t>
      </w:r>
    </w:p>
    <w:p w14:paraId="7903B294" w14:textId="77777777" w:rsidR="00877D47" w:rsidRDefault="008F491B" w:rsidP="0007082D">
      <w:pPr>
        <w:numPr>
          <w:ilvl w:val="1"/>
          <w:numId w:val="2"/>
        </w:numPr>
        <w:tabs>
          <w:tab w:val="clear" w:pos="360"/>
          <w:tab w:val="num" w:pos="720"/>
        </w:tabs>
        <w:spacing w:after="120"/>
        <w:ind w:left="720" w:hanging="720"/>
        <w:jc w:val="both"/>
        <w:rPr>
          <w:color w:val="000000"/>
          <w:sz w:val="22"/>
          <w:szCs w:val="22"/>
        </w:rPr>
      </w:pPr>
      <w:r>
        <w:rPr>
          <w:b/>
          <w:sz w:val="22"/>
          <w:szCs w:val="22"/>
        </w:rPr>
        <w:t>Licensor Title</w:t>
      </w:r>
      <w:r>
        <w:rPr>
          <w:sz w:val="22"/>
          <w:szCs w:val="22"/>
        </w:rPr>
        <w:t xml:space="preserve"> means the following video game property, including all related marks and assets provided by Licensor: GemCrush Saga</w:t>
      </w:r>
    </w:p>
    <w:p w14:paraId="1DE6BD85" w14:textId="77777777" w:rsidR="00877D47" w:rsidRDefault="00B86A44" w:rsidP="0007082D">
      <w:pPr>
        <w:numPr>
          <w:ilvl w:val="1"/>
          <w:numId w:val="2"/>
        </w:numPr>
        <w:tabs>
          <w:tab w:val="clear" w:pos="360"/>
          <w:tab w:val="num" w:pos="720"/>
        </w:tabs>
        <w:spacing w:after="120"/>
        <w:ind w:left="720" w:hanging="720"/>
        <w:jc w:val="both"/>
        <w:rPr>
          <w:color w:val="000000"/>
          <w:sz w:val="22"/>
          <w:szCs w:val="22"/>
        </w:rPr>
      </w:pPr>
      <w:r>
        <w:rPr>
          <w:b/>
          <w:sz w:val="22"/>
          <w:szCs w:val="22"/>
        </w:rPr>
        <w:t>Mobile Application</w:t>
      </w:r>
      <w:r>
        <w:rPr>
          <w:sz w:val="22"/>
          <w:szCs w:val="22"/>
        </w:rPr>
        <w:t xml:space="preserve"> means a single video game software application for the Mobile Platforms in any language, all based on the Licensor Title, as approved in writing by Licensor.  Mobile Application may also include any personalization products such as, without limitation, wallpapers, ring tones, themes, video clips, and animated screensavers based on Licensor Title that have been approved in writing by Licensor in each case.</w:t>
      </w:r>
    </w:p>
    <w:p w14:paraId="3801646B" w14:textId="77777777" w:rsidR="00877D47" w:rsidRDefault="00B86A44" w:rsidP="0007082D">
      <w:pPr>
        <w:numPr>
          <w:ilvl w:val="1"/>
          <w:numId w:val="2"/>
        </w:numPr>
        <w:tabs>
          <w:tab w:val="clear" w:pos="360"/>
          <w:tab w:val="num" w:pos="720"/>
        </w:tabs>
        <w:spacing w:after="120"/>
        <w:ind w:left="720" w:hanging="720"/>
        <w:jc w:val="both"/>
        <w:rPr>
          <w:color w:val="000000"/>
          <w:sz w:val="22"/>
          <w:szCs w:val="22"/>
        </w:rPr>
      </w:pPr>
      <w:r>
        <w:rPr>
          <w:b/>
          <w:sz w:val="22"/>
          <w:szCs w:val="22"/>
        </w:rPr>
        <w:t>Mobile Platforms</w:t>
      </w:r>
      <w:r>
        <w:rPr>
          <w:sz w:val="22"/>
          <w:szCs w:val="22"/>
        </w:rPr>
        <w:t xml:space="preserve"> means all wireless communication devices in the Distribution Channels which are used primarily as a telephone device and which use J2ME, BREW, i-mode, wipi, n-Gage, Symbian, Palm OS, or Blackberry OS.  In no event shall Mobile Platforms include PCs, laptop computers, mobile versions of OS X or the iPhone OS, or devices used primarily for gaming. </w:t>
      </w:r>
    </w:p>
    <w:p w14:paraId="28763331" w14:textId="77777777" w:rsidR="00877D47" w:rsidRDefault="00F37E74" w:rsidP="0007082D">
      <w:pPr>
        <w:numPr>
          <w:ilvl w:val="1"/>
          <w:numId w:val="2"/>
        </w:numPr>
        <w:tabs>
          <w:tab w:val="clear" w:pos="360"/>
          <w:tab w:val="num" w:pos="720"/>
        </w:tabs>
        <w:spacing w:after="120"/>
        <w:ind w:left="720" w:hanging="720"/>
        <w:jc w:val="both"/>
        <w:rPr>
          <w:color w:val="000000"/>
          <w:sz w:val="22"/>
          <w:szCs w:val="22"/>
        </w:rPr>
      </w:pPr>
      <w:r>
        <w:rPr>
          <w:b/>
          <w:sz w:val="22"/>
          <w:szCs w:val="22"/>
        </w:rPr>
        <w:t>Gross Revenues</w:t>
      </w:r>
      <w:r>
        <w:rPr>
          <w:sz w:val="22"/>
          <w:szCs w:val="22"/>
        </w:rPr>
        <w:t xml:space="preserve"> means the total of: (a) all amounts received by Publisher relating to (e.g., content sales, sponsorships, and related advertising) the Mobile Application, less only taxes, duties, and other similar governmental and pass through charges; and (b) the gross retail price of each paid download (or otherwise distributed unit) of the Mobile Application distributed directly by Publisher to end users, less only taxes, duties, and other similar governmental and pass through charges.  All deductions shall be documented in the applicable Royalty Report.</w:t>
      </w:r>
    </w:p>
    <w:p w14:paraId="59969BDE" w14:textId="77777777" w:rsidR="00877D47" w:rsidRDefault="004F4C6A" w:rsidP="0007082D">
      <w:pPr>
        <w:numPr>
          <w:ilvl w:val="1"/>
          <w:numId w:val="2"/>
        </w:numPr>
        <w:tabs>
          <w:tab w:val="clear" w:pos="360"/>
          <w:tab w:val="num" w:pos="720"/>
        </w:tabs>
        <w:spacing w:after="120"/>
        <w:ind w:left="720" w:hanging="720"/>
        <w:jc w:val="both"/>
        <w:rPr>
          <w:color w:val="000000"/>
          <w:sz w:val="22"/>
          <w:szCs w:val="22"/>
        </w:rPr>
      </w:pPr>
      <w:r>
        <w:rPr>
          <w:b/>
          <w:sz w:val="22"/>
          <w:szCs w:val="22"/>
        </w:rPr>
        <w:t>Press Release</w:t>
      </w:r>
      <w:r>
        <w:rPr>
          <w:sz w:val="22"/>
          <w:szCs w:val="22"/>
        </w:rPr>
        <w:t xml:space="preserve"> means any press release, public announcement, news media response or other form of release of information concerning this Agreement or the transactions contemplated hereby that is intended to provide such information to the news media or the public.  </w:t>
      </w:r>
    </w:p>
    <w:p w14:paraId="01E66EEA" w14:textId="77777777" w:rsidR="008F2512" w:rsidRPr="00877D47" w:rsidRDefault="008F2512" w:rsidP="0007082D">
      <w:pPr>
        <w:numPr>
          <w:ilvl w:val="1"/>
          <w:numId w:val="2"/>
        </w:numPr>
        <w:tabs>
          <w:tab w:val="clear" w:pos="360"/>
          <w:tab w:val="num" w:pos="720"/>
        </w:tabs>
        <w:spacing w:after="120"/>
        <w:ind w:left="720" w:hanging="720"/>
        <w:jc w:val="both"/>
        <w:rPr>
          <w:color w:val="000000"/>
          <w:sz w:val="22"/>
          <w:szCs w:val="22"/>
        </w:rPr>
      </w:pPr>
      <w:r>
        <w:rPr>
          <w:b/>
          <w:sz w:val="22"/>
          <w:szCs w:val="22"/>
        </w:rPr>
        <w:lastRenderedPageBreak/>
        <w:t>Territory</w:t>
      </w:r>
      <w:r>
        <w:rPr>
          <w:sz w:val="22"/>
          <w:szCs w:val="22"/>
        </w:rPr>
        <w:t xml:space="preserve"> means (a) North America, and (b) Europe, Middle East, and Africa (“</w:t>
      </w:r>
      <w:r>
        <w:rPr>
          <w:b/>
          <w:sz w:val="22"/>
          <w:szCs w:val="22"/>
        </w:rPr>
        <w:t>EMEA</w:t>
      </w:r>
      <w:r>
        <w:rPr>
          <w:sz w:val="22"/>
          <w:szCs w:val="22"/>
        </w:rPr>
        <w:t xml:space="preserve">”).  If Publisher fails to make Mobile Application available in North America in accordance with </w:t>
      </w:r>
      <w:r>
        <w:rPr>
          <w:b/>
          <w:sz w:val="22"/>
          <w:szCs w:val="22"/>
          <w:u w:val="single"/>
        </w:rPr>
        <w:t>Section 2.3</w:t>
      </w:r>
      <w:r>
        <w:rPr>
          <w:sz w:val="22"/>
          <w:szCs w:val="22"/>
        </w:rPr>
        <w:t xml:space="preserve"> below within 4 months from the Effective Date, then the rights as granted herein to North America revert back to Licensor.  If Publisher fails to make Mobile Application available in any country in EMEA within 4 months from the Effective Date, then the rights as granted herein with respect to such individual countries in EMEA revert back to Licensor; failure to provide notice to Licensor that the Mobile Application has been distributed in any such country shall be deemed proof that it has not been so distributed.</w:t>
      </w:r>
    </w:p>
    <w:p w14:paraId="0039C3A1" w14:textId="77777777" w:rsidR="00B86A44" w:rsidRPr="000E723A" w:rsidRDefault="00FE3765">
      <w:pPr>
        <w:pStyle w:val="Heading1"/>
        <w:jc w:val="both"/>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b w:val="0"/>
          <w:sz w:val="22"/>
          <w:szCs w:val="22"/>
        </w:rPr>
        <w:t xml:space="preserve"> </w:t>
      </w:r>
      <w:r>
        <w:rPr>
          <w:rFonts w:ascii="Times New Roman" w:hAnsi="Times New Roman" w:cs="Times New Roman"/>
          <w:b w:val="0"/>
          <w:sz w:val="22"/>
          <w:szCs w:val="22"/>
        </w:rPr>
        <w:tab/>
      </w:r>
      <w:r>
        <w:rPr>
          <w:rFonts w:ascii="Times New Roman" w:hAnsi="Times New Roman" w:cs="Times New Roman"/>
          <w:sz w:val="22"/>
          <w:szCs w:val="22"/>
          <w:u w:val="single"/>
        </w:rPr>
        <w:t>Grant of Rights</w:t>
      </w:r>
    </w:p>
    <w:p w14:paraId="4312A8F2" w14:textId="77777777" w:rsidR="00877D47" w:rsidRDefault="00877D47" w:rsidP="00877D47">
      <w:pPr>
        <w:pStyle w:val="BodyText"/>
        <w:widowControl w:val="0"/>
        <w:tabs>
          <w:tab w:val="clear" w:pos="2340"/>
          <w:tab w:val="clear" w:pos="8010"/>
          <w:tab w:val="clear" w:pos="8640"/>
        </w:tabs>
        <w:spacing w:before="120" w:after="120"/>
        <w:ind w:left="720" w:hanging="720"/>
        <w:rPr>
          <w:color w:val="000000"/>
          <w:szCs w:val="22"/>
        </w:rPr>
      </w:pPr>
      <w:r>
        <w:rPr>
          <w:szCs w:val="22"/>
        </w:rPr>
        <w:t>2.1</w:t>
      </w:r>
      <w:r>
        <w:rPr>
          <w:szCs w:val="22"/>
        </w:rPr>
        <w:tab/>
      </w:r>
      <w:r>
        <w:rPr>
          <w:b/>
          <w:szCs w:val="22"/>
        </w:rPr>
        <w:t>License.</w:t>
      </w:r>
      <w:r>
        <w:rPr>
          <w:szCs w:val="22"/>
        </w:rPr>
        <w:t xml:space="preserve"> Subject to Publisher’s compliance with the material terms of this Agreement, Licensor grants to Publisher a Territory-wide license </w:t>
      </w:r>
      <w:r>
        <w:rPr>
          <w:color w:val="000000"/>
          <w:szCs w:val="22"/>
        </w:rPr>
        <w:t xml:space="preserve">to use, copy, and create derivative works of the Licensor Title in order to develop a single Mobile Application based on the Licensor Title, and to publish, reproduce, distribute, offer for sale, sell, promote, publicly perform, display, and transmit Mobile Application based on the Licensor Title throughout the Territory during the Term (as defined in </w:t>
      </w:r>
      <w:r>
        <w:rPr>
          <w:b/>
          <w:color w:val="000000"/>
          <w:szCs w:val="22"/>
          <w:u w:val="single"/>
        </w:rPr>
        <w:t xml:space="preserve">Section 4 </w:t>
      </w:r>
      <w:r>
        <w:rPr>
          <w:color w:val="000000"/>
          <w:szCs w:val="22"/>
        </w:rPr>
        <w:t xml:space="preserve">below) of this Agreement only via the Mobile Platforms. The license granted herein includes the rights necessary to develop, modify, distribute or have distributed, market, publicly display, promote, sell, or otherwise exploit the Licensor Title via the Mobile Platforms for purchase through Distribution Channels. Publisher may sublicense the rights granted in this </w:t>
      </w:r>
      <w:r>
        <w:rPr>
          <w:b/>
          <w:color w:val="000000"/>
          <w:szCs w:val="22"/>
          <w:u w:val="single"/>
        </w:rPr>
        <w:t>Section 2.1</w:t>
      </w:r>
      <w:r>
        <w:rPr>
          <w:color w:val="000000"/>
          <w:szCs w:val="22"/>
        </w:rPr>
        <w:t xml:space="preserve"> only to the extent reasonably necessary in connection with the creation and distribution of the Mobile Application by Publisher as contemplated in this Agreement and provided that Publisher remains liable for any reasonably foreseeable acts or omissions of any such sublicensee and such sublicensee is subject to the restrictions and conditions contained in this Agreement including regarding ownership of intellectual property.  </w:t>
      </w:r>
    </w:p>
    <w:p w14:paraId="3DE811E4" w14:textId="77777777" w:rsidR="00877D47" w:rsidRDefault="00877D47" w:rsidP="00877D47">
      <w:pPr>
        <w:pStyle w:val="BodyText"/>
        <w:widowControl w:val="0"/>
        <w:tabs>
          <w:tab w:val="clear" w:pos="2340"/>
          <w:tab w:val="clear" w:pos="8010"/>
          <w:tab w:val="clear" w:pos="8640"/>
        </w:tabs>
        <w:spacing w:before="120" w:after="120"/>
        <w:rPr>
          <w:color w:val="000000"/>
          <w:szCs w:val="22"/>
        </w:rPr>
      </w:pPr>
    </w:p>
    <w:p w14:paraId="0B033A70" w14:textId="77777777" w:rsidR="00877D47" w:rsidRDefault="00877D47" w:rsidP="00877D47">
      <w:pPr>
        <w:pStyle w:val="BodyText"/>
        <w:widowControl w:val="0"/>
        <w:tabs>
          <w:tab w:val="clear" w:pos="2340"/>
          <w:tab w:val="clear" w:pos="8010"/>
          <w:tab w:val="clear" w:pos="8640"/>
        </w:tabs>
        <w:spacing w:before="120" w:after="120"/>
        <w:rPr>
          <w:color w:val="000000"/>
          <w:szCs w:val="22"/>
        </w:rPr>
      </w:pPr>
      <w:r>
        <w:rPr>
          <w:color w:val="000000"/>
          <w:szCs w:val="22"/>
        </w:rPr>
        <w:t xml:space="preserve">2.2 </w:t>
      </w:r>
      <w:r>
        <w:rPr>
          <w:color w:val="000000"/>
          <w:szCs w:val="22"/>
        </w:rPr>
        <w:tab/>
        <w:t xml:space="preserve">All rights not expressly granted to Publisher in this </w:t>
      </w:r>
      <w:r>
        <w:rPr>
          <w:b/>
          <w:color w:val="000000"/>
          <w:szCs w:val="22"/>
          <w:u w:val="single"/>
        </w:rPr>
        <w:t>Section 2</w:t>
      </w:r>
      <w:r>
        <w:rPr>
          <w:color w:val="000000"/>
          <w:szCs w:val="22"/>
        </w:rPr>
        <w:t xml:space="preserve"> are expressly retained by Licensor.</w:t>
      </w:r>
    </w:p>
    <w:p w14:paraId="15E58FAA" w14:textId="77777777" w:rsidR="00877D47" w:rsidRDefault="00877D47" w:rsidP="00877D47">
      <w:pPr>
        <w:pStyle w:val="BodyText"/>
        <w:widowControl w:val="0"/>
        <w:tabs>
          <w:tab w:val="clear" w:pos="2340"/>
          <w:tab w:val="clear" w:pos="8010"/>
          <w:tab w:val="clear" w:pos="8640"/>
        </w:tabs>
        <w:spacing w:before="120" w:after="120"/>
        <w:ind w:left="720" w:hanging="720"/>
      </w:pPr>
      <w:r>
        <w:t>2.3</w:t>
      </w:r>
      <w:r>
        <w:tab/>
      </w:r>
      <w:r>
        <w:rPr>
          <w:b/>
        </w:rPr>
        <w:t>Distribution Channel Submission Requirements.</w:t>
      </w:r>
      <w:r>
        <w:t xml:space="preserve"> If Publisher has not submitted the Mobile Application to at least Verizon and one of AT&amp;T / Cingular, Sprint / Nextel, T-Mobile, and AllTel by 9/27/2027, Publisher’s rights as granted herein shall revert back to Licensor but the Guarantee shall be accelerated and be paid in full at the time of reversion. </w:t>
      </w:r>
      <w:bookmarkStart w:id="2" w:name="_Ref56571884"/>
      <w:bookmarkStart w:id="3" w:name="_Ref76271652"/>
    </w:p>
    <w:p w14:paraId="22C53058" w14:textId="77777777" w:rsidR="00877D47" w:rsidRDefault="00877D47" w:rsidP="00877D47">
      <w:pPr>
        <w:pStyle w:val="BodyText"/>
        <w:widowControl w:val="0"/>
        <w:tabs>
          <w:tab w:val="clear" w:pos="2340"/>
          <w:tab w:val="clear" w:pos="8010"/>
          <w:tab w:val="clear" w:pos="8640"/>
        </w:tabs>
        <w:spacing w:before="120" w:after="120"/>
        <w:ind w:left="720" w:hanging="720"/>
        <w:rPr>
          <w:b/>
          <w:i/>
        </w:rPr>
      </w:pPr>
      <w:r>
        <w:t>2.4</w:t>
      </w:r>
      <w:r>
        <w:tab/>
      </w:r>
      <w:r>
        <w:rPr>
          <w:b/>
        </w:rPr>
        <w:t>Excluded Products</w:t>
      </w:r>
      <w:r>
        <w:t xml:space="preserve">.  For the avoidance of any doubt, and without expanding any of the rights granted in </w:t>
      </w:r>
      <w:r>
        <w:rPr>
          <w:b/>
          <w:u w:val="single"/>
        </w:rPr>
        <w:t>Section 2.1</w:t>
      </w:r>
      <w:r>
        <w:t xml:space="preserve">, the rights granted in </w:t>
      </w:r>
      <w:r>
        <w:rPr>
          <w:b/>
          <w:u w:val="single"/>
        </w:rPr>
        <w:t>Section 2.1</w:t>
      </w:r>
      <w:r>
        <w:t xml:space="preserve"> shall in no event extend to the following devices, platforms, or operating systems:</w:t>
      </w:r>
      <w:r>
        <w:rPr>
          <w:b/>
          <w:i/>
        </w:rPr>
        <w:t xml:space="preserve">  </w:t>
      </w:r>
    </w:p>
    <w:p w14:paraId="01DC73AB" w14:textId="77777777" w:rsidR="00B86A44" w:rsidRPr="00877D47" w:rsidRDefault="00877D47" w:rsidP="00877D47">
      <w:pPr>
        <w:pStyle w:val="BodyText"/>
        <w:widowControl w:val="0"/>
        <w:tabs>
          <w:tab w:val="clear" w:pos="2340"/>
          <w:tab w:val="clear" w:pos="8010"/>
          <w:tab w:val="clear" w:pos="8640"/>
        </w:tabs>
        <w:spacing w:before="120" w:after="120"/>
        <w:ind w:left="1440" w:hanging="720"/>
        <w:rPr>
          <w:color w:val="000000"/>
          <w:szCs w:val="22"/>
        </w:rPr>
      </w:pPr>
      <w:r>
        <w:t>(a)</w:t>
      </w:r>
      <w:r>
        <w:tab/>
      </w:r>
      <w:r>
        <w:rPr>
          <w:color w:val="000000"/>
          <w:szCs w:val="22"/>
        </w:rPr>
        <w:t>traditional entertainment software console platforms, such as Sony PlayStation, PlayStation 2 and PlayStation 3, Microsoft Xbox and Xbox 360, and Nintendo GameCube and Wii;</w:t>
      </w:r>
    </w:p>
    <w:p w14:paraId="014E167B" w14:textId="77777777" w:rsidR="00877D47" w:rsidRDefault="00877D47" w:rsidP="00877D47">
      <w:pPr>
        <w:pStyle w:val="Heading2"/>
        <w:keepNext w:val="0"/>
        <w:spacing w:before="120" w:after="120"/>
        <w:ind w:left="1440" w:hanging="720"/>
        <w:jc w:val="both"/>
        <w:rPr>
          <w:rFonts w:ascii="Times New Roman" w:hAnsi="Times New Roman" w:cs="Times New Roman"/>
          <w:b w:val="0"/>
          <w:bCs w:val="0"/>
          <w:i w:val="0"/>
          <w:iCs w:val="0"/>
          <w:color w:val="000000"/>
          <w:sz w:val="22"/>
          <w:szCs w:val="22"/>
        </w:rPr>
      </w:pPr>
      <w:r>
        <w:rPr>
          <w:rFonts w:ascii="Times New Roman" w:hAnsi="Times New Roman" w:cs="Times New Roman"/>
          <w:b w:val="0"/>
          <w:bCs w:val="0"/>
          <w:i w:val="0"/>
          <w:iCs w:val="0"/>
          <w:color w:val="000000"/>
          <w:sz w:val="22"/>
          <w:szCs w:val="22"/>
        </w:rPr>
        <w:t>(b)</w:t>
      </w:r>
      <w:r>
        <w:rPr>
          <w:rFonts w:ascii="Times New Roman" w:hAnsi="Times New Roman" w:cs="Times New Roman"/>
          <w:b w:val="0"/>
          <w:bCs w:val="0"/>
          <w:i w:val="0"/>
          <w:iCs w:val="0"/>
          <w:color w:val="000000"/>
          <w:sz w:val="22"/>
          <w:szCs w:val="22"/>
        </w:rPr>
        <w:tab/>
        <w:t xml:space="preserve">Windows (other than Windows Mobile OS), Macintosh, Linux, or other desktop or laptop computer systems; </w:t>
      </w:r>
    </w:p>
    <w:p w14:paraId="2BC1185F" w14:textId="77777777" w:rsidR="00B86A44" w:rsidRPr="000E723A" w:rsidRDefault="00877D47" w:rsidP="00877D47">
      <w:pPr>
        <w:pStyle w:val="Heading2"/>
        <w:keepNext w:val="0"/>
        <w:spacing w:before="120" w:after="120"/>
        <w:ind w:left="1440" w:hanging="720"/>
        <w:jc w:val="both"/>
        <w:rPr>
          <w:rFonts w:ascii="Times New Roman" w:hAnsi="Times New Roman" w:cs="Times New Roman"/>
          <w:b w:val="0"/>
          <w:bCs w:val="0"/>
          <w:i w:val="0"/>
          <w:iCs w:val="0"/>
          <w:color w:val="000000"/>
          <w:sz w:val="22"/>
          <w:szCs w:val="22"/>
        </w:rPr>
      </w:pPr>
      <w:r>
        <w:rPr>
          <w:rFonts w:ascii="Times New Roman" w:hAnsi="Times New Roman" w:cs="Times New Roman"/>
          <w:b w:val="0"/>
          <w:bCs w:val="0"/>
          <w:i w:val="0"/>
          <w:iCs w:val="0"/>
          <w:color w:val="000000"/>
          <w:sz w:val="22"/>
          <w:szCs w:val="22"/>
        </w:rPr>
        <w:t>(c)</w:t>
      </w:r>
      <w:r>
        <w:rPr>
          <w:rFonts w:ascii="Times New Roman" w:hAnsi="Times New Roman" w:cs="Times New Roman"/>
          <w:b w:val="0"/>
          <w:bCs w:val="0"/>
          <w:i w:val="0"/>
          <w:iCs w:val="0"/>
          <w:color w:val="000000"/>
          <w:sz w:val="22"/>
          <w:szCs w:val="22"/>
        </w:rPr>
        <w:tab/>
        <w:t>hand-held electronic dedicated gaming and other entertainment devices, such as Nintendo's GameBoy Color, GameBoy Advance, DS handheld devices, Sony's PSP handheld device, and Tiger Electronic hand-held devices</w:t>
      </w:r>
      <w:bookmarkEnd w:id="2"/>
      <w:bookmarkEnd w:id="3"/>
      <w:r>
        <w:rPr>
          <w:rFonts w:ascii="Times New Roman" w:hAnsi="Times New Roman" w:cs="Times New Roman"/>
          <w:b w:val="0"/>
          <w:bCs w:val="0"/>
          <w:i w:val="0"/>
          <w:iCs w:val="0"/>
          <w:color w:val="000000"/>
          <w:sz w:val="22"/>
          <w:szCs w:val="22"/>
        </w:rPr>
        <w:t>;</w:t>
      </w:r>
    </w:p>
    <w:p w14:paraId="29D0BB04" w14:textId="77777777" w:rsidR="00BA1F2D" w:rsidRDefault="00877D47" w:rsidP="00463F1D">
      <w:pPr>
        <w:pStyle w:val="Heading2"/>
        <w:keepNext w:val="0"/>
        <w:tabs>
          <w:tab w:val="left" w:pos="1440"/>
        </w:tabs>
        <w:spacing w:before="120" w:after="120"/>
        <w:ind w:left="1440" w:hanging="720"/>
        <w:jc w:val="both"/>
        <w:rPr>
          <w:rFonts w:ascii="Times New Roman" w:hAnsi="Times New Roman" w:cs="Times New Roman"/>
          <w:b w:val="0"/>
          <w:bCs w:val="0"/>
          <w:i w:val="0"/>
          <w:iCs w:val="0"/>
          <w:color w:val="000000"/>
          <w:sz w:val="22"/>
          <w:szCs w:val="22"/>
        </w:rPr>
      </w:pPr>
      <w:r>
        <w:rPr>
          <w:rFonts w:ascii="Times New Roman" w:hAnsi="Times New Roman" w:cs="Times New Roman"/>
          <w:b w:val="0"/>
          <w:bCs w:val="0"/>
          <w:i w:val="0"/>
          <w:iCs w:val="0"/>
          <w:color w:val="000000"/>
          <w:sz w:val="22"/>
          <w:szCs w:val="22"/>
        </w:rPr>
        <w:t>(d)</w:t>
      </w:r>
      <w:r>
        <w:rPr>
          <w:rFonts w:ascii="Times New Roman" w:hAnsi="Times New Roman" w:cs="Times New Roman"/>
          <w:b w:val="0"/>
          <w:bCs w:val="0"/>
          <w:i w:val="0"/>
          <w:iCs w:val="0"/>
          <w:color w:val="000000"/>
          <w:sz w:val="22"/>
          <w:szCs w:val="22"/>
        </w:rPr>
        <w:tab/>
        <w:t>the devices using the mobile version of Mac OS X or the iPhone OS, such as the iPod touch and the iPhone;</w:t>
      </w:r>
    </w:p>
    <w:p w14:paraId="47A34C43" w14:textId="77777777" w:rsidR="00B86A44" w:rsidRPr="000E723A" w:rsidRDefault="00877D47" w:rsidP="00877D47">
      <w:pPr>
        <w:pStyle w:val="Heading2"/>
        <w:keepNext w:val="0"/>
        <w:spacing w:before="120" w:after="120"/>
        <w:ind w:firstLine="720"/>
        <w:jc w:val="both"/>
        <w:rPr>
          <w:rFonts w:ascii="Times New Roman" w:hAnsi="Times New Roman" w:cs="Times New Roman"/>
          <w:b w:val="0"/>
          <w:bCs w:val="0"/>
          <w:i w:val="0"/>
          <w:iCs w:val="0"/>
          <w:color w:val="000000"/>
          <w:sz w:val="22"/>
          <w:szCs w:val="22"/>
        </w:rPr>
      </w:pPr>
      <w:r>
        <w:rPr>
          <w:rFonts w:ascii="Times New Roman" w:hAnsi="Times New Roman" w:cs="Times New Roman"/>
          <w:b w:val="0"/>
          <w:bCs w:val="0"/>
          <w:i w:val="0"/>
          <w:iCs w:val="0"/>
          <w:color w:val="000000"/>
          <w:sz w:val="22"/>
          <w:szCs w:val="22"/>
        </w:rPr>
        <w:t>(e)</w:t>
      </w:r>
      <w:r>
        <w:rPr>
          <w:rFonts w:ascii="Times New Roman" w:hAnsi="Times New Roman" w:cs="Times New Roman"/>
          <w:b w:val="0"/>
          <w:bCs w:val="0"/>
          <w:i w:val="0"/>
          <w:iCs w:val="0"/>
          <w:color w:val="000000"/>
          <w:sz w:val="22"/>
          <w:szCs w:val="22"/>
        </w:rPr>
        <w:tab/>
        <w:t>set-top boxes;</w:t>
      </w:r>
    </w:p>
    <w:p w14:paraId="5EB18EF0" w14:textId="77777777" w:rsidR="00B86A44" w:rsidRPr="000E723A" w:rsidRDefault="00877D47" w:rsidP="00877D47">
      <w:pPr>
        <w:pStyle w:val="Heading2"/>
        <w:keepNext w:val="0"/>
        <w:spacing w:before="120" w:after="120"/>
        <w:ind w:firstLine="720"/>
        <w:jc w:val="both"/>
        <w:rPr>
          <w:rFonts w:ascii="Times New Roman" w:hAnsi="Times New Roman" w:cs="Times New Roman"/>
          <w:b w:val="0"/>
          <w:bCs w:val="0"/>
          <w:i w:val="0"/>
          <w:iCs w:val="0"/>
          <w:color w:val="000000"/>
          <w:sz w:val="22"/>
          <w:szCs w:val="22"/>
        </w:rPr>
      </w:pPr>
      <w:r>
        <w:rPr>
          <w:rFonts w:ascii="Times New Roman" w:hAnsi="Times New Roman" w:cs="Times New Roman"/>
          <w:b w:val="0"/>
          <w:bCs w:val="0"/>
          <w:i w:val="0"/>
          <w:iCs w:val="0"/>
          <w:color w:val="000000"/>
          <w:sz w:val="22"/>
          <w:szCs w:val="22"/>
        </w:rPr>
        <w:t>(f)</w:t>
      </w:r>
      <w:r>
        <w:rPr>
          <w:rFonts w:ascii="Times New Roman" w:hAnsi="Times New Roman" w:cs="Times New Roman"/>
          <w:b w:val="0"/>
          <w:bCs w:val="0"/>
          <w:i w:val="0"/>
          <w:iCs w:val="0"/>
          <w:color w:val="000000"/>
          <w:sz w:val="22"/>
          <w:szCs w:val="22"/>
        </w:rPr>
        <w:tab/>
        <w:t xml:space="preserve">arcade or bar-top machines; and </w:t>
      </w:r>
    </w:p>
    <w:p w14:paraId="5CC57CE7" w14:textId="77777777" w:rsidR="00B86A44" w:rsidRPr="000E723A" w:rsidRDefault="00877D47" w:rsidP="00877D47">
      <w:pPr>
        <w:pStyle w:val="Heading2"/>
        <w:keepNext w:val="0"/>
        <w:spacing w:before="120" w:after="120"/>
        <w:ind w:firstLine="720"/>
        <w:jc w:val="both"/>
        <w:rPr>
          <w:rFonts w:ascii="Times New Roman" w:hAnsi="Times New Roman" w:cs="Times New Roman"/>
          <w:b w:val="0"/>
          <w:bCs w:val="0"/>
          <w:i w:val="0"/>
          <w:iCs w:val="0"/>
          <w:color w:val="000000"/>
          <w:sz w:val="22"/>
          <w:szCs w:val="22"/>
        </w:rPr>
      </w:pPr>
      <w:r>
        <w:rPr>
          <w:rFonts w:ascii="Times New Roman" w:hAnsi="Times New Roman" w:cs="Times New Roman"/>
          <w:b w:val="0"/>
          <w:bCs w:val="0"/>
          <w:i w:val="0"/>
          <w:iCs w:val="0"/>
          <w:color w:val="000000"/>
          <w:sz w:val="22"/>
          <w:szCs w:val="22"/>
        </w:rPr>
        <w:lastRenderedPageBreak/>
        <w:t>(g)</w:t>
      </w:r>
      <w:r>
        <w:rPr>
          <w:rFonts w:ascii="Times New Roman" w:hAnsi="Times New Roman" w:cs="Times New Roman"/>
          <w:b w:val="0"/>
          <w:bCs w:val="0"/>
          <w:i w:val="0"/>
          <w:iCs w:val="0"/>
          <w:color w:val="000000"/>
          <w:sz w:val="22"/>
          <w:szCs w:val="22"/>
        </w:rPr>
        <w:tab/>
        <w:t>successors to any of the foregoing.</w:t>
      </w:r>
    </w:p>
    <w:p w14:paraId="1F55A374" w14:textId="77777777" w:rsidR="00B86A44" w:rsidRPr="000E723A" w:rsidRDefault="00FE3765">
      <w:pPr>
        <w:pStyle w:val="Heading1"/>
        <w:jc w:val="both"/>
        <w:rPr>
          <w:rFonts w:ascii="Times New Roman" w:hAnsi="Times New Roman" w:cs="Times New Roman"/>
          <w:sz w:val="22"/>
          <w:szCs w:val="22"/>
        </w:rPr>
      </w:pPr>
      <w:r>
        <w:rPr>
          <w:rFonts w:ascii="Times New Roman" w:hAnsi="Times New Roman" w:cs="Times New Roman"/>
          <w:b w:val="0"/>
          <w:iCs/>
          <w:sz w:val="22"/>
          <w:szCs w:val="22"/>
        </w:rPr>
        <w:t>3</w:t>
      </w:r>
      <w:r>
        <w:rPr>
          <w:rFonts w:ascii="Times New Roman" w:hAnsi="Times New Roman" w:cs="Times New Roman"/>
          <w:sz w:val="22"/>
          <w:szCs w:val="22"/>
        </w:rPr>
        <w:t>.</w:t>
      </w:r>
      <w:r>
        <w:rPr>
          <w:rFonts w:ascii="Times New Roman" w:hAnsi="Times New Roman" w:cs="Times New Roman"/>
          <w:b w:val="0"/>
          <w:sz w:val="22"/>
          <w:szCs w:val="22"/>
        </w:rPr>
        <w:t xml:space="preserve"> </w:t>
      </w:r>
      <w:r>
        <w:rPr>
          <w:rFonts w:ascii="Times New Roman" w:hAnsi="Times New Roman" w:cs="Times New Roman"/>
          <w:b w:val="0"/>
          <w:sz w:val="22"/>
          <w:szCs w:val="22"/>
        </w:rPr>
        <w:tab/>
      </w:r>
      <w:r>
        <w:rPr>
          <w:rFonts w:ascii="Times New Roman" w:hAnsi="Times New Roman" w:cs="Times New Roman"/>
          <w:sz w:val="22"/>
          <w:szCs w:val="22"/>
          <w:u w:val="single"/>
        </w:rPr>
        <w:t>Development and Distribution of the Mobile Application</w:t>
      </w:r>
    </w:p>
    <w:p w14:paraId="336C6472" w14:textId="77777777" w:rsidR="00D52B5C" w:rsidRPr="000E723A" w:rsidRDefault="00877D47" w:rsidP="00877D47">
      <w:pPr>
        <w:pStyle w:val="Heading2"/>
        <w:spacing w:before="120" w:after="120"/>
        <w:ind w:left="720" w:hanging="720"/>
        <w:jc w:val="both"/>
        <w:rPr>
          <w:rFonts w:ascii="Times New Roman" w:hAnsi="Times New Roman" w:cs="Times New Roman"/>
          <w:b w:val="0"/>
          <w:bCs w:val="0"/>
          <w:i w:val="0"/>
          <w:iCs w:val="0"/>
          <w:color w:val="000000"/>
          <w:sz w:val="22"/>
          <w:szCs w:val="22"/>
        </w:rPr>
      </w:pPr>
      <w:bookmarkStart w:id="4" w:name="_Ref56571562"/>
      <w:r>
        <w:rPr>
          <w:rFonts w:ascii="Times New Roman" w:hAnsi="Times New Roman" w:cs="Times New Roman"/>
          <w:b w:val="0"/>
          <w:bCs w:val="0"/>
          <w:i w:val="0"/>
          <w:iCs w:val="0"/>
          <w:color w:val="000000"/>
          <w:sz w:val="22"/>
          <w:szCs w:val="22"/>
        </w:rPr>
        <w:t>3.1</w:t>
      </w:r>
      <w:r>
        <w:rPr>
          <w:rFonts w:ascii="Times New Roman" w:hAnsi="Times New Roman" w:cs="Times New Roman"/>
          <w:b w:val="0"/>
          <w:bCs w:val="0"/>
          <w:i w:val="0"/>
          <w:iCs w:val="0"/>
          <w:color w:val="000000"/>
          <w:sz w:val="22"/>
          <w:szCs w:val="22"/>
        </w:rPr>
        <w:tab/>
      </w:r>
      <w:r>
        <w:rPr>
          <w:rFonts w:ascii="Times New Roman" w:hAnsi="Times New Roman" w:cs="Times New Roman"/>
          <w:bCs w:val="0"/>
          <w:i w:val="0"/>
          <w:iCs w:val="0"/>
          <w:color w:val="000000"/>
          <w:sz w:val="22"/>
          <w:szCs w:val="22"/>
        </w:rPr>
        <w:t>Development</w:t>
      </w:r>
      <w:r>
        <w:rPr>
          <w:rFonts w:ascii="Times New Roman" w:hAnsi="Times New Roman" w:cs="Times New Roman"/>
          <w:b w:val="0"/>
          <w:bCs w:val="0"/>
          <w:i w:val="0"/>
          <w:iCs w:val="0"/>
          <w:color w:val="000000"/>
          <w:sz w:val="22"/>
          <w:szCs w:val="22"/>
        </w:rPr>
        <w:t xml:space="preserve">. Publisher shall design, create, develop, produce, test, port, distribute, and publish the Mobile Application in accordance with the applicable milestone schedule described in </w:t>
      </w:r>
      <w:r>
        <w:rPr>
          <w:rFonts w:ascii="Times New Roman" w:hAnsi="Times New Roman" w:cs="Times New Roman"/>
          <w:bCs w:val="0"/>
          <w:i w:val="0"/>
          <w:iCs w:val="0"/>
          <w:color w:val="000000"/>
          <w:sz w:val="22"/>
          <w:szCs w:val="22"/>
          <w:u w:val="single"/>
        </w:rPr>
        <w:t xml:space="preserve">Schedule 1 </w:t>
      </w:r>
      <w:r>
        <w:rPr>
          <w:rFonts w:ascii="Times New Roman" w:hAnsi="Times New Roman" w:cs="Times New Roman"/>
          <w:b w:val="0"/>
          <w:bCs w:val="0"/>
          <w:i w:val="0"/>
          <w:iCs w:val="0"/>
          <w:color w:val="000000"/>
          <w:sz w:val="22"/>
          <w:szCs w:val="22"/>
        </w:rPr>
        <w:t xml:space="preserve">(attached hereto and incorporated herein).  Subject to Licensor’s approval (as further specified in </w:t>
      </w:r>
      <w:r>
        <w:rPr>
          <w:rFonts w:ascii="Times New Roman" w:hAnsi="Times New Roman" w:cs="Times New Roman"/>
          <w:bCs w:val="0"/>
          <w:i w:val="0"/>
          <w:iCs w:val="0"/>
          <w:color w:val="000000"/>
          <w:sz w:val="22"/>
          <w:szCs w:val="22"/>
          <w:u w:val="single"/>
        </w:rPr>
        <w:t>Section 8</w:t>
      </w:r>
      <w:r>
        <w:rPr>
          <w:rFonts w:ascii="Times New Roman" w:hAnsi="Times New Roman" w:cs="Times New Roman"/>
          <w:b w:val="0"/>
          <w:bCs w:val="0"/>
          <w:i w:val="0"/>
          <w:iCs w:val="0"/>
          <w:color w:val="000000"/>
          <w:sz w:val="22"/>
          <w:szCs w:val="22"/>
        </w:rPr>
        <w:t xml:space="preserve">), Publisher shall assume full responsibility for the creation, development, testing, and production of the Mobile Application in a timely manner, which shall include:  (a) designing the creative and technical specifications for the Mobile Application, (b) creating all computer code for the Mobile Application including the creation of a reference build, (c) generating all visual assets for the Mobile Application, the source of which may be provided by Licensor as necessary, (d) conducting quality assurance testing of the Mobile Application, (e) releasing the Mobile Application to the Distribution Channels, (f) any localization of the Mobile Application, and (g) customer support of all Mobile Application.  </w:t>
      </w:r>
      <w:bookmarkEnd w:id="4"/>
      <w:r>
        <w:rPr>
          <w:rFonts w:ascii="Times New Roman" w:hAnsi="Times New Roman" w:cs="Times New Roman"/>
          <w:b w:val="0"/>
          <w:bCs w:val="0"/>
          <w:i w:val="0"/>
          <w:iCs w:val="0"/>
          <w:color w:val="000000"/>
          <w:sz w:val="22"/>
          <w:szCs w:val="22"/>
        </w:rPr>
        <w:t>Publisher will develop each Mobile Application using high professional standards of development for mobile application and in substantial accordance with all specifications approved by Licensor.</w:t>
      </w:r>
    </w:p>
    <w:p w14:paraId="605631F1" w14:textId="77777777" w:rsidR="00B91082" w:rsidRPr="000E723A" w:rsidRDefault="00877D47" w:rsidP="00877D47">
      <w:pPr>
        <w:spacing w:before="120" w:after="120"/>
        <w:ind w:left="720" w:hanging="720"/>
        <w:jc w:val="both"/>
        <w:rPr>
          <w:sz w:val="22"/>
          <w:szCs w:val="22"/>
        </w:rPr>
      </w:pPr>
      <w:r>
        <w:rPr>
          <w:sz w:val="22"/>
          <w:szCs w:val="22"/>
        </w:rPr>
        <w:t>3.2</w:t>
      </w:r>
      <w:r>
        <w:rPr>
          <w:sz w:val="22"/>
          <w:szCs w:val="22"/>
        </w:rPr>
        <w:tab/>
      </w:r>
      <w:r>
        <w:rPr>
          <w:b/>
          <w:sz w:val="22"/>
          <w:szCs w:val="22"/>
        </w:rPr>
        <w:t>Schedule</w:t>
      </w:r>
      <w:r>
        <w:rPr>
          <w:sz w:val="22"/>
          <w:szCs w:val="22"/>
        </w:rPr>
        <w:t xml:space="preserve">. Publisher shall adhere to the schedule as provided in </w:t>
      </w:r>
      <w:r>
        <w:rPr>
          <w:b/>
          <w:sz w:val="22"/>
          <w:szCs w:val="22"/>
          <w:u w:val="single"/>
        </w:rPr>
        <w:t>Schedule 1</w:t>
      </w:r>
      <w:r>
        <w:rPr>
          <w:sz w:val="22"/>
          <w:szCs w:val="22"/>
        </w:rPr>
        <w:t xml:space="preserve">.  In the event Publisher fails to complete any of the milestones by the dates as stated in </w:t>
      </w:r>
      <w:r>
        <w:rPr>
          <w:b/>
          <w:sz w:val="22"/>
          <w:szCs w:val="22"/>
          <w:u w:val="single"/>
        </w:rPr>
        <w:t>Schedule 1</w:t>
      </w:r>
      <w:r>
        <w:rPr>
          <w:sz w:val="22"/>
          <w:szCs w:val="22"/>
        </w:rPr>
        <w:t xml:space="preserve">, Licensor shall be entitled to terminate the Agreement and revoke all rights in the Mobile Application and Publisher shall remain liable to pay for the entire Guarantee (which shall be accelerated and become due in full upon such termination) for each Mobile Application upon Publisher’s failure to cure such delay within thirty days of cure period. </w:t>
      </w:r>
    </w:p>
    <w:p w14:paraId="65C6E428" w14:textId="77777777" w:rsidR="00B86A44" w:rsidRPr="000E723A" w:rsidRDefault="002D225E" w:rsidP="002D225E">
      <w:pPr>
        <w:pStyle w:val="BodyText"/>
        <w:tabs>
          <w:tab w:val="clear" w:pos="2340"/>
          <w:tab w:val="clear" w:pos="8010"/>
          <w:tab w:val="clear" w:pos="8640"/>
        </w:tabs>
        <w:spacing w:before="120" w:after="120"/>
        <w:rPr>
          <w:szCs w:val="22"/>
        </w:rPr>
      </w:pPr>
      <w:r>
        <w:rPr>
          <w:szCs w:val="22"/>
        </w:rPr>
        <w:t>3.3</w:t>
      </w:r>
      <w:r>
        <w:rPr>
          <w:szCs w:val="22"/>
        </w:rPr>
        <w:tab/>
      </w:r>
      <w:r>
        <w:rPr>
          <w:b/>
          <w:szCs w:val="22"/>
        </w:rPr>
        <w:t>Publisher marketing obligations</w:t>
      </w:r>
      <w:r>
        <w:rPr>
          <w:szCs w:val="22"/>
        </w:rPr>
        <w:t>. Publisher shall use all best commercially reasonable efforts to:</w:t>
      </w:r>
    </w:p>
    <w:p w14:paraId="1A2BCB2B" w14:textId="77777777" w:rsidR="004F7706" w:rsidRPr="000E723A" w:rsidRDefault="002D225E" w:rsidP="002D225E">
      <w:pPr>
        <w:spacing w:before="120" w:after="120"/>
        <w:ind w:left="1080" w:hanging="360"/>
        <w:jc w:val="both"/>
        <w:rPr>
          <w:sz w:val="22"/>
          <w:szCs w:val="22"/>
        </w:rPr>
      </w:pPr>
      <w:r>
        <w:rPr>
          <w:sz w:val="22"/>
          <w:szCs w:val="22"/>
        </w:rPr>
        <w:t>(a)</w:t>
      </w:r>
      <w:r>
        <w:rPr>
          <w:sz w:val="22"/>
          <w:szCs w:val="22"/>
        </w:rPr>
        <w:tab/>
        <w:t>secure the widest possible distribution of the Mobile Application through Distribution Channels;</w:t>
      </w:r>
    </w:p>
    <w:p w14:paraId="1D1DF508" w14:textId="77777777" w:rsidR="00B86A44" w:rsidRPr="000E723A" w:rsidRDefault="002D225E" w:rsidP="002D225E">
      <w:pPr>
        <w:spacing w:before="120" w:after="120"/>
        <w:ind w:left="1080" w:hanging="360"/>
        <w:jc w:val="both"/>
        <w:rPr>
          <w:sz w:val="22"/>
          <w:szCs w:val="22"/>
        </w:rPr>
      </w:pPr>
      <w:r>
        <w:rPr>
          <w:sz w:val="22"/>
          <w:szCs w:val="22"/>
        </w:rPr>
        <w:t>(b)</w:t>
      </w:r>
      <w:r>
        <w:rPr>
          <w:sz w:val="22"/>
          <w:szCs w:val="22"/>
        </w:rPr>
        <w:tab/>
        <w:t>market the Mobile Application in accordance with other similar products that Publisher publishes;</w:t>
      </w:r>
    </w:p>
    <w:p w14:paraId="214E0787" w14:textId="77777777" w:rsidR="002D225E" w:rsidRDefault="002D225E" w:rsidP="002D225E">
      <w:pPr>
        <w:spacing w:before="120" w:after="120"/>
        <w:ind w:left="1080" w:hanging="360"/>
        <w:jc w:val="both"/>
        <w:rPr>
          <w:sz w:val="22"/>
          <w:szCs w:val="22"/>
        </w:rPr>
      </w:pPr>
      <w:r>
        <w:rPr>
          <w:sz w:val="22"/>
          <w:szCs w:val="22"/>
        </w:rPr>
        <w:t>(c)</w:t>
      </w:r>
      <w:r>
        <w:rPr>
          <w:sz w:val="22"/>
          <w:szCs w:val="22"/>
        </w:rPr>
        <w:tab/>
        <w:t>promote Licensor Title along with and/or within the Mobile Application, to the extent reasonably practical; and</w:t>
      </w:r>
    </w:p>
    <w:p w14:paraId="498394CB" w14:textId="77777777" w:rsidR="00B86A44" w:rsidRPr="000E723A" w:rsidRDefault="002D225E" w:rsidP="002D225E">
      <w:pPr>
        <w:spacing w:before="120" w:after="120"/>
        <w:ind w:left="1080" w:hanging="360"/>
        <w:jc w:val="both"/>
        <w:rPr>
          <w:sz w:val="22"/>
          <w:szCs w:val="22"/>
        </w:rPr>
      </w:pPr>
      <w:r>
        <w:rPr>
          <w:sz w:val="22"/>
          <w:szCs w:val="22"/>
        </w:rPr>
        <w:t>(d)</w:t>
      </w:r>
      <w:r>
        <w:rPr>
          <w:sz w:val="22"/>
          <w:szCs w:val="22"/>
        </w:rPr>
        <w:tab/>
        <w:t>help coordinate and secure cross-marketing opportunities with Publisher partners.</w:t>
      </w:r>
    </w:p>
    <w:p w14:paraId="57F005EA" w14:textId="77777777" w:rsidR="00EE5BD9" w:rsidRPr="000E723A" w:rsidRDefault="002D225E" w:rsidP="002D225E">
      <w:pPr>
        <w:spacing w:before="120" w:after="120"/>
        <w:ind w:left="720" w:hanging="720"/>
        <w:jc w:val="both"/>
        <w:rPr>
          <w:sz w:val="22"/>
          <w:szCs w:val="22"/>
        </w:rPr>
      </w:pPr>
      <w:r>
        <w:rPr>
          <w:sz w:val="22"/>
          <w:szCs w:val="22"/>
        </w:rPr>
        <w:t>3.4</w:t>
      </w:r>
      <w:r>
        <w:rPr>
          <w:sz w:val="22"/>
          <w:szCs w:val="22"/>
        </w:rPr>
        <w:tab/>
      </w:r>
      <w:r>
        <w:rPr>
          <w:b/>
          <w:sz w:val="22"/>
          <w:szCs w:val="22"/>
        </w:rPr>
        <w:t>Marketing and Promotion</w:t>
      </w:r>
      <w:r>
        <w:rPr>
          <w:sz w:val="22"/>
          <w:szCs w:val="22"/>
        </w:rPr>
        <w:t xml:space="preserve">.  Publisher will provide a co-marketing campaign for the launch and ongoing sale of the Mobile Application within ninety (90) days after the execution of this Agreement and at least thirty (30) days prior to the end of each year of the Term during the Term of this Agreement. </w:t>
      </w:r>
    </w:p>
    <w:p w14:paraId="2E1FB781" w14:textId="77777777" w:rsidR="004E3164" w:rsidRPr="000E723A" w:rsidRDefault="002D225E" w:rsidP="002D225E">
      <w:pPr>
        <w:spacing w:before="120" w:after="120"/>
        <w:ind w:left="720" w:hanging="720"/>
        <w:jc w:val="both"/>
        <w:rPr>
          <w:sz w:val="22"/>
          <w:szCs w:val="22"/>
        </w:rPr>
      </w:pPr>
      <w:r>
        <w:rPr>
          <w:sz w:val="22"/>
          <w:szCs w:val="22"/>
        </w:rPr>
        <w:t>3.5</w:t>
      </w:r>
      <w:r>
        <w:rPr>
          <w:sz w:val="22"/>
          <w:szCs w:val="22"/>
        </w:rPr>
        <w:tab/>
      </w:r>
      <w:r>
        <w:rPr>
          <w:b/>
          <w:sz w:val="22"/>
          <w:szCs w:val="22"/>
        </w:rPr>
        <w:t>Packaging and Credits</w:t>
      </w:r>
      <w:r>
        <w:rPr>
          <w:sz w:val="22"/>
          <w:szCs w:val="22"/>
        </w:rPr>
        <w:t>. Publisher will be responsible for the production and manufacturing of all packaging, sales and marketing materials for use in connection with Publisher’s distribution or other exploitation of the Mobile Application pursuant to this Agreement. Publisher will afford Licensor an appropriate legal credit on or in conjunction with the Mobile Application.  All such materials and credits are subject to prior written approval by Licensor.</w:t>
      </w:r>
    </w:p>
    <w:p w14:paraId="11CF8D02" w14:textId="77777777" w:rsidR="0022764D" w:rsidRPr="000E723A" w:rsidRDefault="002D225E" w:rsidP="002D225E">
      <w:pPr>
        <w:spacing w:before="120" w:after="120"/>
        <w:ind w:left="720" w:hanging="720"/>
        <w:jc w:val="both"/>
        <w:rPr>
          <w:sz w:val="22"/>
          <w:szCs w:val="22"/>
        </w:rPr>
      </w:pPr>
      <w:r>
        <w:rPr>
          <w:sz w:val="22"/>
          <w:szCs w:val="22"/>
        </w:rPr>
        <w:t>3.6</w:t>
      </w:r>
      <w:r>
        <w:rPr>
          <w:sz w:val="22"/>
          <w:szCs w:val="22"/>
        </w:rPr>
        <w:tab/>
      </w:r>
      <w:r>
        <w:rPr>
          <w:b/>
          <w:sz w:val="22"/>
          <w:szCs w:val="22"/>
        </w:rPr>
        <w:t>Pricing</w:t>
      </w:r>
      <w:r>
        <w:rPr>
          <w:sz w:val="22"/>
          <w:szCs w:val="22"/>
        </w:rPr>
        <w:t xml:space="preserve">. Publisher will be entitled to determine, in its sole and absolute discretion, all prices and all price structures (e.g., download or subscription) for the Mobile Applications, including without limitation, all related marketing and promotional allowances and discounts, established in connection with its distribution and sale of the Mobile Applications in the Territory.  However, in no event may Publisher use the Mobile Application as a loss leader. </w:t>
      </w:r>
    </w:p>
    <w:p w14:paraId="62614198" w14:textId="77777777" w:rsidR="00B86A44" w:rsidRPr="000E723A" w:rsidRDefault="00FE3765">
      <w:pPr>
        <w:spacing w:before="240" w:after="60"/>
        <w:jc w:val="both"/>
        <w:rPr>
          <w:sz w:val="22"/>
          <w:szCs w:val="22"/>
        </w:rPr>
      </w:pPr>
      <w:r>
        <w:rPr>
          <w:b/>
          <w:kern w:val="32"/>
          <w:sz w:val="22"/>
          <w:szCs w:val="22"/>
        </w:rPr>
        <w:t>4.</w:t>
      </w:r>
      <w:r>
        <w:rPr>
          <w:kern w:val="32"/>
          <w:sz w:val="22"/>
          <w:szCs w:val="22"/>
        </w:rPr>
        <w:t xml:space="preserve"> </w:t>
      </w:r>
      <w:r>
        <w:rPr>
          <w:kern w:val="32"/>
          <w:sz w:val="22"/>
          <w:szCs w:val="22"/>
        </w:rPr>
        <w:tab/>
      </w:r>
      <w:r>
        <w:rPr>
          <w:b/>
          <w:kern w:val="32"/>
          <w:sz w:val="22"/>
          <w:szCs w:val="22"/>
          <w:u w:val="single"/>
        </w:rPr>
        <w:t>Limited</w:t>
      </w:r>
      <w:r>
        <w:rPr>
          <w:kern w:val="32"/>
          <w:sz w:val="22"/>
          <w:szCs w:val="22"/>
          <w:u w:val="single"/>
        </w:rPr>
        <w:t xml:space="preserve"> </w:t>
      </w:r>
      <w:r>
        <w:rPr>
          <w:b/>
          <w:kern w:val="32"/>
          <w:sz w:val="22"/>
          <w:szCs w:val="22"/>
          <w:u w:val="single"/>
        </w:rPr>
        <w:t>Exclusivity</w:t>
      </w:r>
    </w:p>
    <w:p w14:paraId="481E4314" w14:textId="77777777" w:rsidR="00B86A44" w:rsidRPr="000E723A" w:rsidRDefault="00B86A44">
      <w:pPr>
        <w:pStyle w:val="BodyText"/>
        <w:tabs>
          <w:tab w:val="clear" w:pos="2340"/>
          <w:tab w:val="clear" w:pos="8010"/>
          <w:tab w:val="clear" w:pos="8640"/>
        </w:tabs>
        <w:spacing w:before="120" w:after="120"/>
        <w:rPr>
          <w:szCs w:val="22"/>
        </w:rPr>
      </w:pPr>
      <w:r>
        <w:rPr>
          <w:szCs w:val="22"/>
        </w:rPr>
        <w:lastRenderedPageBreak/>
        <w:t xml:space="preserve">During the Term, and subject to compliance with the material terms herein (including compliance with milestone schedule and development obligations), Publisher will have the exclusive rights to develop, publish, distribute, market, and sell the applicable Mobile Application based on that Licensor Title in the Territory solely with respect to the Mobile Platform. </w:t>
      </w:r>
    </w:p>
    <w:p w14:paraId="4C002E75" w14:textId="77777777" w:rsidR="00B86A44" w:rsidRPr="000E723A" w:rsidRDefault="00FE3765">
      <w:pPr>
        <w:spacing w:before="240" w:after="60"/>
        <w:jc w:val="both"/>
        <w:rPr>
          <w:b/>
          <w:kern w:val="32"/>
          <w:sz w:val="22"/>
          <w:szCs w:val="22"/>
          <w:u w:val="single"/>
        </w:rPr>
      </w:pPr>
      <w:r>
        <w:rPr>
          <w:b/>
          <w:kern w:val="32"/>
          <w:sz w:val="22"/>
          <w:szCs w:val="22"/>
        </w:rPr>
        <w:t>5.</w:t>
      </w:r>
      <w:r>
        <w:rPr>
          <w:b/>
          <w:kern w:val="32"/>
          <w:sz w:val="22"/>
          <w:szCs w:val="22"/>
        </w:rPr>
        <w:tab/>
      </w:r>
      <w:r>
        <w:rPr>
          <w:b/>
          <w:kern w:val="32"/>
          <w:sz w:val="22"/>
          <w:szCs w:val="22"/>
          <w:u w:val="single"/>
        </w:rPr>
        <w:t>Term</w:t>
      </w:r>
    </w:p>
    <w:p w14:paraId="3E031053" w14:textId="77777777" w:rsidR="002E27D6" w:rsidRPr="000E723A" w:rsidRDefault="002D225E" w:rsidP="000C7EB4">
      <w:pPr>
        <w:pStyle w:val="BodyText"/>
        <w:tabs>
          <w:tab w:val="clear" w:pos="2340"/>
          <w:tab w:val="clear" w:pos="8010"/>
          <w:tab w:val="clear" w:pos="8640"/>
          <w:tab w:val="left" w:pos="720"/>
        </w:tabs>
        <w:spacing w:before="240" w:after="120"/>
        <w:ind w:left="720" w:hanging="720"/>
        <w:rPr>
          <w:szCs w:val="22"/>
        </w:rPr>
      </w:pPr>
      <w:r>
        <w:rPr>
          <w:szCs w:val="22"/>
        </w:rPr>
        <w:t>5.1</w:t>
      </w:r>
      <w:r>
        <w:rPr>
          <w:szCs w:val="22"/>
        </w:rPr>
        <w:tab/>
      </w:r>
      <w:r>
        <w:rPr>
          <w:b/>
          <w:szCs w:val="22"/>
        </w:rPr>
        <w:t>Initial Term</w:t>
      </w:r>
      <w:r>
        <w:rPr>
          <w:szCs w:val="22"/>
        </w:rPr>
        <w:t>. The Term of this Agreement with regard to the Mobile Application (defined collectively with any Renewal Term (defined below) as the “</w:t>
      </w:r>
      <w:r>
        <w:rPr>
          <w:b/>
          <w:szCs w:val="22"/>
        </w:rPr>
        <w:t>Term</w:t>
      </w:r>
      <w:r>
        <w:rPr>
          <w:szCs w:val="22"/>
        </w:rPr>
        <w:t xml:space="preserve">”) will begin on the Effective Date and will expire on the earlier of (a) two-year anniversary of the first commercial launch of the Mobile Application, or (b) 9/27/2029. </w:t>
      </w:r>
      <w:r>
        <w:rPr>
          <w:szCs w:val="22"/>
        </w:rPr>
        <w:tab/>
      </w:r>
      <w:r>
        <w:rPr>
          <w:szCs w:val="22"/>
        </w:rPr>
        <w:tab/>
      </w:r>
      <w:r>
        <w:rPr>
          <w:szCs w:val="22"/>
        </w:rPr>
        <w:tab/>
      </w:r>
      <w:r>
        <w:rPr>
          <w:szCs w:val="22"/>
        </w:rPr>
        <w:tab/>
      </w:r>
      <w:r>
        <w:rPr>
          <w:szCs w:val="22"/>
        </w:rPr>
        <w:tab/>
      </w:r>
      <w:r>
        <w:rPr>
          <w:szCs w:val="22"/>
        </w:rPr>
        <w:tab/>
      </w:r>
    </w:p>
    <w:p w14:paraId="1696277B" w14:textId="77777777" w:rsidR="0092046D" w:rsidRPr="000E723A" w:rsidRDefault="002D225E" w:rsidP="000C7EB4">
      <w:pPr>
        <w:pStyle w:val="BodyText"/>
        <w:tabs>
          <w:tab w:val="clear" w:pos="2340"/>
          <w:tab w:val="clear" w:pos="8010"/>
          <w:tab w:val="clear" w:pos="8640"/>
          <w:tab w:val="left" w:pos="720"/>
        </w:tabs>
        <w:spacing w:after="120"/>
        <w:ind w:left="720" w:hanging="720"/>
        <w:rPr>
          <w:szCs w:val="22"/>
        </w:rPr>
      </w:pPr>
      <w:r>
        <w:rPr>
          <w:szCs w:val="22"/>
        </w:rPr>
        <w:t>5.2</w:t>
      </w:r>
      <w:r>
        <w:rPr>
          <w:szCs w:val="22"/>
        </w:rPr>
        <w:tab/>
      </w:r>
      <w:r>
        <w:rPr>
          <w:b/>
          <w:szCs w:val="22"/>
        </w:rPr>
        <w:t>Renewal Term.</w:t>
      </w:r>
      <w:r>
        <w:rPr>
          <w:szCs w:val="22"/>
        </w:rPr>
        <w:t xml:space="preserve"> The Term shall automatically renew for one additional one-year period unless either party provides notice not to continue no later than sixty (60) days prior to the end of the initial Term.  Any additional renewals shall be subject to mutual agreement not less than sixty (60) days before the end of the then-current term.  </w:t>
      </w:r>
    </w:p>
    <w:p w14:paraId="19755FAB" w14:textId="77777777" w:rsidR="002D225E" w:rsidRDefault="002D225E" w:rsidP="000C7EB4">
      <w:pPr>
        <w:pStyle w:val="BodyText"/>
        <w:tabs>
          <w:tab w:val="clear" w:pos="2340"/>
          <w:tab w:val="clear" w:pos="8010"/>
          <w:tab w:val="clear" w:pos="8640"/>
          <w:tab w:val="left" w:pos="720"/>
        </w:tabs>
        <w:spacing w:after="120"/>
        <w:ind w:left="720" w:hanging="720"/>
        <w:rPr>
          <w:szCs w:val="22"/>
        </w:rPr>
      </w:pPr>
      <w:r>
        <w:rPr>
          <w:szCs w:val="22"/>
        </w:rPr>
        <w:t>5.3</w:t>
      </w:r>
      <w:r>
        <w:rPr>
          <w:szCs w:val="22"/>
        </w:rPr>
        <w:tab/>
      </w:r>
      <w:r>
        <w:rPr>
          <w:b/>
          <w:szCs w:val="22"/>
        </w:rPr>
        <w:t>Sell Off Period.</w:t>
      </w:r>
      <w:r>
        <w:rPr>
          <w:szCs w:val="22"/>
        </w:rPr>
        <w:t xml:space="preserve"> For a 6 month sell-off period after the conclusion of the Term (for reasons other than termination for cause), Publisher will be permitted to continue to sell the Mobile Application remaining in Publisher’s distribution channels on a non-exclusive basis only to the extent its distributors have pre-existing obligations to end users (i.e., if a carrier has previously sold an end user a subscription where the term goes beyond the expiration date of the Agreement).  </w:t>
      </w:r>
    </w:p>
    <w:p w14:paraId="46E3EF9F" w14:textId="77777777" w:rsidR="002D225E" w:rsidRDefault="002D225E" w:rsidP="000C7EB4">
      <w:pPr>
        <w:pStyle w:val="BodyText"/>
        <w:tabs>
          <w:tab w:val="clear" w:pos="2340"/>
          <w:tab w:val="clear" w:pos="8010"/>
          <w:tab w:val="clear" w:pos="8640"/>
          <w:tab w:val="left" w:pos="720"/>
        </w:tabs>
        <w:spacing w:after="120"/>
        <w:ind w:left="720" w:hanging="720"/>
        <w:rPr>
          <w:szCs w:val="22"/>
        </w:rPr>
      </w:pPr>
      <w:r>
        <w:rPr>
          <w:szCs w:val="22"/>
        </w:rPr>
        <w:t>5.4</w:t>
      </w:r>
      <w:r>
        <w:rPr>
          <w:szCs w:val="22"/>
        </w:rPr>
        <w:tab/>
      </w:r>
      <w:r>
        <w:rPr>
          <w:b/>
          <w:szCs w:val="22"/>
        </w:rPr>
        <w:t>Termination for Cause</w:t>
      </w:r>
      <w:r>
        <w:rPr>
          <w:szCs w:val="22"/>
        </w:rPr>
        <w:t>. Without limiting other rights or remedies, either party may terminate this Agreement in the event a material breach by the other party remains uncured after thirty (30</w:t>
      </w:r>
      <w:r>
        <w:rPr>
          <w:szCs w:val="22"/>
          <w:highlight w:val="yellow"/>
        </w:rPr>
        <w:t>)</w:t>
      </w:r>
      <w:r>
        <w:rPr>
          <w:szCs w:val="22"/>
        </w:rPr>
        <w:t xml:space="preserve"> days prior written notice of such breach.  </w:t>
      </w:r>
      <w:r>
        <w:rPr>
          <w:szCs w:val="22"/>
        </w:rPr>
        <w:tab/>
      </w:r>
    </w:p>
    <w:p w14:paraId="316C920F" w14:textId="77777777" w:rsidR="002D225E" w:rsidRDefault="002D225E" w:rsidP="000C7EB4">
      <w:pPr>
        <w:pStyle w:val="BodyText"/>
        <w:tabs>
          <w:tab w:val="clear" w:pos="2340"/>
          <w:tab w:val="clear" w:pos="8010"/>
          <w:tab w:val="clear" w:pos="8640"/>
          <w:tab w:val="left" w:pos="720"/>
        </w:tabs>
        <w:spacing w:after="120"/>
        <w:ind w:left="720" w:hanging="720"/>
        <w:rPr>
          <w:szCs w:val="22"/>
        </w:rPr>
      </w:pPr>
      <w:r>
        <w:rPr>
          <w:szCs w:val="22"/>
        </w:rPr>
        <w:t>5.5</w:t>
      </w:r>
      <w:r>
        <w:rPr>
          <w:szCs w:val="22"/>
        </w:rPr>
        <w:tab/>
      </w:r>
      <w:r>
        <w:rPr>
          <w:b/>
          <w:szCs w:val="22"/>
        </w:rPr>
        <w:t>Termination for Convenience</w:t>
      </w:r>
      <w:r>
        <w:rPr>
          <w:szCs w:val="22"/>
        </w:rPr>
        <w:t xml:space="preserve">: Upon mutual agreement, the parties may terminate the Agreement at any time prior to Publisher submitting the Mobile Application to any carrier. </w:t>
      </w:r>
    </w:p>
    <w:p w14:paraId="2D2C277C" w14:textId="77777777" w:rsidR="00990973" w:rsidRPr="000E723A" w:rsidRDefault="002D225E" w:rsidP="002D225E">
      <w:pPr>
        <w:pStyle w:val="BodyText"/>
        <w:tabs>
          <w:tab w:val="clear" w:pos="2340"/>
          <w:tab w:val="clear" w:pos="8010"/>
          <w:tab w:val="clear" w:pos="8640"/>
          <w:tab w:val="left" w:pos="720"/>
        </w:tabs>
        <w:spacing w:after="120"/>
        <w:ind w:left="360" w:hanging="360"/>
        <w:rPr>
          <w:szCs w:val="22"/>
        </w:rPr>
      </w:pPr>
      <w:r>
        <w:rPr>
          <w:szCs w:val="22"/>
        </w:rPr>
        <w:t>5.6</w:t>
      </w:r>
      <w:r>
        <w:rPr>
          <w:szCs w:val="22"/>
        </w:rPr>
        <w:tab/>
      </w:r>
      <w:r>
        <w:rPr>
          <w:szCs w:val="22"/>
        </w:rPr>
        <w:tab/>
      </w:r>
      <w:r>
        <w:rPr>
          <w:b/>
          <w:szCs w:val="22"/>
        </w:rPr>
        <w:t>Termination for Bankruptcy</w:t>
      </w:r>
      <w:r>
        <w:rPr>
          <w:szCs w:val="22"/>
        </w:rPr>
        <w:t xml:space="preserve">:  </w:t>
      </w:r>
    </w:p>
    <w:p w14:paraId="11F39851" w14:textId="77777777" w:rsidR="00990973" w:rsidRPr="000E723A" w:rsidRDefault="002D225E" w:rsidP="00BE09EB">
      <w:pPr>
        <w:pStyle w:val="BodyText"/>
        <w:tabs>
          <w:tab w:val="clear" w:pos="2340"/>
          <w:tab w:val="clear" w:pos="8010"/>
          <w:tab w:val="clear" w:pos="8640"/>
          <w:tab w:val="left" w:pos="1440"/>
        </w:tabs>
        <w:spacing w:before="240"/>
        <w:ind w:left="720" w:hanging="360"/>
        <w:rPr>
          <w:szCs w:val="22"/>
        </w:rPr>
      </w:pPr>
      <w:r>
        <w:rPr>
          <w:szCs w:val="22"/>
        </w:rPr>
        <w:t>(a)</w:t>
      </w:r>
      <w:r>
        <w:rPr>
          <w:szCs w:val="22"/>
        </w:rPr>
        <w:tab/>
        <w:t>This Agreement will terminate automatically, without any notice, if any of the following occurs: (i) a petition in bankruptcy is filed by or against Publisher; (ii) Publisher is adjudicated bankrupt, which is not dismissed within thirty (30) days; (iii) Publisher makes any assignment for the benefit of creditors; (iv) Publisher becomes insolvent or is placed in the hands of a trustee or receiver; or (v) Publisher is unable to pay its debts as they become due or fails to satisfy any judgment against it.</w:t>
      </w:r>
    </w:p>
    <w:p w14:paraId="49270DDA" w14:textId="77777777" w:rsidR="00990973" w:rsidRPr="000E723A" w:rsidRDefault="002D225E" w:rsidP="00BE09EB">
      <w:pPr>
        <w:pStyle w:val="BodyText"/>
        <w:tabs>
          <w:tab w:val="clear" w:pos="2340"/>
          <w:tab w:val="clear" w:pos="8010"/>
          <w:tab w:val="clear" w:pos="8640"/>
          <w:tab w:val="left" w:pos="1440"/>
        </w:tabs>
        <w:spacing w:before="240"/>
        <w:ind w:left="720" w:hanging="360"/>
        <w:rPr>
          <w:szCs w:val="22"/>
        </w:rPr>
      </w:pPr>
      <w:r>
        <w:rPr>
          <w:szCs w:val="22"/>
        </w:rPr>
        <w:t>(b)</w:t>
      </w:r>
      <w:r>
        <w:rPr>
          <w:szCs w:val="22"/>
        </w:rPr>
        <w:tab/>
        <w:t xml:space="preserve">Upon termination under </w:t>
      </w:r>
      <w:r>
        <w:rPr>
          <w:b/>
          <w:szCs w:val="22"/>
          <w:u w:val="single"/>
        </w:rPr>
        <w:t>Section 5.6</w:t>
      </w:r>
      <w:r>
        <w:rPr>
          <w:szCs w:val="22"/>
        </w:rPr>
        <w:t xml:space="preserve">, Publisher, its receiver, representatives, trustees, agents, administrators, successors and assigns will have no further rights under this Agreement nor will any rights or interest herein be deemed an asset in any insolvency, receivership, or bankruptcy. </w:t>
      </w:r>
    </w:p>
    <w:p w14:paraId="7A4B4766" w14:textId="77777777" w:rsidR="000309E0" w:rsidRPr="000E723A" w:rsidRDefault="002D225E" w:rsidP="000C7EB4">
      <w:pPr>
        <w:pStyle w:val="BodyText"/>
        <w:tabs>
          <w:tab w:val="clear" w:pos="2340"/>
          <w:tab w:val="clear" w:pos="8010"/>
          <w:tab w:val="clear" w:pos="8640"/>
          <w:tab w:val="left" w:pos="720"/>
        </w:tabs>
        <w:spacing w:before="240"/>
        <w:ind w:left="720" w:hanging="720"/>
        <w:rPr>
          <w:szCs w:val="22"/>
        </w:rPr>
      </w:pPr>
      <w:r>
        <w:rPr>
          <w:szCs w:val="22"/>
        </w:rPr>
        <w:t>5.7</w:t>
      </w:r>
      <w:r>
        <w:rPr>
          <w:szCs w:val="22"/>
        </w:rPr>
        <w:tab/>
      </w:r>
      <w:r>
        <w:rPr>
          <w:b/>
          <w:szCs w:val="22"/>
        </w:rPr>
        <w:t>Effect of Termination</w:t>
      </w:r>
      <w:r>
        <w:rPr>
          <w:szCs w:val="22"/>
        </w:rPr>
        <w:t>. Upon termination or expiration of the Term all rights granted to Publisher shall terminate and provisions which by their nature survive shall survive, including with respect to confidentiality, warranties, and payments owed.</w:t>
      </w:r>
      <w:r>
        <w:rPr>
          <w:szCs w:val="22"/>
        </w:rPr>
        <w:tab/>
      </w:r>
    </w:p>
    <w:p w14:paraId="34FF00C7" w14:textId="77777777" w:rsidR="000309E0" w:rsidRPr="000E723A" w:rsidRDefault="00FE3765" w:rsidP="000309E0">
      <w:pPr>
        <w:pStyle w:val="BodyText"/>
        <w:tabs>
          <w:tab w:val="clear" w:pos="2340"/>
          <w:tab w:val="clear" w:pos="8010"/>
          <w:tab w:val="clear" w:pos="8640"/>
          <w:tab w:val="left" w:pos="720"/>
        </w:tabs>
        <w:spacing w:before="240"/>
        <w:ind w:left="1440" w:hanging="1440"/>
        <w:rPr>
          <w:b/>
          <w:szCs w:val="22"/>
          <w:u w:val="single"/>
        </w:rPr>
      </w:pPr>
      <w:r>
        <w:rPr>
          <w:b/>
          <w:szCs w:val="22"/>
        </w:rPr>
        <w:t xml:space="preserve">6. </w:t>
      </w:r>
      <w:r>
        <w:rPr>
          <w:b/>
          <w:szCs w:val="22"/>
        </w:rPr>
        <w:tab/>
      </w:r>
      <w:r>
        <w:rPr>
          <w:b/>
          <w:szCs w:val="22"/>
          <w:u w:val="single"/>
        </w:rPr>
        <w:t>Guarantee and Advance</w:t>
      </w:r>
    </w:p>
    <w:p w14:paraId="35CD9B59" w14:textId="77777777" w:rsidR="000309E0" w:rsidRPr="000E723A" w:rsidRDefault="002D225E" w:rsidP="002D225E">
      <w:pPr>
        <w:pStyle w:val="BodyText"/>
        <w:tabs>
          <w:tab w:val="clear" w:pos="2340"/>
          <w:tab w:val="clear" w:pos="8010"/>
          <w:tab w:val="clear" w:pos="8640"/>
          <w:tab w:val="left" w:pos="720"/>
        </w:tabs>
        <w:spacing w:before="240"/>
        <w:ind w:left="720" w:hanging="720"/>
        <w:rPr>
          <w:szCs w:val="22"/>
        </w:rPr>
      </w:pPr>
      <w:r>
        <w:rPr>
          <w:szCs w:val="22"/>
        </w:rPr>
        <w:t>6.1</w:t>
      </w:r>
      <w:r>
        <w:rPr>
          <w:szCs w:val="22"/>
        </w:rPr>
        <w:tab/>
        <w:t>For the Mobile Application Publisher shall pay Licensor a Guarantee as an advance on Royalties in the amount of $20,000 (the “</w:t>
      </w:r>
      <w:r>
        <w:rPr>
          <w:b/>
          <w:szCs w:val="22"/>
        </w:rPr>
        <w:t>Guarantee</w:t>
      </w:r>
      <w:r>
        <w:rPr>
          <w:szCs w:val="22"/>
        </w:rPr>
        <w:t xml:space="preserve">”) as follows: </w:t>
      </w:r>
    </w:p>
    <w:p w14:paraId="2BCD82FE" w14:textId="77777777" w:rsidR="00202A18" w:rsidRPr="000E723A" w:rsidRDefault="000309E0" w:rsidP="000309E0">
      <w:pPr>
        <w:pStyle w:val="BodyText"/>
        <w:tabs>
          <w:tab w:val="clear" w:pos="2340"/>
          <w:tab w:val="clear" w:pos="8010"/>
          <w:tab w:val="clear" w:pos="8640"/>
          <w:tab w:val="left" w:pos="720"/>
        </w:tabs>
        <w:spacing w:before="240"/>
        <w:ind w:left="1440" w:hanging="1440"/>
        <w:rPr>
          <w:szCs w:val="22"/>
        </w:rPr>
      </w:pPr>
      <w:r>
        <w:rPr>
          <w:szCs w:val="22"/>
        </w:rPr>
        <w:tab/>
      </w:r>
      <w:r>
        <w:rPr>
          <w:bCs/>
          <w:szCs w:val="22"/>
        </w:rPr>
        <w:t xml:space="preserve">(a) </w:t>
      </w:r>
      <w:r>
        <w:rPr>
          <w:bCs/>
          <w:szCs w:val="22"/>
        </w:rPr>
        <w:tab/>
        <w:t>Publisher shall pay an advance to Licensor in the amount of $5,000 payable within thirty (30) days of the execution of this Agreement(the “</w:t>
      </w:r>
      <w:r>
        <w:rPr>
          <w:b/>
          <w:bCs/>
          <w:szCs w:val="22"/>
        </w:rPr>
        <w:t>First Payment</w:t>
      </w:r>
      <w:r>
        <w:rPr>
          <w:bCs/>
          <w:szCs w:val="22"/>
        </w:rPr>
        <w:t xml:space="preserve">”), </w:t>
      </w:r>
    </w:p>
    <w:p w14:paraId="06272610" w14:textId="77777777" w:rsidR="00202A18" w:rsidRPr="000E723A" w:rsidRDefault="0051153D" w:rsidP="009E4DBD">
      <w:pPr>
        <w:pStyle w:val="Heading1"/>
        <w:spacing w:after="0"/>
        <w:ind w:left="1440" w:hanging="720"/>
        <w:jc w:val="both"/>
        <w:rPr>
          <w:rFonts w:ascii="Times New Roman" w:hAnsi="Times New Roman" w:cs="Times New Roman"/>
          <w:b w:val="0"/>
          <w:bCs w:val="0"/>
          <w:kern w:val="0"/>
          <w:sz w:val="22"/>
          <w:szCs w:val="22"/>
        </w:rPr>
      </w:pPr>
      <w:r>
        <w:rPr>
          <w:rFonts w:ascii="Times New Roman" w:hAnsi="Times New Roman" w:cs="Times New Roman"/>
          <w:b w:val="0"/>
          <w:bCs w:val="0"/>
          <w:kern w:val="0"/>
          <w:sz w:val="22"/>
          <w:szCs w:val="22"/>
        </w:rPr>
        <w:lastRenderedPageBreak/>
        <w:t xml:space="preserve">(b) </w:t>
      </w:r>
      <w:r>
        <w:rPr>
          <w:rFonts w:ascii="Times New Roman" w:hAnsi="Times New Roman" w:cs="Times New Roman"/>
          <w:b w:val="0"/>
          <w:bCs w:val="0"/>
          <w:kern w:val="0"/>
          <w:sz w:val="22"/>
          <w:szCs w:val="22"/>
        </w:rPr>
        <w:tab/>
        <w:t>Publisher shall pay an additional advance to Licensor in the amount of $5,000 within thirty (30) days of the earlier of the first commercial release of the Mobile Application, or July 1, 2027 (the “</w:t>
      </w:r>
      <w:r>
        <w:rPr>
          <w:rFonts w:ascii="Times New Roman" w:hAnsi="Times New Roman" w:cs="Times New Roman"/>
          <w:bCs w:val="0"/>
          <w:kern w:val="0"/>
          <w:sz w:val="22"/>
          <w:szCs w:val="22"/>
        </w:rPr>
        <w:t>Second Payment</w:t>
      </w:r>
      <w:r>
        <w:rPr>
          <w:rFonts w:ascii="Times New Roman" w:hAnsi="Times New Roman" w:cs="Times New Roman"/>
          <w:b w:val="0"/>
          <w:bCs w:val="0"/>
          <w:kern w:val="0"/>
          <w:sz w:val="22"/>
          <w:szCs w:val="22"/>
        </w:rPr>
        <w:t xml:space="preserve">”). </w:t>
      </w:r>
    </w:p>
    <w:p w14:paraId="26EBFAD9" w14:textId="77777777" w:rsidR="00593D1A" w:rsidRPr="000E723A" w:rsidRDefault="00087CD6" w:rsidP="00882A70">
      <w:pPr>
        <w:pStyle w:val="Heading1"/>
        <w:spacing w:after="0"/>
        <w:ind w:left="720"/>
        <w:jc w:val="both"/>
        <w:rPr>
          <w:rFonts w:ascii="Times New Roman" w:hAnsi="Times New Roman" w:cs="Times New Roman"/>
          <w:b w:val="0"/>
          <w:color w:val="000000"/>
          <w:sz w:val="22"/>
          <w:szCs w:val="22"/>
        </w:rPr>
      </w:pPr>
      <w:r>
        <w:rPr>
          <w:rFonts w:ascii="Times New Roman" w:hAnsi="Times New Roman" w:cs="Times New Roman"/>
          <w:b w:val="0"/>
          <w:sz w:val="22"/>
          <w:szCs w:val="22"/>
        </w:rPr>
        <w:t xml:space="preserve">The Guarantee is non-refundable but Publisher may recoup the Guarantee against Royalties otherwise payable to Licensor from the Mobile Application before paying out to Licensor any Royalties for that Mobile Application. </w:t>
      </w:r>
    </w:p>
    <w:p w14:paraId="460311CD" w14:textId="77777777" w:rsidR="00B86A44" w:rsidRPr="000E723A" w:rsidRDefault="00FE3765">
      <w:pPr>
        <w:pStyle w:val="Heading1"/>
        <w:jc w:val="both"/>
        <w:rPr>
          <w:rFonts w:ascii="Times New Roman" w:hAnsi="Times New Roman" w:cs="Times New Roman"/>
          <w:sz w:val="22"/>
          <w:szCs w:val="22"/>
          <w:u w:val="single"/>
        </w:rPr>
      </w:pPr>
      <w:r>
        <w:rPr>
          <w:rFonts w:ascii="Times New Roman" w:hAnsi="Times New Roman" w:cs="Times New Roman"/>
          <w:sz w:val="22"/>
          <w:szCs w:val="22"/>
        </w:rPr>
        <w:t>7.</w:t>
      </w:r>
      <w:bookmarkStart w:id="5" w:name="_Ref56571581"/>
      <w:r>
        <w:rPr>
          <w:rFonts w:ascii="Times New Roman" w:hAnsi="Times New Roman" w:cs="Times New Roman"/>
          <w:sz w:val="22"/>
          <w:szCs w:val="22"/>
        </w:rPr>
        <w:t xml:space="preserve"> </w:t>
      </w:r>
      <w:r>
        <w:rPr>
          <w:rFonts w:ascii="Times New Roman" w:hAnsi="Times New Roman" w:cs="Times New Roman"/>
          <w:sz w:val="22"/>
          <w:szCs w:val="22"/>
        </w:rPr>
        <w:tab/>
      </w:r>
      <w:r>
        <w:rPr>
          <w:rFonts w:ascii="Times New Roman" w:hAnsi="Times New Roman" w:cs="Times New Roman"/>
          <w:sz w:val="22"/>
          <w:szCs w:val="22"/>
          <w:u w:val="single"/>
        </w:rPr>
        <w:t>Royalties</w:t>
      </w:r>
      <w:bookmarkEnd w:id="5"/>
    </w:p>
    <w:p w14:paraId="7ECEBD6F" w14:textId="77777777" w:rsidR="00B86A44" w:rsidRPr="000E723A" w:rsidRDefault="00B86A44">
      <w:pPr>
        <w:pStyle w:val="PlainText"/>
        <w:spacing w:before="120" w:after="120"/>
        <w:jc w:val="both"/>
        <w:rPr>
          <w:rFonts w:ascii="Times New Roman" w:hAnsi="Times New Roman" w:cs="Times New Roman"/>
          <w:sz w:val="22"/>
          <w:szCs w:val="22"/>
        </w:rPr>
      </w:pPr>
      <w:r>
        <w:rPr>
          <w:rFonts w:ascii="Times New Roman" w:hAnsi="Times New Roman" w:cs="Times New Roman"/>
          <w:sz w:val="22"/>
          <w:szCs w:val="22"/>
        </w:rPr>
        <w:t>In consideration of the rights granted to Publisher, Publisher shall pay to Licensor royalties as follows (“</w:t>
      </w:r>
      <w:r>
        <w:rPr>
          <w:rFonts w:ascii="Times New Roman" w:hAnsi="Times New Roman" w:cs="Times New Roman"/>
          <w:b/>
          <w:sz w:val="22"/>
          <w:szCs w:val="22"/>
        </w:rPr>
        <w:t>Royalties</w:t>
      </w:r>
      <w:r>
        <w:rPr>
          <w:rFonts w:ascii="Times New Roman" w:hAnsi="Times New Roman" w:cs="Times New Roman"/>
          <w:sz w:val="22"/>
          <w:szCs w:val="22"/>
        </w:rPr>
        <w:t>”):</w:t>
      </w:r>
    </w:p>
    <w:p w14:paraId="5C4654F7" w14:textId="77777777" w:rsidR="00B86A44" w:rsidRPr="000E723A" w:rsidRDefault="000C7EB4" w:rsidP="000C7EB4">
      <w:pPr>
        <w:pStyle w:val="PlainText"/>
        <w:spacing w:before="120" w:after="120"/>
        <w:ind w:left="720" w:hanging="720"/>
        <w:jc w:val="both"/>
        <w:rPr>
          <w:rFonts w:ascii="Times New Roman" w:hAnsi="Times New Roman" w:cs="Times New Roman"/>
          <w:sz w:val="22"/>
          <w:szCs w:val="22"/>
        </w:rPr>
      </w:pPr>
      <w:r>
        <w:rPr>
          <w:rFonts w:ascii="Times New Roman" w:hAnsi="Times New Roman" w:cs="Times New Roman"/>
          <w:sz w:val="22"/>
          <w:szCs w:val="22"/>
        </w:rPr>
        <w:t>7.1</w:t>
      </w:r>
      <w:r>
        <w:rPr>
          <w:rFonts w:ascii="Times New Roman" w:hAnsi="Times New Roman" w:cs="Times New Roman"/>
          <w:sz w:val="22"/>
          <w:szCs w:val="22"/>
        </w:rPr>
        <w:tab/>
      </w:r>
      <w:r>
        <w:rPr>
          <w:rFonts w:ascii="Times New Roman" w:hAnsi="Times New Roman" w:cs="Times New Roman"/>
          <w:b/>
          <w:sz w:val="22"/>
          <w:szCs w:val="22"/>
        </w:rPr>
        <w:t>Royalty for the First Mobile Application</w:t>
      </w:r>
      <w:r>
        <w:rPr>
          <w:rFonts w:ascii="Times New Roman" w:hAnsi="Times New Roman" w:cs="Times New Roman"/>
          <w:sz w:val="22"/>
          <w:szCs w:val="22"/>
        </w:rPr>
        <w:t xml:space="preserve">. Publisher shall pay Royalties at the rate of 2% of Publisher’s Gross Revenues derived from sales of the Mobile Application.  </w:t>
      </w:r>
    </w:p>
    <w:p w14:paraId="11367B7F" w14:textId="77777777" w:rsidR="00B86A44" w:rsidRPr="000E723A" w:rsidRDefault="000C7EB4" w:rsidP="000C7EB4">
      <w:pPr>
        <w:pStyle w:val="PlainText"/>
        <w:spacing w:before="120" w:after="120"/>
        <w:ind w:left="720" w:hanging="720"/>
        <w:jc w:val="both"/>
        <w:rPr>
          <w:rFonts w:ascii="Times New Roman" w:hAnsi="Times New Roman" w:cs="Times New Roman"/>
          <w:sz w:val="22"/>
          <w:szCs w:val="22"/>
        </w:rPr>
      </w:pPr>
      <w:r>
        <w:rPr>
          <w:rFonts w:ascii="Times New Roman" w:hAnsi="Times New Roman" w:cs="Times New Roman"/>
          <w:sz w:val="22"/>
          <w:szCs w:val="22"/>
        </w:rPr>
        <w:t>7.2</w:t>
      </w:r>
      <w:r>
        <w:rPr>
          <w:rFonts w:ascii="Times New Roman" w:hAnsi="Times New Roman" w:cs="Times New Roman"/>
          <w:sz w:val="22"/>
          <w:szCs w:val="22"/>
        </w:rPr>
        <w:tab/>
      </w:r>
      <w:r>
        <w:rPr>
          <w:rFonts w:ascii="Times New Roman" w:hAnsi="Times New Roman" w:cs="Times New Roman"/>
          <w:b/>
          <w:sz w:val="22"/>
          <w:szCs w:val="22"/>
        </w:rPr>
        <w:t>Payment Terms</w:t>
      </w:r>
      <w:r>
        <w:rPr>
          <w:rFonts w:ascii="Times New Roman" w:hAnsi="Times New Roman" w:cs="Times New Roman"/>
          <w:sz w:val="22"/>
          <w:szCs w:val="22"/>
        </w:rPr>
        <w:t>.  Publisher shall pay all Royalties to PixelRush Studios monthly within thirty (30) days of the end of each month, in U.S. Dollars, by check or electronic transfer to such bank account as PixelRush Studios may from time to time notify in writing to the Publisher. In the event of transactions giving rise to an obligation to make a payment hereunder with respect to which Publisher receives payment in a currency other than U.S. Dollars, all payments required to be made by Publisher under this Section 4 shall be converted, prior to payment, into U.S. Dollars at the applicable rate of exchange shown on www.oanda.com using the FXConverter and the interbank rate as of the last day of the calendar month in which such transactions occurred.  In addition to other remedies, PixelRush Studios may charge a late fee calculated at a rate equal to the lesser of (a) one and one-half percent (1½%) per month; or (b) the highest rate allowable under applicable law, applied against the outstanding balance from the due date until the date of full payment..</w:t>
      </w:r>
    </w:p>
    <w:p w14:paraId="722C82F6" w14:textId="77777777" w:rsidR="00B86A44" w:rsidRPr="000E723A" w:rsidRDefault="000C7EB4" w:rsidP="000C7EB4">
      <w:pPr>
        <w:pStyle w:val="PlainText"/>
        <w:spacing w:before="120" w:after="120"/>
        <w:ind w:left="720" w:hanging="720"/>
        <w:jc w:val="both"/>
        <w:rPr>
          <w:rFonts w:ascii="Times New Roman" w:hAnsi="Times New Roman" w:cs="Times New Roman"/>
          <w:sz w:val="22"/>
          <w:szCs w:val="22"/>
        </w:rPr>
      </w:pPr>
      <w:r>
        <w:rPr>
          <w:rFonts w:ascii="Times New Roman" w:hAnsi="Times New Roman" w:cs="Times New Roman"/>
          <w:sz w:val="22"/>
          <w:szCs w:val="22"/>
        </w:rPr>
        <w:t>7.3</w:t>
      </w:r>
      <w:r>
        <w:rPr>
          <w:rFonts w:ascii="Times New Roman" w:hAnsi="Times New Roman" w:cs="Times New Roman"/>
          <w:sz w:val="22"/>
          <w:szCs w:val="22"/>
        </w:rPr>
        <w:tab/>
      </w:r>
      <w:r>
        <w:rPr>
          <w:rFonts w:ascii="Times New Roman" w:hAnsi="Times New Roman" w:cs="Times New Roman"/>
          <w:b/>
          <w:sz w:val="22"/>
          <w:szCs w:val="22"/>
        </w:rPr>
        <w:t>Royalty Report</w:t>
      </w:r>
      <w:r>
        <w:rPr>
          <w:rFonts w:ascii="Times New Roman" w:hAnsi="Times New Roman" w:cs="Times New Roman"/>
          <w:sz w:val="22"/>
          <w:szCs w:val="22"/>
        </w:rPr>
        <w:t>.  Along with each monthly Royalty payment, Publisher will provide to PixelRush Studios a statement (the “</w:t>
      </w:r>
      <w:r>
        <w:rPr>
          <w:rFonts w:ascii="Times New Roman" w:hAnsi="Times New Roman" w:cs="Times New Roman"/>
          <w:b/>
          <w:sz w:val="22"/>
          <w:szCs w:val="22"/>
        </w:rPr>
        <w:t>Royalty Report</w:t>
      </w:r>
      <w:r>
        <w:rPr>
          <w:rFonts w:ascii="Times New Roman" w:hAnsi="Times New Roman" w:cs="Times New Roman"/>
          <w:sz w:val="22"/>
          <w:szCs w:val="22"/>
        </w:rPr>
        <w:t>”) in standard XML feed or other electronic form acceptable to PixelRush Studios containing the following information at a minimum for each Mobile Application, each sublicensee, each method of distribution, and each price point: (a) the number of attempted and successful downloads, (b) the number of units licensed to End Users, and (c) the Royalty due to PixelRush Studios.  Publisher agrees to use the International Game Developers Association Casual Games Special Interest Group Data Reporting Standards.</w:t>
      </w:r>
      <w:r>
        <w:rPr>
          <w:rFonts w:ascii="Times New Roman" w:hAnsi="Times New Roman" w:cs="Times New Roman"/>
          <w:sz w:val="22"/>
          <w:szCs w:val="22"/>
        </w:rPr>
        <w:tab/>
      </w:r>
      <w:r>
        <w:rPr>
          <w:rFonts w:ascii="Times New Roman" w:hAnsi="Times New Roman" w:cs="Times New Roman"/>
          <w:sz w:val="22"/>
          <w:szCs w:val="22"/>
        </w:rPr>
        <w:tab/>
      </w:r>
    </w:p>
    <w:p w14:paraId="30A910AD" w14:textId="77777777" w:rsidR="00362402" w:rsidRPr="000E723A" w:rsidRDefault="00FA18B0" w:rsidP="00FA18B0">
      <w:pPr>
        <w:pStyle w:val="PlainText"/>
        <w:spacing w:before="120" w:after="120"/>
        <w:ind w:left="720" w:hanging="720"/>
        <w:jc w:val="both"/>
        <w:rPr>
          <w:rFonts w:ascii="Times New Roman" w:hAnsi="Times New Roman" w:cs="Times New Roman"/>
          <w:sz w:val="22"/>
          <w:szCs w:val="22"/>
        </w:rPr>
      </w:pPr>
      <w:bookmarkStart w:id="6" w:name="_DV_M37"/>
      <w:bookmarkStart w:id="7" w:name="_DV_M38"/>
      <w:bookmarkStart w:id="8" w:name="_DV_M39"/>
      <w:bookmarkStart w:id="9" w:name="_DV_M40"/>
      <w:bookmarkStart w:id="10" w:name="_DV_M41"/>
      <w:bookmarkStart w:id="11" w:name="_DV_M42"/>
      <w:bookmarkStart w:id="12" w:name="_DV_M43"/>
      <w:bookmarkStart w:id="13" w:name="_DV_M45"/>
      <w:bookmarkEnd w:id="6"/>
      <w:bookmarkEnd w:id="7"/>
      <w:bookmarkEnd w:id="8"/>
      <w:bookmarkEnd w:id="9"/>
      <w:bookmarkEnd w:id="10"/>
      <w:bookmarkEnd w:id="11"/>
      <w:bookmarkEnd w:id="12"/>
      <w:bookmarkEnd w:id="13"/>
      <w:r>
        <w:rPr>
          <w:rFonts w:ascii="Times New Roman" w:hAnsi="Times New Roman" w:cs="Times New Roman"/>
          <w:sz w:val="22"/>
          <w:szCs w:val="22"/>
        </w:rPr>
        <w:t>7.4</w:t>
      </w:r>
      <w:r>
        <w:rPr>
          <w:rFonts w:ascii="Times New Roman" w:hAnsi="Times New Roman" w:cs="Times New Roman"/>
          <w:sz w:val="22"/>
          <w:szCs w:val="22"/>
        </w:rPr>
        <w:tab/>
      </w:r>
      <w:r>
        <w:rPr>
          <w:rFonts w:ascii="Times New Roman" w:hAnsi="Times New Roman" w:cs="Times New Roman"/>
          <w:b/>
          <w:sz w:val="22"/>
          <w:szCs w:val="22"/>
        </w:rPr>
        <w:t>Bundling</w:t>
      </w:r>
      <w:r>
        <w:rPr>
          <w:rFonts w:ascii="Times New Roman" w:hAnsi="Times New Roman" w:cs="Times New Roman"/>
          <w:sz w:val="22"/>
          <w:szCs w:val="22"/>
        </w:rPr>
        <w:t>. If any Mobile Application is bundled by Publisher with one or more products of Publisher or a third-party, the Royalty owed Licensor resulting from the sale or licensing of such bundle Royalty will be paid from Net Revenues received by Publisher in connection with the distribution of the bundle, based on the proportionate number of products contained in such bundle.  Any bundles shall be subject to prior written approval from Licensor.</w:t>
      </w:r>
    </w:p>
    <w:p w14:paraId="60F199AF" w14:textId="77777777" w:rsidR="00B86A44" w:rsidRPr="000E723A" w:rsidRDefault="00FE3765">
      <w:pPr>
        <w:pStyle w:val="Heading1"/>
        <w:jc w:val="both"/>
        <w:rPr>
          <w:rFonts w:ascii="Times New Roman" w:hAnsi="Times New Roman" w:cs="Times New Roman"/>
          <w:sz w:val="22"/>
          <w:szCs w:val="22"/>
        </w:rPr>
      </w:pPr>
      <w:r>
        <w:rPr>
          <w:rFonts w:ascii="Times New Roman" w:hAnsi="Times New Roman" w:cs="Times New Roman"/>
          <w:sz w:val="22"/>
          <w:szCs w:val="22"/>
        </w:rPr>
        <w:t>8.</w:t>
      </w:r>
      <w:r>
        <w:rPr>
          <w:rFonts w:ascii="Times New Roman" w:hAnsi="Times New Roman" w:cs="Times New Roman"/>
          <w:b w:val="0"/>
          <w:sz w:val="22"/>
          <w:szCs w:val="22"/>
        </w:rPr>
        <w:t xml:space="preserve"> </w:t>
      </w:r>
      <w:r>
        <w:rPr>
          <w:rFonts w:ascii="Times New Roman" w:hAnsi="Times New Roman" w:cs="Times New Roman"/>
          <w:b w:val="0"/>
          <w:sz w:val="22"/>
          <w:szCs w:val="22"/>
        </w:rPr>
        <w:tab/>
      </w:r>
      <w:r>
        <w:rPr>
          <w:rFonts w:ascii="Times New Roman" w:hAnsi="Times New Roman" w:cs="Times New Roman"/>
          <w:sz w:val="22"/>
          <w:szCs w:val="22"/>
          <w:u w:val="single"/>
        </w:rPr>
        <w:t>Submissions and Approvals</w:t>
      </w:r>
      <w:bookmarkStart w:id="14" w:name="_Ref56571764"/>
    </w:p>
    <w:p w14:paraId="2FA1AA70" w14:textId="77777777" w:rsidR="00B86A44" w:rsidRPr="000E723A" w:rsidRDefault="0035640D" w:rsidP="0035640D">
      <w:pPr>
        <w:pStyle w:val="PlainText"/>
        <w:spacing w:before="120" w:after="120"/>
        <w:ind w:left="720" w:hanging="720"/>
        <w:jc w:val="both"/>
        <w:rPr>
          <w:rFonts w:ascii="Times New Roman" w:hAnsi="Times New Roman" w:cs="Times New Roman"/>
          <w:sz w:val="22"/>
          <w:szCs w:val="22"/>
        </w:rPr>
      </w:pPr>
      <w:r>
        <w:rPr>
          <w:rFonts w:ascii="Times New Roman" w:hAnsi="Times New Roman" w:cs="Times New Roman"/>
          <w:sz w:val="22"/>
          <w:szCs w:val="22"/>
        </w:rPr>
        <w:t>8.1</w:t>
      </w:r>
      <w:r>
        <w:rPr>
          <w:rFonts w:ascii="Times New Roman" w:hAnsi="Times New Roman" w:cs="Times New Roman"/>
          <w:sz w:val="22"/>
          <w:szCs w:val="22"/>
        </w:rPr>
        <w:tab/>
      </w:r>
      <w:r>
        <w:rPr>
          <w:rFonts w:ascii="Times New Roman" w:hAnsi="Times New Roman" w:cs="Times New Roman"/>
          <w:b/>
          <w:sz w:val="22"/>
          <w:szCs w:val="22"/>
        </w:rPr>
        <w:t>Mobile Application Design Approval</w:t>
      </w:r>
      <w:r>
        <w:rPr>
          <w:rFonts w:ascii="Times New Roman" w:hAnsi="Times New Roman" w:cs="Times New Roman"/>
          <w:sz w:val="22"/>
          <w:szCs w:val="22"/>
        </w:rPr>
        <w:t>. Licensor shall have the right to review and approve or reject the game concept and game design for the Mobile Application to be developed by Publisher based upon any Licensor Title. Any changes made to the approved design will be submitted to Licensor for further review and approval.</w:t>
      </w:r>
    </w:p>
    <w:p w14:paraId="681458B0" w14:textId="77777777" w:rsidR="00B86A44" w:rsidRPr="000E723A" w:rsidRDefault="0035640D" w:rsidP="0035640D">
      <w:pPr>
        <w:pStyle w:val="PlainText"/>
        <w:spacing w:before="120" w:after="120"/>
        <w:ind w:left="720" w:hanging="720"/>
        <w:jc w:val="both"/>
        <w:rPr>
          <w:rFonts w:ascii="Times New Roman" w:hAnsi="Times New Roman" w:cs="Times New Roman"/>
          <w:sz w:val="22"/>
          <w:szCs w:val="22"/>
        </w:rPr>
      </w:pPr>
      <w:r>
        <w:rPr>
          <w:rFonts w:ascii="Times New Roman" w:hAnsi="Times New Roman" w:cs="Times New Roman"/>
          <w:sz w:val="22"/>
          <w:szCs w:val="22"/>
        </w:rPr>
        <w:t>8.2</w:t>
      </w:r>
      <w:r>
        <w:rPr>
          <w:rFonts w:ascii="Times New Roman" w:hAnsi="Times New Roman" w:cs="Times New Roman"/>
          <w:sz w:val="22"/>
          <w:szCs w:val="22"/>
        </w:rPr>
        <w:tab/>
      </w:r>
      <w:r>
        <w:rPr>
          <w:rFonts w:ascii="Times New Roman" w:hAnsi="Times New Roman" w:cs="Times New Roman"/>
          <w:b/>
          <w:sz w:val="22"/>
          <w:szCs w:val="22"/>
        </w:rPr>
        <w:t>Mobile Application Approval</w:t>
      </w:r>
      <w:r>
        <w:rPr>
          <w:rFonts w:ascii="Times New Roman" w:hAnsi="Times New Roman" w:cs="Times New Roman"/>
          <w:sz w:val="22"/>
          <w:szCs w:val="22"/>
        </w:rPr>
        <w:t xml:space="preserve">.  Licensor shall also have the right to approve or reject the Mobile Application developed by Publisher based upon any Licensor Title at the following milestones: (a) game design document, (b) alpha build, (c) beta build, and (d) final lead build for the Mobile Platforms (gold master).  </w:t>
      </w:r>
      <w:bookmarkEnd w:id="14"/>
      <w:r>
        <w:rPr>
          <w:rFonts w:ascii="Times New Roman" w:hAnsi="Times New Roman" w:cs="Times New Roman"/>
          <w:sz w:val="22"/>
          <w:szCs w:val="22"/>
        </w:rPr>
        <w:tab/>
      </w:r>
    </w:p>
    <w:p w14:paraId="6F9B3525" w14:textId="77777777" w:rsidR="005E249F" w:rsidRPr="000E723A" w:rsidRDefault="0035640D" w:rsidP="0035640D">
      <w:pPr>
        <w:pStyle w:val="PlainText"/>
        <w:spacing w:before="120" w:after="120"/>
        <w:jc w:val="both"/>
        <w:rPr>
          <w:rFonts w:ascii="Times New Roman" w:hAnsi="Times New Roman" w:cs="Times New Roman"/>
          <w:sz w:val="22"/>
          <w:szCs w:val="22"/>
        </w:rPr>
      </w:pPr>
      <w:r>
        <w:rPr>
          <w:rFonts w:ascii="Times New Roman" w:hAnsi="Times New Roman" w:cs="Times New Roman"/>
          <w:sz w:val="22"/>
          <w:szCs w:val="22"/>
        </w:rPr>
        <w:t>8.3</w:t>
      </w:r>
      <w:r>
        <w:rPr>
          <w:rFonts w:ascii="Times New Roman" w:hAnsi="Times New Roman" w:cs="Times New Roman"/>
          <w:sz w:val="22"/>
          <w:szCs w:val="22"/>
        </w:rPr>
        <w:tab/>
      </w:r>
      <w:r>
        <w:rPr>
          <w:rFonts w:ascii="Times New Roman" w:hAnsi="Times New Roman" w:cs="Times New Roman"/>
          <w:b/>
          <w:sz w:val="22"/>
          <w:szCs w:val="22"/>
        </w:rPr>
        <w:t>Approvals.</w:t>
      </w:r>
      <w:r>
        <w:rPr>
          <w:rFonts w:ascii="Times New Roman" w:hAnsi="Times New Roman" w:cs="Times New Roman"/>
          <w:sz w:val="22"/>
          <w:szCs w:val="22"/>
        </w:rPr>
        <w:t xml:space="preserve"> </w:t>
      </w:r>
    </w:p>
    <w:p w14:paraId="3052CB25" w14:textId="77777777" w:rsidR="00B86A44" w:rsidRPr="000E723A" w:rsidRDefault="0035640D" w:rsidP="0035640D">
      <w:pPr>
        <w:pStyle w:val="PlainText"/>
        <w:spacing w:before="120" w:after="120"/>
        <w:ind w:left="1080" w:hanging="360"/>
        <w:jc w:val="both"/>
        <w:rPr>
          <w:rFonts w:ascii="Times New Roman" w:hAnsi="Times New Roman" w:cs="Times New Roman"/>
          <w:sz w:val="22"/>
          <w:szCs w:val="22"/>
        </w:rPr>
      </w:pPr>
      <w:r>
        <w:rPr>
          <w:rFonts w:ascii="Times New Roman" w:hAnsi="Times New Roman" w:cs="Times New Roman"/>
          <w:sz w:val="22"/>
          <w:szCs w:val="22"/>
        </w:rPr>
        <w:lastRenderedPageBreak/>
        <w:t>(a)</w:t>
      </w:r>
      <w:r>
        <w:rPr>
          <w:rFonts w:ascii="Times New Roman" w:hAnsi="Times New Roman" w:cs="Times New Roman"/>
          <w:sz w:val="22"/>
          <w:szCs w:val="22"/>
        </w:rPr>
        <w:tab/>
        <w:t>Licensor shall act in its reasonable discretion in granting or refusing approval of each of the above submissions within five (5) business days. If Licensor fails to respond to any submissions within such five-day period, the submission will be deemed rejected.</w:t>
      </w:r>
    </w:p>
    <w:p w14:paraId="73482A46" w14:textId="77777777" w:rsidR="00B86A44" w:rsidRPr="000E723A" w:rsidRDefault="0035640D" w:rsidP="0035640D">
      <w:pPr>
        <w:pStyle w:val="PlainText"/>
        <w:spacing w:before="120" w:after="120"/>
        <w:ind w:left="1080" w:hanging="360"/>
        <w:jc w:val="both"/>
        <w:rPr>
          <w:rFonts w:ascii="Times New Roman" w:hAnsi="Times New Roman" w:cs="Times New Roman"/>
          <w:sz w:val="22"/>
          <w:szCs w:val="22"/>
        </w:rPr>
      </w:pPr>
      <w:r>
        <w:rPr>
          <w:rFonts w:ascii="Times New Roman" w:hAnsi="Times New Roman" w:cs="Times New Roman"/>
          <w:sz w:val="22"/>
          <w:szCs w:val="22"/>
        </w:rPr>
        <w:t>(b)</w:t>
      </w:r>
      <w:r>
        <w:rPr>
          <w:rFonts w:ascii="Times New Roman" w:hAnsi="Times New Roman" w:cs="Times New Roman"/>
          <w:sz w:val="22"/>
          <w:szCs w:val="22"/>
        </w:rPr>
        <w:tab/>
        <w:t>Notwithstanding any provision herein, Publisher acknowledges the value of the Licensor brand, including any and all trademarks, service marks and trade dress owned by or licensed to Licensor and licensed to Publisher herein along with associated goodwill (“</w:t>
      </w:r>
      <w:r>
        <w:rPr>
          <w:rFonts w:ascii="Times New Roman" w:hAnsi="Times New Roman" w:cs="Times New Roman"/>
          <w:b/>
          <w:sz w:val="22"/>
          <w:szCs w:val="22"/>
        </w:rPr>
        <w:t>Licensor Branding</w:t>
      </w:r>
      <w:r>
        <w:rPr>
          <w:rFonts w:ascii="Times New Roman" w:hAnsi="Times New Roman" w:cs="Times New Roman"/>
          <w:sz w:val="22"/>
          <w:szCs w:val="22"/>
        </w:rPr>
        <w:t xml:space="preserve">”) and in order to maintain its goodwill, (i) Licensor retains absolute approval rights regarding any Licensor Branding and associated legal notices, and (ii)  Publisher shall not, and shall not permit any sublicensee to dispute or contest directly or indirectly, or do or cause to be done any act which in any way contests, impairs or tends to impair Licensor’s rights and title to the Licensor Branding, or the validity thereof. </w:t>
      </w:r>
    </w:p>
    <w:p w14:paraId="328AA57C" w14:textId="77777777" w:rsidR="00B86A44" w:rsidRPr="000E723A" w:rsidRDefault="00FE3765">
      <w:pPr>
        <w:pStyle w:val="Heading1"/>
        <w:jc w:val="both"/>
        <w:rPr>
          <w:rFonts w:ascii="Times New Roman" w:hAnsi="Times New Roman" w:cs="Times New Roman"/>
          <w:sz w:val="22"/>
          <w:szCs w:val="22"/>
        </w:rPr>
      </w:pPr>
      <w:r>
        <w:rPr>
          <w:rFonts w:ascii="Times New Roman" w:hAnsi="Times New Roman" w:cs="Times New Roman"/>
          <w:sz w:val="22"/>
          <w:szCs w:val="22"/>
        </w:rPr>
        <w:t>9.</w:t>
      </w:r>
      <w:r>
        <w:rPr>
          <w:rFonts w:ascii="Times New Roman" w:hAnsi="Times New Roman" w:cs="Times New Roman"/>
          <w:b w:val="0"/>
          <w:sz w:val="22"/>
          <w:szCs w:val="22"/>
        </w:rPr>
        <w:t xml:space="preserve"> </w:t>
      </w:r>
      <w:r>
        <w:rPr>
          <w:rFonts w:ascii="Times New Roman" w:hAnsi="Times New Roman" w:cs="Times New Roman"/>
          <w:b w:val="0"/>
          <w:sz w:val="22"/>
          <w:szCs w:val="22"/>
        </w:rPr>
        <w:tab/>
      </w:r>
      <w:r>
        <w:rPr>
          <w:rFonts w:ascii="Times New Roman" w:hAnsi="Times New Roman" w:cs="Times New Roman"/>
          <w:sz w:val="22"/>
          <w:szCs w:val="22"/>
          <w:u w:val="single"/>
        </w:rPr>
        <w:t>Assignment</w:t>
      </w:r>
    </w:p>
    <w:p w14:paraId="0BFB48A9" w14:textId="77777777" w:rsidR="00B86A44" w:rsidRPr="000E723A" w:rsidRDefault="005619E0" w:rsidP="005619E0">
      <w:pPr>
        <w:pStyle w:val="PlainText"/>
        <w:spacing w:before="120" w:after="120"/>
        <w:ind w:left="720" w:hanging="720"/>
        <w:jc w:val="both"/>
        <w:rPr>
          <w:rFonts w:ascii="Times New Roman" w:hAnsi="Times New Roman" w:cs="Times New Roman"/>
          <w:sz w:val="22"/>
          <w:szCs w:val="22"/>
        </w:rPr>
      </w:pPr>
      <w:r>
        <w:rPr>
          <w:rFonts w:ascii="Times New Roman" w:hAnsi="Times New Roman" w:cs="Times New Roman"/>
          <w:sz w:val="22"/>
          <w:szCs w:val="22"/>
        </w:rPr>
        <w:t>9.1</w:t>
      </w:r>
      <w:r>
        <w:rPr>
          <w:rFonts w:ascii="Times New Roman" w:hAnsi="Times New Roman" w:cs="Times New Roman"/>
          <w:sz w:val="22"/>
          <w:szCs w:val="22"/>
        </w:rPr>
        <w:tab/>
      </w:r>
      <w:r>
        <w:rPr>
          <w:rFonts w:ascii="Times New Roman" w:hAnsi="Times New Roman" w:cs="Times New Roman"/>
          <w:b/>
          <w:sz w:val="22"/>
          <w:szCs w:val="22"/>
        </w:rPr>
        <w:t>Publisher Assignment.</w:t>
      </w:r>
      <w:r>
        <w:rPr>
          <w:rFonts w:ascii="Times New Roman" w:hAnsi="Times New Roman" w:cs="Times New Roman"/>
          <w:sz w:val="22"/>
          <w:szCs w:val="22"/>
        </w:rPr>
        <w:t xml:space="preserve">  Publisher will not assign any of its rights and obligations under this Agreement without the prior consent of Licensor, which consent shall not be unreasonably withheld or delayed; provided that Publisher may assign all of its rights and obligations hereunder to its successor in the event of a sale of all or substantially all of its assets or voting securities, or of the business unit associated with this Agreement.  Subject to the foregoing, this Agreement will inure to the benefit of each party’s successors and assigns.  </w:t>
      </w:r>
    </w:p>
    <w:p w14:paraId="421F413A" w14:textId="77777777" w:rsidR="00B86A44" w:rsidRPr="000E723A" w:rsidRDefault="005619E0" w:rsidP="005619E0">
      <w:pPr>
        <w:pStyle w:val="PlainText"/>
        <w:spacing w:before="120" w:after="120"/>
        <w:ind w:left="720" w:hanging="720"/>
        <w:jc w:val="both"/>
        <w:rPr>
          <w:rFonts w:ascii="Times New Roman" w:hAnsi="Times New Roman" w:cs="Times New Roman"/>
          <w:sz w:val="22"/>
          <w:szCs w:val="22"/>
        </w:rPr>
      </w:pPr>
      <w:r>
        <w:rPr>
          <w:rFonts w:ascii="Times New Roman" w:hAnsi="Times New Roman" w:cs="Times New Roman"/>
          <w:sz w:val="22"/>
          <w:szCs w:val="22"/>
        </w:rPr>
        <w:t>9.2</w:t>
      </w:r>
      <w:r>
        <w:rPr>
          <w:rFonts w:ascii="Times New Roman" w:hAnsi="Times New Roman" w:cs="Times New Roman"/>
          <w:sz w:val="22"/>
          <w:szCs w:val="22"/>
        </w:rPr>
        <w:tab/>
      </w:r>
      <w:r>
        <w:rPr>
          <w:rFonts w:ascii="Times New Roman" w:hAnsi="Times New Roman" w:cs="Times New Roman"/>
          <w:b/>
          <w:sz w:val="22"/>
          <w:szCs w:val="22"/>
        </w:rPr>
        <w:t>Licensor Assignment</w:t>
      </w:r>
      <w:r>
        <w:rPr>
          <w:rFonts w:ascii="Times New Roman" w:hAnsi="Times New Roman" w:cs="Times New Roman"/>
          <w:sz w:val="22"/>
          <w:szCs w:val="22"/>
        </w:rPr>
        <w:t xml:space="preserve">.  Licensor may assign any of its rights and obligations under this Agreement without the prior consent of Publisher. </w:t>
      </w:r>
    </w:p>
    <w:p w14:paraId="44163300" w14:textId="77777777" w:rsidR="00B86A44" w:rsidRPr="000E723A" w:rsidRDefault="00FE3765">
      <w:pPr>
        <w:pStyle w:val="Heading1"/>
        <w:jc w:val="both"/>
        <w:rPr>
          <w:rFonts w:ascii="Times New Roman" w:hAnsi="Times New Roman" w:cs="Times New Roman"/>
          <w:sz w:val="22"/>
          <w:szCs w:val="22"/>
          <w:u w:val="single"/>
        </w:rPr>
      </w:pPr>
      <w:r>
        <w:rPr>
          <w:rFonts w:ascii="Times New Roman" w:hAnsi="Times New Roman" w:cs="Times New Roman"/>
          <w:sz w:val="22"/>
          <w:szCs w:val="22"/>
        </w:rPr>
        <w:t xml:space="preserve">10. </w:t>
      </w:r>
      <w:r>
        <w:rPr>
          <w:rFonts w:ascii="Times New Roman" w:hAnsi="Times New Roman" w:cs="Times New Roman"/>
          <w:sz w:val="22"/>
          <w:szCs w:val="22"/>
        </w:rPr>
        <w:tab/>
      </w:r>
      <w:r>
        <w:rPr>
          <w:rFonts w:ascii="Times New Roman" w:hAnsi="Times New Roman" w:cs="Times New Roman"/>
          <w:sz w:val="22"/>
          <w:szCs w:val="22"/>
          <w:u w:val="single"/>
        </w:rPr>
        <w:t>Confidentiality</w:t>
      </w:r>
    </w:p>
    <w:p w14:paraId="22AF542E" w14:textId="77777777" w:rsidR="00B86A44" w:rsidRPr="000E723A" w:rsidRDefault="005619E0" w:rsidP="005619E0">
      <w:pPr>
        <w:pStyle w:val="BodyText"/>
        <w:tabs>
          <w:tab w:val="clear" w:pos="2340"/>
          <w:tab w:val="clear" w:pos="8010"/>
          <w:tab w:val="clear" w:pos="8640"/>
          <w:tab w:val="left" w:pos="720"/>
        </w:tabs>
        <w:spacing w:before="120" w:after="120"/>
        <w:ind w:left="720" w:hanging="720"/>
        <w:rPr>
          <w:szCs w:val="22"/>
        </w:rPr>
      </w:pPr>
      <w:r>
        <w:rPr>
          <w:szCs w:val="22"/>
        </w:rPr>
        <w:t>10.1</w:t>
      </w:r>
      <w:r>
        <w:rPr>
          <w:szCs w:val="22"/>
        </w:rPr>
        <w:tab/>
        <w:t xml:space="preserve">During the Term of this Agreement and thereafter, each party will use and reproduce the other party’s Confidential Information (as defined below in </w:t>
      </w:r>
      <w:r>
        <w:rPr>
          <w:b/>
          <w:szCs w:val="22"/>
          <w:u w:val="single"/>
        </w:rPr>
        <w:t>Sections 10.2 and 10.3</w:t>
      </w:r>
      <w:r>
        <w:rPr>
          <w:szCs w:val="22"/>
        </w:rPr>
        <w:t>) only for purposes of this Agreement and only to the extent necessary for such purpose and will restrict disclosure of the other party’s Confidential Information to its employees, consultants or independent contractors, accountants or attorneys with a need to know and will not disclose the other party’s Confidential Information to any third party without the prior written approval of the other party. Notwithstanding the foregoing, it will not be a breach of this Agreement for either party to disclose Confidential Information of the other party if required to do so under law or in a judicial or other governmental investigation or proceeding, provided the other party has been given prior notice and the disclosing party has sought all available means to avoid or limit such disclosure.</w:t>
      </w:r>
    </w:p>
    <w:p w14:paraId="3B3D1FA2" w14:textId="77777777" w:rsidR="00B86A44" w:rsidRPr="000E723A" w:rsidRDefault="005619E0" w:rsidP="005619E0">
      <w:pPr>
        <w:pStyle w:val="BodyText"/>
        <w:tabs>
          <w:tab w:val="clear" w:pos="2340"/>
          <w:tab w:val="clear" w:pos="8010"/>
          <w:tab w:val="clear" w:pos="8640"/>
          <w:tab w:val="left" w:pos="720"/>
        </w:tabs>
        <w:spacing w:before="120" w:after="120"/>
        <w:ind w:left="720" w:hanging="720"/>
        <w:rPr>
          <w:szCs w:val="22"/>
        </w:rPr>
      </w:pPr>
      <w:r>
        <w:rPr>
          <w:szCs w:val="22"/>
        </w:rPr>
        <w:t>10.2</w:t>
      </w:r>
      <w:r>
        <w:rPr>
          <w:szCs w:val="22"/>
        </w:rPr>
        <w:tab/>
        <w:t>“</w:t>
      </w:r>
      <w:r>
        <w:rPr>
          <w:b/>
          <w:szCs w:val="22"/>
        </w:rPr>
        <w:t>Confidential Information</w:t>
      </w:r>
      <w:r>
        <w:rPr>
          <w:szCs w:val="22"/>
        </w:rPr>
        <w:t xml:space="preserve">” refers to: (a) the terms and conditions of this Agreement which shall be considered Licensor Confidential Information; (b) each party’s trade secrets, business plans, strategies, methods and/or practices; (c) any other information relating to either party or its business that is not generally known to the public, including but not limited to information about either party’s personnel, current or future products, customers, marketing strategies, services or business plans; and (d) each party’s source code.  </w:t>
      </w:r>
    </w:p>
    <w:p w14:paraId="32F36929" w14:textId="77777777" w:rsidR="00B86A44" w:rsidRPr="000E723A" w:rsidRDefault="005619E0" w:rsidP="005619E0">
      <w:pPr>
        <w:pStyle w:val="BodyText"/>
        <w:tabs>
          <w:tab w:val="clear" w:pos="2340"/>
          <w:tab w:val="clear" w:pos="8010"/>
          <w:tab w:val="clear" w:pos="8640"/>
          <w:tab w:val="left" w:pos="720"/>
        </w:tabs>
        <w:spacing w:before="120" w:after="120"/>
        <w:ind w:left="720" w:hanging="720"/>
        <w:rPr>
          <w:szCs w:val="22"/>
        </w:rPr>
      </w:pPr>
      <w:r>
        <w:rPr>
          <w:szCs w:val="22"/>
        </w:rPr>
        <w:t>10.3</w:t>
      </w:r>
      <w:r>
        <w:rPr>
          <w:szCs w:val="22"/>
        </w:rPr>
        <w:tab/>
        <w:t xml:space="preserve">Notwithstanding the foregoing, Confidential Information specifically excludes: (a) information that is now generally available to the public or subsequently becomes available to the public through no action or fault of the other party; (b) information that is known to either party without restriction, prior to receipt from the other party under this Agreement, from its own independent sources as evidenced by such party’s written records, and which was not acquired, directly or indirectly, from the other party; (c) information that either party receives from any third party reasonably known by such receiving party to have a legal right to transmit such information, and not under any obligation to keep such information confidential; and (d) information independently developed by either </w:t>
      </w:r>
      <w:r>
        <w:rPr>
          <w:szCs w:val="22"/>
        </w:rPr>
        <w:lastRenderedPageBreak/>
        <w:t>party’s employees or agents provided that either party can show that those same employees or agents had no access to the Confidential Information received hereunder.</w:t>
      </w:r>
    </w:p>
    <w:p w14:paraId="3F162588" w14:textId="77777777" w:rsidR="00B86A44" w:rsidRPr="000E723A" w:rsidRDefault="00FE3765">
      <w:pPr>
        <w:spacing w:before="240" w:after="60"/>
        <w:jc w:val="both"/>
        <w:rPr>
          <w:b/>
          <w:bCs/>
          <w:kern w:val="32"/>
          <w:sz w:val="22"/>
          <w:szCs w:val="22"/>
          <w:u w:val="single"/>
        </w:rPr>
      </w:pPr>
      <w:r>
        <w:rPr>
          <w:b/>
          <w:bCs/>
          <w:kern w:val="32"/>
          <w:sz w:val="22"/>
          <w:szCs w:val="22"/>
        </w:rPr>
        <w:t>11.</w:t>
      </w:r>
      <w:r>
        <w:rPr>
          <w:bCs/>
          <w:kern w:val="32"/>
          <w:sz w:val="22"/>
          <w:szCs w:val="22"/>
        </w:rPr>
        <w:t xml:space="preserve"> </w:t>
      </w:r>
      <w:r>
        <w:rPr>
          <w:bCs/>
          <w:kern w:val="32"/>
          <w:sz w:val="22"/>
          <w:szCs w:val="22"/>
        </w:rPr>
        <w:tab/>
      </w:r>
      <w:r>
        <w:rPr>
          <w:b/>
          <w:bCs/>
          <w:kern w:val="32"/>
          <w:sz w:val="22"/>
          <w:szCs w:val="22"/>
          <w:u w:val="single"/>
        </w:rPr>
        <w:t>Indemnity</w:t>
      </w:r>
    </w:p>
    <w:p w14:paraId="4FAAB1DD" w14:textId="77777777" w:rsidR="00B86A44" w:rsidRPr="000E723A" w:rsidRDefault="003F29CF" w:rsidP="003F29CF">
      <w:pPr>
        <w:pStyle w:val="BodyText"/>
        <w:tabs>
          <w:tab w:val="clear" w:pos="2340"/>
          <w:tab w:val="clear" w:pos="8010"/>
          <w:tab w:val="clear" w:pos="8640"/>
        </w:tabs>
        <w:spacing w:before="120" w:after="120"/>
        <w:ind w:left="720" w:hanging="720"/>
        <w:rPr>
          <w:szCs w:val="22"/>
        </w:rPr>
      </w:pPr>
      <w:r>
        <w:rPr>
          <w:szCs w:val="22"/>
        </w:rPr>
        <w:t>11.1</w:t>
      </w:r>
      <w:r>
        <w:rPr>
          <w:szCs w:val="22"/>
        </w:rPr>
        <w:tab/>
        <w:t>Licensor agrees to indemnify, defend and hold harmless Publisher and its parent, subsidiaries, affiliates, successors or assigns, and the officers, directors, managers, members and employees of each of them from and against any third party damages, liabilities, claims, costs and expenses, including reasonable legal fees and expenses (“</w:t>
      </w:r>
      <w:r>
        <w:rPr>
          <w:b/>
          <w:szCs w:val="22"/>
        </w:rPr>
        <w:t>Claims</w:t>
      </w:r>
      <w:r>
        <w:rPr>
          <w:szCs w:val="22"/>
        </w:rPr>
        <w:t xml:space="preserve">”) based upon Licensor’s breach or alleged breach of any of its representation or warranties herein. </w:t>
      </w:r>
    </w:p>
    <w:p w14:paraId="627654DB" w14:textId="77777777" w:rsidR="00B86A44" w:rsidRPr="000E723A" w:rsidRDefault="003F29CF" w:rsidP="003F29CF">
      <w:pPr>
        <w:pStyle w:val="BodyText"/>
        <w:tabs>
          <w:tab w:val="clear" w:pos="2340"/>
          <w:tab w:val="clear" w:pos="8010"/>
          <w:tab w:val="clear" w:pos="8640"/>
        </w:tabs>
        <w:spacing w:before="120" w:after="120"/>
        <w:ind w:left="720" w:hanging="720"/>
        <w:rPr>
          <w:szCs w:val="22"/>
        </w:rPr>
      </w:pPr>
      <w:r>
        <w:rPr>
          <w:szCs w:val="22"/>
        </w:rPr>
        <w:t>11.2</w:t>
      </w:r>
      <w:r>
        <w:rPr>
          <w:szCs w:val="22"/>
        </w:rPr>
        <w:tab/>
        <w:t>Publisher agrees to indemnify, defend and hold harmless Licensor and its parent, subsidiaries, affiliates, successors or assigns, and the officers, directors, managers, members and employees of each of them from and against any third party Claims based upon Publisher’s breach or alleged breach of any of its representations or warranties herein.</w:t>
      </w:r>
    </w:p>
    <w:p w14:paraId="70A25323" w14:textId="77777777" w:rsidR="00DB5D6F" w:rsidRPr="000E723A" w:rsidRDefault="003F29CF" w:rsidP="003F29CF">
      <w:pPr>
        <w:pStyle w:val="BodyText"/>
        <w:tabs>
          <w:tab w:val="clear" w:pos="2340"/>
          <w:tab w:val="clear" w:pos="8010"/>
          <w:tab w:val="clear" w:pos="8640"/>
        </w:tabs>
        <w:spacing w:before="120" w:after="120"/>
        <w:ind w:left="720" w:hanging="720"/>
        <w:rPr>
          <w:b/>
          <w:szCs w:val="22"/>
        </w:rPr>
      </w:pPr>
      <w:r>
        <w:rPr>
          <w:szCs w:val="22"/>
        </w:rPr>
        <w:t>11.3</w:t>
      </w:r>
      <w:r>
        <w:rPr>
          <w:szCs w:val="22"/>
        </w:rPr>
        <w:tab/>
        <w:t xml:space="preserve">In the event of any Claim for which a party seeks indemnification pursuant to this </w:t>
      </w:r>
      <w:r>
        <w:rPr>
          <w:b/>
          <w:szCs w:val="22"/>
          <w:u w:val="single"/>
        </w:rPr>
        <w:t>Section 11</w:t>
      </w:r>
      <w:r>
        <w:rPr>
          <w:szCs w:val="22"/>
        </w:rPr>
        <w:t xml:space="preserve">, the party seeking indemnification will (a) promptly notify the other party in writing of the Claim; (b) grant the other party sole control of the defense and settlement of the Claim; and (c) provide the other party, at the other party’s expense, with all assistance, information and authority reasonably required for the defense and settlement of the Claim. </w:t>
      </w:r>
    </w:p>
    <w:p w14:paraId="1E5C500A" w14:textId="77777777" w:rsidR="005E249F" w:rsidRPr="000E723A" w:rsidRDefault="00F45467" w:rsidP="005E249F">
      <w:pPr>
        <w:pStyle w:val="BodyText"/>
        <w:tabs>
          <w:tab w:val="clear" w:pos="2340"/>
          <w:tab w:val="clear" w:pos="8010"/>
          <w:tab w:val="clear" w:pos="8640"/>
        </w:tabs>
        <w:spacing w:before="120" w:after="120"/>
        <w:rPr>
          <w:b/>
          <w:szCs w:val="22"/>
          <w:u w:val="single"/>
        </w:rPr>
      </w:pPr>
      <w:r>
        <w:rPr>
          <w:b/>
          <w:szCs w:val="22"/>
        </w:rPr>
        <w:t>12.</w:t>
      </w:r>
      <w:r>
        <w:rPr>
          <w:b/>
          <w:szCs w:val="22"/>
        </w:rPr>
        <w:tab/>
      </w:r>
      <w:r>
        <w:rPr>
          <w:b/>
          <w:szCs w:val="22"/>
          <w:u w:val="single"/>
        </w:rPr>
        <w:t>Limitation of Liability and Disclaimer</w:t>
      </w:r>
    </w:p>
    <w:p w14:paraId="56775FE1" w14:textId="77777777" w:rsidR="00F37E74" w:rsidRPr="000E723A" w:rsidRDefault="003F29CF" w:rsidP="003F29CF">
      <w:pPr>
        <w:pStyle w:val="BodyText"/>
        <w:tabs>
          <w:tab w:val="clear" w:pos="2340"/>
          <w:tab w:val="clear" w:pos="8010"/>
          <w:tab w:val="clear" w:pos="8640"/>
        </w:tabs>
        <w:spacing w:before="120" w:after="120"/>
        <w:ind w:left="720" w:hanging="720"/>
        <w:rPr>
          <w:szCs w:val="22"/>
        </w:rPr>
      </w:pPr>
      <w:r>
        <w:rPr>
          <w:szCs w:val="22"/>
        </w:rPr>
        <w:t>12.1</w:t>
      </w:r>
      <w:r>
        <w:rPr>
          <w:szCs w:val="22"/>
        </w:rPr>
        <w:tab/>
      </w:r>
      <w:r>
        <w:rPr>
          <w:b/>
          <w:szCs w:val="22"/>
        </w:rPr>
        <w:t>Limitation of Liability</w:t>
      </w:r>
      <w:r>
        <w:rPr>
          <w:szCs w:val="22"/>
        </w:rPr>
        <w:t xml:space="preserve">.  Except for breaches of the confidentiality provisions of </w:t>
      </w:r>
      <w:r>
        <w:rPr>
          <w:b/>
          <w:szCs w:val="22"/>
          <w:u w:val="single"/>
        </w:rPr>
        <w:t>Section 10</w:t>
      </w:r>
      <w:r>
        <w:rPr>
          <w:szCs w:val="22"/>
        </w:rPr>
        <w:t xml:space="preserve">, infringement of either party’s intellectual property rights and/or any indemnification liability arising under </w:t>
      </w:r>
      <w:r>
        <w:rPr>
          <w:b/>
          <w:szCs w:val="22"/>
          <w:u w:val="single"/>
        </w:rPr>
        <w:t>Section 11</w:t>
      </w:r>
      <w:r>
        <w:rPr>
          <w:szCs w:val="22"/>
        </w:rPr>
        <w:t>, under no circumstances shall</w:t>
      </w:r>
      <w:r>
        <w:rPr>
          <w:bCs/>
          <w:szCs w:val="22"/>
        </w:rPr>
        <w:t xml:space="preserve"> either party be liable to the other party for indirect, incidental, consequential, special or exemplary damages (even if that party has been advised of the possibility of such damages), arising from any provision of this agreement (including such damages incurred by third parties), such as, but not limited to, loss of revenue or anticipated profits or lost business.  </w:t>
      </w:r>
      <w:r>
        <w:rPr>
          <w:szCs w:val="22"/>
        </w:rPr>
        <w:t xml:space="preserve">Except for breaches of the confidentiality provisions of </w:t>
      </w:r>
      <w:r>
        <w:rPr>
          <w:b/>
          <w:szCs w:val="22"/>
          <w:u w:val="single"/>
        </w:rPr>
        <w:t>Section 10</w:t>
      </w:r>
      <w:r>
        <w:rPr>
          <w:szCs w:val="22"/>
        </w:rPr>
        <w:t xml:space="preserve">, infringement of either party’s intellectual property rights and/or any indemnification liability arising under </w:t>
      </w:r>
      <w:r>
        <w:rPr>
          <w:b/>
          <w:szCs w:val="22"/>
          <w:u w:val="single"/>
        </w:rPr>
        <w:t>Section 11</w:t>
      </w:r>
      <w:r>
        <w:rPr>
          <w:bCs/>
          <w:szCs w:val="22"/>
        </w:rPr>
        <w:t>, in no event shall either party’s liability to the other arising under this agreement exceed the greater of (a) amounts paid or owing under this Agreement or (b) one hundred thousand dollars ($100,000).</w:t>
      </w:r>
    </w:p>
    <w:p w14:paraId="3CA6292F" w14:textId="77777777" w:rsidR="00B86A44" w:rsidRPr="000E723A" w:rsidRDefault="003F29CF" w:rsidP="003F29CF">
      <w:pPr>
        <w:pStyle w:val="BodyText"/>
        <w:tabs>
          <w:tab w:val="clear" w:pos="2340"/>
          <w:tab w:val="clear" w:pos="8010"/>
          <w:tab w:val="clear" w:pos="8640"/>
        </w:tabs>
        <w:spacing w:before="120" w:after="120"/>
        <w:ind w:left="720" w:hanging="720"/>
        <w:rPr>
          <w:b/>
          <w:bCs/>
          <w:kern w:val="32"/>
          <w:szCs w:val="22"/>
          <w:u w:val="single"/>
        </w:rPr>
      </w:pPr>
      <w:r>
        <w:rPr>
          <w:bCs/>
          <w:caps/>
          <w:szCs w:val="22"/>
        </w:rPr>
        <w:t>12.2</w:t>
      </w:r>
      <w:r>
        <w:rPr>
          <w:bCs/>
          <w:caps/>
          <w:szCs w:val="22"/>
        </w:rPr>
        <w:tab/>
      </w:r>
      <w:r>
        <w:rPr>
          <w:b/>
          <w:bCs/>
          <w:caps/>
          <w:szCs w:val="22"/>
        </w:rPr>
        <w:t>DISCLAIMER</w:t>
      </w:r>
      <w:r>
        <w:rPr>
          <w:bCs/>
          <w:caps/>
          <w:szCs w:val="22"/>
        </w:rPr>
        <w:t xml:space="preserve">. Subject to the obligations of the parties expressly set forth in this agreement, each party disclaims any and all express or implied warranties, including without limitation, any implied warranties of </w:t>
      </w:r>
      <w:r>
        <w:rPr>
          <w:caps/>
          <w:szCs w:val="22"/>
        </w:rPr>
        <w:t>MERCHANTABILITY, FITNESS FOR A PARTICULAR PURPOSE, AND NONINFRINGEMENT, AND ANY WARRANTIES ARISING OUT OF COURSE OF DEALING or USAGE Of TRADE.  NO ADVICE OR INFORMATION, WHETHER ORAL OR WRITTEN, OBTAINED FROM either party wiLL CREATE ANY WARRANTY NOT EXPRESSLY STATED IN THIS AGREEMENT.</w:t>
      </w:r>
      <w:r>
        <w:rPr>
          <w:bCs/>
          <w:caps/>
          <w:szCs w:val="22"/>
        </w:rPr>
        <w:t xml:space="preserve"> </w:t>
      </w:r>
    </w:p>
    <w:p w14:paraId="4D86BFDF" w14:textId="77777777" w:rsidR="00B86A44" w:rsidRPr="000E723A" w:rsidRDefault="00FE3765" w:rsidP="002541AE">
      <w:pPr>
        <w:pStyle w:val="BodyText"/>
        <w:tabs>
          <w:tab w:val="clear" w:pos="2340"/>
          <w:tab w:val="clear" w:pos="8010"/>
          <w:tab w:val="clear" w:pos="8640"/>
        </w:tabs>
        <w:spacing w:before="240" w:after="60"/>
        <w:rPr>
          <w:bCs/>
          <w:kern w:val="32"/>
          <w:szCs w:val="22"/>
        </w:rPr>
      </w:pPr>
      <w:r>
        <w:rPr>
          <w:b/>
          <w:bCs/>
          <w:kern w:val="32"/>
          <w:szCs w:val="22"/>
        </w:rPr>
        <w:t>13.</w:t>
      </w:r>
      <w:r>
        <w:rPr>
          <w:bCs/>
          <w:kern w:val="32"/>
          <w:szCs w:val="22"/>
        </w:rPr>
        <w:t xml:space="preserve"> </w:t>
      </w:r>
      <w:r>
        <w:rPr>
          <w:bCs/>
          <w:kern w:val="32"/>
          <w:szCs w:val="22"/>
        </w:rPr>
        <w:tab/>
      </w:r>
      <w:r>
        <w:rPr>
          <w:b/>
          <w:bCs/>
          <w:kern w:val="32"/>
          <w:szCs w:val="22"/>
          <w:u w:val="single"/>
        </w:rPr>
        <w:t>Representations and Warranties</w:t>
      </w:r>
    </w:p>
    <w:p w14:paraId="457BB902" w14:textId="77777777" w:rsidR="00B86A44" w:rsidRPr="000E723A" w:rsidRDefault="003F29CF" w:rsidP="003F29CF">
      <w:pPr>
        <w:pStyle w:val="BodyText"/>
        <w:tabs>
          <w:tab w:val="clear" w:pos="2340"/>
          <w:tab w:val="clear" w:pos="8010"/>
          <w:tab w:val="clear" w:pos="8640"/>
        </w:tabs>
        <w:spacing w:before="120" w:after="120"/>
        <w:ind w:left="720" w:hanging="720"/>
        <w:rPr>
          <w:szCs w:val="22"/>
        </w:rPr>
      </w:pPr>
      <w:r>
        <w:rPr>
          <w:szCs w:val="22"/>
        </w:rPr>
        <w:t>13.1</w:t>
      </w:r>
      <w:r>
        <w:rPr>
          <w:szCs w:val="22"/>
        </w:rPr>
        <w:tab/>
        <w:t xml:space="preserve">Each party represents and warrants that (a) it has the power and authority to enter into this Agreement and to perform fully its obligations under this Agreement, (b) it is under no contractual or other legal obligation that might interfere in any way with its prompt and complete performance under this Agreement, and (c) the person executing this agreement on its behalf has been duly authorized to do so and, upon such execution, this Agreement constitutes a binding obligation of such party.  </w:t>
      </w:r>
    </w:p>
    <w:p w14:paraId="36756A41" w14:textId="77777777" w:rsidR="00B86A44" w:rsidRPr="000E723A" w:rsidRDefault="003F29CF" w:rsidP="003F29CF">
      <w:pPr>
        <w:pStyle w:val="BodyText"/>
        <w:tabs>
          <w:tab w:val="clear" w:pos="2340"/>
          <w:tab w:val="clear" w:pos="8010"/>
          <w:tab w:val="clear" w:pos="8640"/>
        </w:tabs>
        <w:spacing w:before="120" w:after="120"/>
        <w:ind w:left="720" w:hanging="720"/>
        <w:rPr>
          <w:szCs w:val="22"/>
        </w:rPr>
      </w:pPr>
      <w:r>
        <w:rPr>
          <w:szCs w:val="22"/>
        </w:rPr>
        <w:lastRenderedPageBreak/>
        <w:t>13.2</w:t>
      </w:r>
      <w:r>
        <w:rPr>
          <w:szCs w:val="22"/>
        </w:rPr>
        <w:tab/>
        <w:t xml:space="preserve">Licensor further represents and warrants that (a) it has obtained any and all third-party licenses or consents necessary to allow it to grant the licenses granted herein; and (b) Licensor Titles, Licensor Branding and Licensor Intellectual Property (defined below) provided by Licensor to Publisher pursuant to this Agreement do not and will not infringe any copyright, trademark, right of publicity or other intellectual property right, or misappropriate any trade secret, of any third party, or any U.S. patent. </w:t>
      </w:r>
    </w:p>
    <w:p w14:paraId="517A0200" w14:textId="77777777" w:rsidR="00682530" w:rsidRPr="00682530" w:rsidRDefault="00682530" w:rsidP="00682530">
      <w:pPr>
        <w:pStyle w:val="BodyText"/>
        <w:tabs>
          <w:tab w:val="clear" w:pos="2340"/>
          <w:tab w:val="clear" w:pos="8010"/>
          <w:tab w:val="clear" w:pos="8640"/>
        </w:tabs>
        <w:spacing w:before="120" w:after="120"/>
        <w:ind w:left="720" w:hanging="720"/>
        <w:rPr>
          <w:b/>
          <w:bCs/>
          <w:kern w:val="32"/>
          <w:szCs w:val="22"/>
        </w:rPr>
      </w:pPr>
      <w:r>
        <w:rPr>
          <w:szCs w:val="22"/>
        </w:rPr>
        <w:t>13.3</w:t>
      </w:r>
      <w:r>
        <w:rPr>
          <w:szCs w:val="22"/>
        </w:rPr>
        <w:tab/>
        <w:t>Publisher further represents and warrants that (a) it has obtained and will obtain any and all third-party licenses or consents necessary to allow it to develop, distribute, and otherwise exploit the Mobile Application; and (b) that the Mobile Application and all related materials developed by Publisher pursuant to this Agreement do not and will not infringe any copyright, trademark, right of publicity or other intellectual property right, or misappropriate any trade secret, of any third party, or to the best of its knowledge any U.S. patent.</w:t>
      </w:r>
    </w:p>
    <w:p w14:paraId="50AB914A" w14:textId="77777777" w:rsidR="00B86A44" w:rsidRPr="000E723A" w:rsidRDefault="00682530" w:rsidP="00682530">
      <w:pPr>
        <w:pStyle w:val="BodyText"/>
        <w:tabs>
          <w:tab w:val="clear" w:pos="2340"/>
          <w:tab w:val="clear" w:pos="8010"/>
          <w:tab w:val="clear" w:pos="8640"/>
        </w:tabs>
        <w:spacing w:before="120" w:after="120"/>
        <w:ind w:left="720" w:hanging="720"/>
        <w:rPr>
          <w:b/>
          <w:bCs/>
          <w:kern w:val="32"/>
          <w:szCs w:val="22"/>
        </w:rPr>
      </w:pPr>
      <w:r>
        <w:rPr>
          <w:szCs w:val="22"/>
        </w:rPr>
        <w:t>13.4</w:t>
      </w:r>
      <w:r>
        <w:rPr>
          <w:szCs w:val="22"/>
        </w:rPr>
        <w:tab/>
        <w:t>Additionally Publisher shall comply with any applicable privacy and marketing laws and regulations with respect to the marketing, distribution, and sales of the Mobile Application.</w:t>
      </w:r>
    </w:p>
    <w:p w14:paraId="60F1B52C" w14:textId="77777777" w:rsidR="00B86A44" w:rsidRPr="000E723A" w:rsidRDefault="00FE3765" w:rsidP="002541AE">
      <w:pPr>
        <w:pStyle w:val="BodyText"/>
        <w:tabs>
          <w:tab w:val="clear" w:pos="2340"/>
          <w:tab w:val="clear" w:pos="8010"/>
          <w:tab w:val="clear" w:pos="8640"/>
        </w:tabs>
        <w:spacing w:before="240" w:after="60"/>
        <w:rPr>
          <w:b/>
          <w:bCs/>
          <w:kern w:val="32"/>
          <w:szCs w:val="22"/>
        </w:rPr>
      </w:pPr>
      <w:r>
        <w:rPr>
          <w:b/>
          <w:bCs/>
          <w:kern w:val="32"/>
          <w:szCs w:val="22"/>
        </w:rPr>
        <w:t xml:space="preserve">14. </w:t>
      </w:r>
      <w:r>
        <w:rPr>
          <w:b/>
          <w:bCs/>
          <w:kern w:val="32"/>
          <w:szCs w:val="22"/>
        </w:rPr>
        <w:tab/>
      </w:r>
      <w:r>
        <w:rPr>
          <w:b/>
          <w:bCs/>
          <w:kern w:val="32"/>
          <w:szCs w:val="22"/>
          <w:u w:val="single"/>
        </w:rPr>
        <w:t>Ownership</w:t>
      </w:r>
    </w:p>
    <w:p w14:paraId="33C04B67" w14:textId="77777777" w:rsidR="00B86A44" w:rsidRPr="000E723A" w:rsidRDefault="00682530" w:rsidP="00682530">
      <w:pPr>
        <w:pStyle w:val="1"/>
        <w:tabs>
          <w:tab w:val="clear" w:pos="360"/>
          <w:tab w:val="clear" w:pos="1080"/>
          <w:tab w:val="clear" w:pos="2520"/>
          <w:tab w:val="clear" w:pos="3240"/>
          <w:tab w:val="clear" w:pos="3960"/>
          <w:tab w:val="clear" w:pos="4680"/>
          <w:tab w:val="clear" w:pos="4760"/>
          <w:tab w:val="clear" w:pos="5220"/>
          <w:tab w:val="clear" w:pos="5400"/>
          <w:tab w:val="clear" w:pos="6120"/>
          <w:tab w:val="clear" w:pos="6840"/>
          <w:tab w:val="clear" w:pos="7200"/>
          <w:tab w:val="clear" w:pos="7560"/>
          <w:tab w:val="clear" w:pos="7920"/>
          <w:tab w:val="clear" w:pos="8280"/>
          <w:tab w:val="clear" w:pos="8640"/>
          <w:tab w:val="clear" w:pos="9000"/>
          <w:tab w:val="clear" w:pos="9360"/>
          <w:tab w:val="clear" w:pos="10080"/>
          <w:tab w:val="clear" w:pos="10440"/>
        </w:tabs>
        <w:spacing w:before="120" w:after="120"/>
        <w:ind w:left="720" w:hanging="720"/>
        <w:jc w:val="both"/>
        <w:rPr>
          <w:rFonts w:ascii="Times New Roman" w:hAnsi="Times New Roman"/>
          <w:sz w:val="22"/>
          <w:szCs w:val="22"/>
        </w:rPr>
      </w:pPr>
      <w:r>
        <w:rPr>
          <w:rFonts w:ascii="Times New Roman" w:hAnsi="Times New Roman"/>
          <w:sz w:val="22"/>
          <w:szCs w:val="22"/>
        </w:rPr>
        <w:t>14.1</w:t>
      </w:r>
      <w:r>
        <w:rPr>
          <w:rFonts w:ascii="Times New Roman" w:hAnsi="Times New Roman"/>
          <w:sz w:val="22"/>
          <w:szCs w:val="22"/>
        </w:rPr>
        <w:tab/>
      </w:r>
      <w:r>
        <w:rPr>
          <w:rFonts w:ascii="Times New Roman" w:hAnsi="Times New Roman"/>
          <w:b/>
          <w:sz w:val="22"/>
          <w:szCs w:val="22"/>
        </w:rPr>
        <w:t>Licensor Ownership</w:t>
      </w:r>
      <w:r>
        <w:rPr>
          <w:rFonts w:ascii="Times New Roman" w:hAnsi="Times New Roman"/>
          <w:sz w:val="22"/>
          <w:szCs w:val="22"/>
        </w:rPr>
        <w:t>. Licensor shall own and retain all rights in and to all Licensor Title and Licensor Branding, along with any other materials provided by Licensor (the “</w:t>
      </w:r>
      <w:r>
        <w:rPr>
          <w:rFonts w:ascii="Times New Roman" w:hAnsi="Times New Roman"/>
          <w:b/>
          <w:sz w:val="22"/>
          <w:szCs w:val="22"/>
        </w:rPr>
        <w:t>Licensor Intellectual Property</w:t>
      </w:r>
      <w:r>
        <w:rPr>
          <w:rFonts w:ascii="Times New Roman" w:hAnsi="Times New Roman"/>
          <w:sz w:val="22"/>
          <w:szCs w:val="22"/>
        </w:rPr>
        <w:t xml:space="preserve">”) (excluding only the Publisher Materials, as defined in </w:t>
      </w:r>
      <w:r>
        <w:rPr>
          <w:rFonts w:ascii="Times New Roman" w:hAnsi="Times New Roman"/>
          <w:b/>
          <w:sz w:val="22"/>
          <w:szCs w:val="22"/>
          <w:u w:val="single"/>
        </w:rPr>
        <w:t>Section 14.5</w:t>
      </w:r>
      <w:r>
        <w:rPr>
          <w:rFonts w:ascii="Times New Roman" w:hAnsi="Times New Roman"/>
          <w:sz w:val="22"/>
          <w:szCs w:val="22"/>
        </w:rPr>
        <w:t xml:space="preserve">, below). All elements of the Licensor Intellectual Property, including any derivative works that are produced by Publisher (or any sublicensee) are protected by copyright and are “works made for hire” for which Licensor is the “author” (as such first quoted term is defined by and such second quoted term given meaning by the United States Copyright Act of 1976, as amended) (excluding the Publisher Materials, as defined in </w:t>
      </w:r>
      <w:r>
        <w:rPr>
          <w:rFonts w:ascii="Times New Roman" w:hAnsi="Times New Roman"/>
          <w:b/>
          <w:sz w:val="22"/>
          <w:szCs w:val="22"/>
          <w:u w:val="single"/>
        </w:rPr>
        <w:t>Section 14.5</w:t>
      </w:r>
      <w:r>
        <w:rPr>
          <w:rFonts w:ascii="Times New Roman" w:hAnsi="Times New Roman"/>
          <w:sz w:val="22"/>
          <w:szCs w:val="22"/>
        </w:rPr>
        <w:t>, below). Licensor will exclusively own the copyright in all such works upon their creation. To the extent that any aspect of such Licensor Intellectual Property is found as a matter of law not to be a “work made for hire” as contemplated above, Publisher hereby irrevocably and unconditionally assigns to Licensor all right, title, and interest worldwide in and to the Property and all associated intellectual property rights.  Publisher understands and agrees that Publisher has no right to use the Licensor Intellectual Property except as necessary to perform the service for Licensor as required herein. For example, all or any portion of, or any rights based on or derived from the Licensor Intellectual Property (including, without limitation, the designs, story, artwork and other elements related to the Licensor Intellectual Property) are and shall be owned by Licensor.</w:t>
      </w:r>
    </w:p>
    <w:p w14:paraId="73196FE7" w14:textId="77777777" w:rsidR="00B86A44" w:rsidRPr="000E723A" w:rsidRDefault="00682530" w:rsidP="00682530">
      <w:pPr>
        <w:pStyle w:val="1"/>
        <w:tabs>
          <w:tab w:val="clear" w:pos="360"/>
          <w:tab w:val="clear" w:pos="1080"/>
          <w:tab w:val="clear" w:pos="2520"/>
          <w:tab w:val="clear" w:pos="3240"/>
          <w:tab w:val="clear" w:pos="3960"/>
          <w:tab w:val="clear" w:pos="4680"/>
          <w:tab w:val="clear" w:pos="4760"/>
          <w:tab w:val="clear" w:pos="5220"/>
          <w:tab w:val="clear" w:pos="5400"/>
          <w:tab w:val="clear" w:pos="6120"/>
          <w:tab w:val="clear" w:pos="6840"/>
          <w:tab w:val="clear" w:pos="7200"/>
          <w:tab w:val="clear" w:pos="7560"/>
          <w:tab w:val="clear" w:pos="7920"/>
          <w:tab w:val="clear" w:pos="8280"/>
          <w:tab w:val="clear" w:pos="8640"/>
          <w:tab w:val="clear" w:pos="9000"/>
          <w:tab w:val="clear" w:pos="9360"/>
          <w:tab w:val="clear" w:pos="10080"/>
          <w:tab w:val="clear" w:pos="10440"/>
        </w:tabs>
        <w:spacing w:before="120" w:after="120"/>
        <w:ind w:left="720" w:hanging="720"/>
        <w:jc w:val="both"/>
        <w:rPr>
          <w:rFonts w:ascii="Times New Roman" w:hAnsi="Times New Roman"/>
          <w:sz w:val="22"/>
          <w:szCs w:val="22"/>
        </w:rPr>
      </w:pPr>
      <w:r>
        <w:rPr>
          <w:rFonts w:ascii="Times New Roman" w:hAnsi="Times New Roman"/>
          <w:sz w:val="22"/>
          <w:szCs w:val="22"/>
        </w:rPr>
        <w:t>14.2</w:t>
      </w:r>
      <w:r>
        <w:rPr>
          <w:rFonts w:ascii="Times New Roman" w:hAnsi="Times New Roman"/>
          <w:sz w:val="22"/>
          <w:szCs w:val="22"/>
        </w:rPr>
        <w:tab/>
      </w:r>
      <w:r>
        <w:rPr>
          <w:rFonts w:ascii="Times New Roman" w:hAnsi="Times New Roman"/>
          <w:b/>
          <w:sz w:val="22"/>
          <w:szCs w:val="22"/>
        </w:rPr>
        <w:t>Assignment and Waiver of Other Rights</w:t>
      </w:r>
      <w:r>
        <w:rPr>
          <w:rFonts w:ascii="Times New Roman" w:hAnsi="Times New Roman"/>
          <w:sz w:val="22"/>
          <w:szCs w:val="22"/>
        </w:rPr>
        <w:t xml:space="preserve">.  Without limiting Publisher’s obligations herein, if in the event any intellectual property rights, including moral rights, in any Licensor Intellectual Property cannot (as a matter of law) be assigned by Publisher to Licensor as provided in </w:t>
      </w:r>
      <w:r>
        <w:rPr>
          <w:rFonts w:ascii="Times New Roman" w:hAnsi="Times New Roman"/>
          <w:b/>
          <w:sz w:val="22"/>
          <w:szCs w:val="22"/>
          <w:u w:val="single"/>
        </w:rPr>
        <w:t>Section 14.1</w:t>
      </w:r>
      <w:r>
        <w:rPr>
          <w:rFonts w:ascii="Times New Roman" w:hAnsi="Times New Roman"/>
          <w:sz w:val="22"/>
          <w:szCs w:val="22"/>
        </w:rPr>
        <w:t>, then (a) Publisher unconditionally and irrevocably waives the enforcement of such rights and all claims and causes of action of any kind against Licensor and all of its licensees and subcontractors with respect to such rights, and (b) to the extent Publisher cannot or does not make such waiver, Publisher unconditionally grants to Licensor an exclusive, perpetual, irrevocable, worldwide, fully-paid license, with the right to sublicense through multiple levels of licensees, under any and all such rights (i) to reproduce, create derivative works of, distribute, publicly perform, publicly display, digitally transmit, digitally perform, and otherwise use the such rights relating thereto in any medium or format, whether now known or hereafter discovered, (ii) to use, make, have made, sell, offer to sell, import, and otherwise exploit any product or service based on, embodying, incorporating, or derived from such rights, and (iii) to exercise any and all other present or future rights relating thereto.</w:t>
      </w:r>
    </w:p>
    <w:p w14:paraId="31E6E7AE" w14:textId="77777777" w:rsidR="004156D5" w:rsidRPr="000E723A" w:rsidRDefault="004156D5" w:rsidP="004156D5">
      <w:pPr>
        <w:pStyle w:val="1"/>
        <w:tabs>
          <w:tab w:val="clear" w:pos="360"/>
          <w:tab w:val="clear" w:pos="1080"/>
          <w:tab w:val="clear" w:pos="2520"/>
          <w:tab w:val="clear" w:pos="3240"/>
          <w:tab w:val="clear" w:pos="3960"/>
          <w:tab w:val="clear" w:pos="4680"/>
          <w:tab w:val="clear" w:pos="4760"/>
          <w:tab w:val="clear" w:pos="5220"/>
          <w:tab w:val="clear" w:pos="5400"/>
          <w:tab w:val="clear" w:pos="6120"/>
          <w:tab w:val="clear" w:pos="6840"/>
          <w:tab w:val="clear" w:pos="7200"/>
          <w:tab w:val="clear" w:pos="7560"/>
          <w:tab w:val="clear" w:pos="7920"/>
          <w:tab w:val="clear" w:pos="8280"/>
          <w:tab w:val="clear" w:pos="8640"/>
          <w:tab w:val="clear" w:pos="9000"/>
          <w:tab w:val="clear" w:pos="9360"/>
          <w:tab w:val="clear" w:pos="10080"/>
          <w:tab w:val="clear" w:pos="10440"/>
        </w:tabs>
        <w:spacing w:before="120" w:after="120"/>
        <w:ind w:left="720" w:hanging="720"/>
        <w:jc w:val="both"/>
        <w:rPr>
          <w:rFonts w:ascii="Times New Roman" w:hAnsi="Times New Roman"/>
          <w:sz w:val="22"/>
          <w:szCs w:val="22"/>
        </w:rPr>
      </w:pPr>
      <w:r>
        <w:rPr>
          <w:rFonts w:ascii="Times New Roman" w:hAnsi="Times New Roman"/>
          <w:sz w:val="22"/>
          <w:szCs w:val="22"/>
        </w:rPr>
        <w:lastRenderedPageBreak/>
        <w:t>14.3</w:t>
      </w:r>
      <w:r>
        <w:rPr>
          <w:rFonts w:ascii="Times New Roman" w:hAnsi="Times New Roman"/>
          <w:sz w:val="22"/>
          <w:szCs w:val="22"/>
        </w:rPr>
        <w:tab/>
      </w:r>
      <w:r>
        <w:rPr>
          <w:rFonts w:ascii="Times New Roman" w:hAnsi="Times New Roman"/>
          <w:b/>
          <w:sz w:val="22"/>
          <w:szCs w:val="22"/>
        </w:rPr>
        <w:t>Trademarks and Trade Names</w:t>
      </w:r>
      <w:r>
        <w:rPr>
          <w:rFonts w:ascii="Times New Roman" w:hAnsi="Times New Roman"/>
          <w:sz w:val="22"/>
          <w:szCs w:val="22"/>
        </w:rPr>
        <w:t xml:space="preserve">.  Publisher shall include a copyright notice approved by Licensor indicating Licensor’s ownership rights in the Licensor Title. Without limiting the generality of </w:t>
      </w:r>
      <w:r>
        <w:rPr>
          <w:rFonts w:ascii="Times New Roman" w:hAnsi="Times New Roman"/>
          <w:b/>
          <w:sz w:val="22"/>
          <w:szCs w:val="22"/>
          <w:u w:val="single"/>
        </w:rPr>
        <w:t>Section 14.1</w:t>
      </w:r>
      <w:r>
        <w:rPr>
          <w:rFonts w:ascii="Times New Roman" w:hAnsi="Times New Roman"/>
          <w:sz w:val="22"/>
          <w:szCs w:val="22"/>
        </w:rPr>
        <w:t xml:space="preserve"> Publisher will have no interest in any Licensor Branding, which shall be deemed owned by Licensor.  Any and all use of such Licensor Branding by Publisher will be deemed made by Licensor for the purposes of trademark registration and will inure solely to the benefit of Licensor for such purposes.</w:t>
      </w:r>
    </w:p>
    <w:p w14:paraId="0252D44F" w14:textId="77777777" w:rsidR="00B86A44" w:rsidRPr="000E723A" w:rsidRDefault="00682530" w:rsidP="00682530">
      <w:pPr>
        <w:pStyle w:val="1"/>
        <w:tabs>
          <w:tab w:val="clear" w:pos="360"/>
          <w:tab w:val="clear" w:pos="1080"/>
          <w:tab w:val="clear" w:pos="2520"/>
          <w:tab w:val="clear" w:pos="3240"/>
          <w:tab w:val="clear" w:pos="3960"/>
          <w:tab w:val="clear" w:pos="4680"/>
          <w:tab w:val="clear" w:pos="4760"/>
          <w:tab w:val="clear" w:pos="5220"/>
          <w:tab w:val="clear" w:pos="5400"/>
          <w:tab w:val="clear" w:pos="6120"/>
          <w:tab w:val="clear" w:pos="6840"/>
          <w:tab w:val="clear" w:pos="7200"/>
          <w:tab w:val="clear" w:pos="7560"/>
          <w:tab w:val="clear" w:pos="7920"/>
          <w:tab w:val="clear" w:pos="8280"/>
          <w:tab w:val="clear" w:pos="8640"/>
          <w:tab w:val="clear" w:pos="9000"/>
          <w:tab w:val="clear" w:pos="9360"/>
          <w:tab w:val="clear" w:pos="10080"/>
          <w:tab w:val="clear" w:pos="10440"/>
        </w:tabs>
        <w:spacing w:before="120" w:after="120"/>
        <w:ind w:left="720" w:hanging="720"/>
        <w:jc w:val="both"/>
        <w:rPr>
          <w:rFonts w:ascii="Times New Roman" w:hAnsi="Times New Roman"/>
          <w:sz w:val="22"/>
          <w:szCs w:val="22"/>
        </w:rPr>
      </w:pPr>
      <w:r>
        <w:rPr>
          <w:rFonts w:ascii="Times New Roman" w:hAnsi="Times New Roman"/>
          <w:sz w:val="22"/>
          <w:szCs w:val="22"/>
        </w:rPr>
        <w:t>14.4</w:t>
      </w:r>
      <w:r>
        <w:rPr>
          <w:rFonts w:ascii="Times New Roman" w:hAnsi="Times New Roman"/>
          <w:sz w:val="22"/>
          <w:szCs w:val="22"/>
        </w:rPr>
        <w:tab/>
      </w:r>
      <w:r>
        <w:rPr>
          <w:rFonts w:ascii="Times New Roman" w:hAnsi="Times New Roman"/>
          <w:b/>
          <w:sz w:val="22"/>
          <w:szCs w:val="22"/>
        </w:rPr>
        <w:t>Additional Steps</w:t>
      </w:r>
      <w:r>
        <w:rPr>
          <w:rFonts w:ascii="Times New Roman" w:hAnsi="Times New Roman"/>
          <w:sz w:val="22"/>
          <w:szCs w:val="22"/>
        </w:rPr>
        <w:t xml:space="preserve">. At Licensor’s request, both during and after the Term, Publisher shall, and shall cause its employees, contractors and agents to use commercially reasonable efforts to: (a) cooperate with and assist Licensor in perfecting, maintaining, protecting, and enforcing all rights in and to the Licensor Intellectual Property, and (b) execute and deliver to Licensor any documents deemed necessary or appropriate by Licensor in its reasonable discretion to perfect, maintain, protect, or enforce Licensor’s rights in and to the Licensor Intellectual Property or otherwise carry out the purpose of this Agreement.  </w:t>
      </w:r>
    </w:p>
    <w:p w14:paraId="3EA782DC" w14:textId="77777777" w:rsidR="00B86A44" w:rsidRPr="000E723A" w:rsidRDefault="00682530" w:rsidP="00682530">
      <w:pPr>
        <w:pStyle w:val="1"/>
        <w:tabs>
          <w:tab w:val="clear" w:pos="360"/>
          <w:tab w:val="clear" w:pos="1080"/>
          <w:tab w:val="clear" w:pos="2520"/>
          <w:tab w:val="clear" w:pos="3240"/>
          <w:tab w:val="clear" w:pos="3960"/>
          <w:tab w:val="clear" w:pos="4680"/>
          <w:tab w:val="clear" w:pos="4760"/>
          <w:tab w:val="clear" w:pos="5220"/>
          <w:tab w:val="clear" w:pos="5400"/>
          <w:tab w:val="clear" w:pos="6120"/>
          <w:tab w:val="clear" w:pos="6840"/>
          <w:tab w:val="clear" w:pos="7200"/>
          <w:tab w:val="clear" w:pos="7560"/>
          <w:tab w:val="clear" w:pos="7920"/>
          <w:tab w:val="clear" w:pos="8280"/>
          <w:tab w:val="clear" w:pos="8640"/>
          <w:tab w:val="clear" w:pos="9000"/>
          <w:tab w:val="clear" w:pos="9360"/>
          <w:tab w:val="clear" w:pos="10080"/>
          <w:tab w:val="clear" w:pos="10440"/>
        </w:tabs>
        <w:spacing w:before="120" w:after="120"/>
        <w:ind w:left="720" w:hanging="720"/>
        <w:jc w:val="both"/>
        <w:rPr>
          <w:rFonts w:ascii="Times New Roman" w:hAnsi="Times New Roman"/>
          <w:sz w:val="22"/>
          <w:szCs w:val="22"/>
        </w:rPr>
      </w:pPr>
      <w:r>
        <w:rPr>
          <w:rFonts w:ascii="Times New Roman" w:hAnsi="Times New Roman"/>
          <w:sz w:val="22"/>
          <w:szCs w:val="22"/>
        </w:rPr>
        <w:t>14.5</w:t>
      </w:r>
      <w:r>
        <w:rPr>
          <w:rFonts w:ascii="Times New Roman" w:hAnsi="Times New Roman"/>
          <w:sz w:val="22"/>
          <w:szCs w:val="22"/>
        </w:rPr>
        <w:tab/>
      </w:r>
      <w:r>
        <w:rPr>
          <w:rFonts w:ascii="Times New Roman" w:hAnsi="Times New Roman"/>
          <w:b/>
          <w:sz w:val="22"/>
          <w:szCs w:val="22"/>
        </w:rPr>
        <w:t>Publisher Materials.</w:t>
      </w:r>
      <w:r>
        <w:rPr>
          <w:rFonts w:ascii="Times New Roman" w:hAnsi="Times New Roman"/>
          <w:sz w:val="22"/>
          <w:szCs w:val="22"/>
        </w:rPr>
        <w:t xml:space="preserve"> Licensor Intellectual Property excludes the underlying software in the Mobile Application to the extent that it is not code provided by Licensor or a derivative work thereof (for example, Publisher shall own all rights in a user interface that it develops, including the underlying source and object code, and that is not a derivative work of the Licensor Intellectual Property but Publisher shall have no right to the Licensor Intellectual Property upon conclusion of the Agreement) (“</w:t>
      </w:r>
      <w:r>
        <w:rPr>
          <w:rFonts w:ascii="Times New Roman" w:hAnsi="Times New Roman"/>
          <w:b/>
          <w:sz w:val="22"/>
          <w:szCs w:val="22"/>
        </w:rPr>
        <w:t>Publisher Materials</w:t>
      </w:r>
      <w:r>
        <w:rPr>
          <w:rFonts w:ascii="Times New Roman" w:hAnsi="Times New Roman"/>
          <w:sz w:val="22"/>
          <w:szCs w:val="22"/>
        </w:rPr>
        <w:t>”).  Upon termination or expiration of its rights to any Mobile Application, although Publisher will retain ownership of the Publisher Materials, it retains no rights with respect to the underlying Licensor Title or any Licensor Intellectual Property.</w:t>
      </w:r>
    </w:p>
    <w:p w14:paraId="3B54198D" w14:textId="77777777" w:rsidR="00B86A44" w:rsidRPr="000E723A" w:rsidRDefault="00FE3765">
      <w:pPr>
        <w:pStyle w:val="BodyText"/>
        <w:tabs>
          <w:tab w:val="clear" w:pos="2340"/>
          <w:tab w:val="clear" w:pos="8010"/>
          <w:tab w:val="clear" w:pos="8640"/>
        </w:tabs>
        <w:spacing w:before="240" w:after="60"/>
        <w:rPr>
          <w:bCs/>
          <w:szCs w:val="22"/>
        </w:rPr>
      </w:pPr>
      <w:r>
        <w:rPr>
          <w:b/>
          <w:bCs/>
          <w:kern w:val="32"/>
          <w:szCs w:val="22"/>
        </w:rPr>
        <w:t>16.</w:t>
      </w:r>
      <w:r>
        <w:rPr>
          <w:bCs/>
          <w:kern w:val="32"/>
          <w:szCs w:val="22"/>
        </w:rPr>
        <w:t xml:space="preserve"> </w:t>
      </w:r>
      <w:r>
        <w:rPr>
          <w:bCs/>
          <w:kern w:val="32"/>
          <w:szCs w:val="22"/>
        </w:rPr>
        <w:tab/>
      </w:r>
      <w:r>
        <w:rPr>
          <w:b/>
          <w:bCs/>
          <w:kern w:val="32"/>
          <w:szCs w:val="22"/>
          <w:u w:val="single"/>
        </w:rPr>
        <w:t>Miscellaneous</w:t>
      </w:r>
    </w:p>
    <w:p w14:paraId="246508B9" w14:textId="77777777" w:rsidR="00B86A44" w:rsidRPr="000E723A" w:rsidRDefault="00682530" w:rsidP="00682530">
      <w:pPr>
        <w:pStyle w:val="BodyText"/>
        <w:tabs>
          <w:tab w:val="clear" w:pos="2340"/>
          <w:tab w:val="clear" w:pos="8010"/>
          <w:tab w:val="clear" w:pos="8640"/>
        </w:tabs>
        <w:spacing w:before="120" w:after="120"/>
        <w:ind w:left="720" w:hanging="720"/>
        <w:rPr>
          <w:szCs w:val="22"/>
        </w:rPr>
      </w:pPr>
      <w:r>
        <w:rPr>
          <w:szCs w:val="22"/>
        </w:rPr>
        <w:t>15.1</w:t>
      </w:r>
      <w:r>
        <w:rPr>
          <w:szCs w:val="22"/>
        </w:rPr>
        <w:tab/>
      </w:r>
      <w:r>
        <w:rPr>
          <w:b/>
          <w:szCs w:val="22"/>
        </w:rPr>
        <w:t>No Partnership or Joint Venture</w:t>
      </w:r>
      <w:r>
        <w:rPr>
          <w:szCs w:val="22"/>
        </w:rPr>
        <w:t>.  Neither party has any power or authority to assume or create any obligation or responsibility on behalf of the other party.  This Agreement may not be construed to create or imply any partnership, agency or joint venture between the parties.</w:t>
      </w:r>
    </w:p>
    <w:p w14:paraId="530C5428" w14:textId="77777777" w:rsidR="00B86A44" w:rsidRPr="000E723A" w:rsidRDefault="00682530" w:rsidP="00682530">
      <w:pPr>
        <w:pStyle w:val="BodyText"/>
        <w:tabs>
          <w:tab w:val="clear" w:pos="2340"/>
          <w:tab w:val="clear" w:pos="8010"/>
          <w:tab w:val="clear" w:pos="8640"/>
        </w:tabs>
        <w:spacing w:before="120" w:after="120"/>
        <w:ind w:left="720" w:hanging="720"/>
        <w:rPr>
          <w:szCs w:val="22"/>
        </w:rPr>
      </w:pPr>
      <w:r>
        <w:rPr>
          <w:szCs w:val="22"/>
        </w:rPr>
        <w:t>15.2</w:t>
      </w:r>
      <w:r>
        <w:rPr>
          <w:szCs w:val="22"/>
        </w:rPr>
        <w:tab/>
      </w:r>
      <w:r>
        <w:rPr>
          <w:b/>
          <w:szCs w:val="22"/>
        </w:rPr>
        <w:t>Force Majeure</w:t>
      </w:r>
      <w:r>
        <w:rPr>
          <w:szCs w:val="22"/>
        </w:rPr>
        <w:t>.  Any delay in or failure of performance by either party will not be considered a breach of this Agreement and will be excused to the extent caused by any occurrence beyond the reasonable control of such party including, without limitation, acts of God, power outages, telecommunications failures and governmental restrictions.</w:t>
      </w:r>
    </w:p>
    <w:p w14:paraId="1B057027" w14:textId="77777777" w:rsidR="00B86A44" w:rsidRPr="000E723A" w:rsidRDefault="00682530" w:rsidP="00682530">
      <w:pPr>
        <w:pStyle w:val="BodyText"/>
        <w:tabs>
          <w:tab w:val="clear" w:pos="2340"/>
          <w:tab w:val="clear" w:pos="8010"/>
          <w:tab w:val="clear" w:pos="8640"/>
        </w:tabs>
        <w:spacing w:before="120" w:after="120"/>
        <w:ind w:left="720" w:hanging="720"/>
        <w:rPr>
          <w:szCs w:val="22"/>
        </w:rPr>
      </w:pPr>
      <w:r>
        <w:rPr>
          <w:szCs w:val="22"/>
        </w:rPr>
        <w:t>15.3</w:t>
      </w:r>
      <w:r>
        <w:rPr>
          <w:szCs w:val="22"/>
        </w:rPr>
        <w:tab/>
      </w:r>
      <w:r>
        <w:rPr>
          <w:b/>
          <w:szCs w:val="22"/>
        </w:rPr>
        <w:t>Governing Law; Forum</w:t>
      </w:r>
      <w:r>
        <w:rPr>
          <w:szCs w:val="22"/>
        </w:rPr>
        <w:t>.  This Agreement will be governed by and construed in accordance with the laws of the State of California without reference to California’s conflict of laws principles.  The parties hereby irrevocably consent to the exclusive jurisdiction of any court of competent jurisdiction located in San Francisco County, California, over any dispute arising out of or related in any way to this Agreement</w:t>
      </w:r>
      <w:r>
        <w:rPr>
          <w:b/>
          <w:bCs/>
          <w:i/>
          <w:szCs w:val="22"/>
        </w:rPr>
        <w:t>.</w:t>
      </w:r>
    </w:p>
    <w:p w14:paraId="3AAC580B" w14:textId="77777777" w:rsidR="00B86A44" w:rsidRPr="000E723A" w:rsidRDefault="00682530" w:rsidP="00682530">
      <w:pPr>
        <w:pStyle w:val="BodyText"/>
        <w:tabs>
          <w:tab w:val="clear" w:pos="2340"/>
          <w:tab w:val="clear" w:pos="8010"/>
          <w:tab w:val="clear" w:pos="8640"/>
        </w:tabs>
        <w:spacing w:before="120" w:after="120"/>
        <w:ind w:left="720" w:hanging="720"/>
        <w:rPr>
          <w:szCs w:val="22"/>
        </w:rPr>
      </w:pPr>
      <w:r>
        <w:rPr>
          <w:szCs w:val="22"/>
        </w:rPr>
        <w:t>15.4</w:t>
      </w:r>
      <w:r>
        <w:rPr>
          <w:szCs w:val="22"/>
        </w:rPr>
        <w:tab/>
      </w:r>
      <w:r>
        <w:rPr>
          <w:b/>
          <w:szCs w:val="22"/>
        </w:rPr>
        <w:t>Press Releases</w:t>
      </w:r>
      <w:r>
        <w:rPr>
          <w:szCs w:val="22"/>
        </w:rPr>
        <w:t>. Neither Party shall issue or cause the publication of any such Press Release without the prior written consent of the other Party.  Nothing herein will prohibit either Party from issuing or causing publication of any such Press Release to the extent that such action is required by applicable law or the rules of any national stock exchange applicable to such Party, in which case the Party wishing to make such disclosure will, if practicable under the circumstances, notify the other Party of the proposed time of issuance of such Press Release and consult with and allow the other Party reasonable time to comment on such Press Release in advance of its issuance.</w:t>
      </w:r>
    </w:p>
    <w:p w14:paraId="00BA699A" w14:textId="77777777" w:rsidR="00B86A44" w:rsidRPr="000E723A" w:rsidRDefault="00682530" w:rsidP="00682530">
      <w:pPr>
        <w:pStyle w:val="BodyText"/>
        <w:tabs>
          <w:tab w:val="clear" w:pos="2340"/>
          <w:tab w:val="clear" w:pos="8010"/>
          <w:tab w:val="clear" w:pos="8640"/>
        </w:tabs>
        <w:spacing w:before="120" w:after="120"/>
        <w:ind w:left="720" w:hanging="720"/>
        <w:rPr>
          <w:szCs w:val="22"/>
        </w:rPr>
      </w:pPr>
      <w:r>
        <w:rPr>
          <w:szCs w:val="22"/>
        </w:rPr>
        <w:t>15.5</w:t>
      </w:r>
      <w:r>
        <w:rPr>
          <w:szCs w:val="22"/>
        </w:rPr>
        <w:tab/>
      </w:r>
      <w:r>
        <w:rPr>
          <w:b/>
          <w:szCs w:val="22"/>
        </w:rPr>
        <w:t>Merger and Integration</w:t>
      </w:r>
      <w:r>
        <w:rPr>
          <w:szCs w:val="22"/>
        </w:rPr>
        <w:t xml:space="preserve">. This Agreement constitutes the complete and exclusive understanding and agreement between the parties regarding its subject matter and supersedes all prior or contemporaneous agreements or understandings, written or oral, relating to its subject matter.  Any </w:t>
      </w:r>
      <w:r>
        <w:rPr>
          <w:szCs w:val="22"/>
        </w:rPr>
        <w:lastRenderedPageBreak/>
        <w:t>waiver, modification or amendment of any provision of this Agreement will be effective only if in writing and signed by duly authorized representatives of both parties.</w:t>
      </w:r>
    </w:p>
    <w:p w14:paraId="0A71F6FD" w14:textId="77777777" w:rsidR="00EC7A76" w:rsidRPr="000E723A" w:rsidRDefault="00682530" w:rsidP="00682530">
      <w:pPr>
        <w:pStyle w:val="BodyText"/>
        <w:tabs>
          <w:tab w:val="clear" w:pos="2340"/>
          <w:tab w:val="clear" w:pos="8010"/>
          <w:tab w:val="clear" w:pos="8640"/>
        </w:tabs>
        <w:spacing w:before="120" w:after="120"/>
        <w:ind w:left="720" w:hanging="720"/>
        <w:rPr>
          <w:szCs w:val="22"/>
        </w:rPr>
      </w:pPr>
      <w:bookmarkStart w:id="15" w:name="_Ref49163613"/>
      <w:r>
        <w:rPr>
          <w:szCs w:val="22"/>
        </w:rPr>
        <w:t>15.6</w:t>
      </w:r>
      <w:r>
        <w:rPr>
          <w:szCs w:val="22"/>
        </w:rPr>
        <w:tab/>
      </w:r>
      <w:r>
        <w:rPr>
          <w:b/>
          <w:szCs w:val="22"/>
        </w:rPr>
        <w:t>Attorneys’ Fees</w:t>
      </w:r>
      <w:r>
        <w:rPr>
          <w:szCs w:val="22"/>
        </w:rPr>
        <w:t xml:space="preserve">. </w:t>
      </w:r>
      <w:r>
        <w:rPr>
          <w:snapToGrid w:val="0"/>
          <w:szCs w:val="22"/>
        </w:rPr>
        <w:t>If of any action or lawsuit is brought by a party hereto against the other party arising out of or relating to this Agreement or a bankruptcy proceeding involving a party, then the prevailing party will be entitled, in addition to any other relief granted, to have and recover from the other party the reasonable costs and expenses incurred in connection therewith, including reasonable collections fees, attorneys' fees (both in-house and outside counsel) and reasonable fees and expenses of any expert witnesses, paralegals and other professionals, at all trial and appellate levels.</w:t>
      </w:r>
      <w:bookmarkEnd w:id="15"/>
    </w:p>
    <w:p w14:paraId="511D0AAC" w14:textId="77777777" w:rsidR="00BC6531" w:rsidRPr="000E723A" w:rsidRDefault="00682530" w:rsidP="00682530">
      <w:pPr>
        <w:pStyle w:val="BodyText"/>
        <w:tabs>
          <w:tab w:val="clear" w:pos="2340"/>
          <w:tab w:val="clear" w:pos="8010"/>
          <w:tab w:val="clear" w:pos="8640"/>
        </w:tabs>
        <w:spacing w:before="120" w:after="120"/>
        <w:ind w:left="720" w:hanging="720"/>
        <w:rPr>
          <w:szCs w:val="22"/>
        </w:rPr>
      </w:pPr>
      <w:r>
        <w:rPr>
          <w:szCs w:val="22"/>
        </w:rPr>
        <w:t>15.7</w:t>
      </w:r>
      <w:r>
        <w:rPr>
          <w:szCs w:val="22"/>
        </w:rPr>
        <w:tab/>
      </w:r>
      <w:r>
        <w:rPr>
          <w:b/>
          <w:szCs w:val="22"/>
        </w:rPr>
        <w:t>Severability</w:t>
      </w:r>
      <w:r>
        <w:rPr>
          <w:szCs w:val="22"/>
        </w:rPr>
        <w:t xml:space="preserve">. If a provision herein contained (or any portion of such provision) will be held by any court of competent jurisdiction to be illegal, void or unenforceable, such provision (of any portion of such provision) will be of no force or effect while such infirmity will exist, but such infirmity will have no effect whatsoever upon the binding force or effectiveness of any of the other provisions hereof. </w:t>
      </w:r>
    </w:p>
    <w:p w14:paraId="622F47C1" w14:textId="77777777" w:rsidR="00BC6531" w:rsidRPr="000E723A" w:rsidRDefault="00682530" w:rsidP="00682530">
      <w:pPr>
        <w:pStyle w:val="BodyText"/>
        <w:tabs>
          <w:tab w:val="clear" w:pos="2340"/>
          <w:tab w:val="clear" w:pos="8010"/>
          <w:tab w:val="clear" w:pos="8640"/>
        </w:tabs>
        <w:spacing w:before="120" w:after="120"/>
        <w:ind w:left="720" w:hanging="720"/>
        <w:rPr>
          <w:szCs w:val="22"/>
        </w:rPr>
      </w:pPr>
      <w:r>
        <w:rPr>
          <w:szCs w:val="22"/>
        </w:rPr>
        <w:t>15.8</w:t>
      </w:r>
      <w:r>
        <w:rPr>
          <w:szCs w:val="22"/>
        </w:rPr>
        <w:tab/>
      </w:r>
      <w:r>
        <w:rPr>
          <w:b/>
          <w:szCs w:val="22"/>
        </w:rPr>
        <w:t>No Waiver</w:t>
      </w:r>
      <w:r>
        <w:rPr>
          <w:szCs w:val="22"/>
        </w:rPr>
        <w:t xml:space="preserve">.  No waiver of any default or breach of this Agreement by either party will be deemed a continuing waiver or a waiver of any other breach or default, no matter how similar. </w:t>
      </w:r>
    </w:p>
    <w:p w14:paraId="4AE0A27C" w14:textId="77777777" w:rsidR="00BC6531" w:rsidRPr="000E723A" w:rsidRDefault="005A6D9F" w:rsidP="005A6D9F">
      <w:pPr>
        <w:pStyle w:val="BodyText"/>
        <w:tabs>
          <w:tab w:val="clear" w:pos="2340"/>
          <w:tab w:val="clear" w:pos="8010"/>
          <w:tab w:val="clear" w:pos="8640"/>
        </w:tabs>
        <w:spacing w:before="120" w:after="120"/>
        <w:ind w:left="720" w:hanging="720"/>
        <w:rPr>
          <w:szCs w:val="22"/>
        </w:rPr>
      </w:pPr>
      <w:r>
        <w:rPr>
          <w:szCs w:val="22"/>
        </w:rPr>
        <w:t>15.9</w:t>
      </w:r>
      <w:r>
        <w:rPr>
          <w:szCs w:val="22"/>
        </w:rPr>
        <w:tab/>
      </w:r>
      <w:r>
        <w:rPr>
          <w:b/>
          <w:szCs w:val="22"/>
        </w:rPr>
        <w:t>No Drafting Presumption</w:t>
      </w:r>
      <w:r>
        <w:rPr>
          <w:szCs w:val="22"/>
        </w:rPr>
        <w:t xml:space="preserve">.  Because the parties hereto have participated in drafting this Agreement, there will be no presumption against any party on the ground that such party was responsible for preparing this Agreement or any part of it. </w:t>
      </w:r>
    </w:p>
    <w:p w14:paraId="26C6540D" w14:textId="77777777" w:rsidR="00BC6531" w:rsidRPr="000E723A" w:rsidRDefault="005A6D9F" w:rsidP="005A6D9F">
      <w:pPr>
        <w:pStyle w:val="BodyText"/>
        <w:tabs>
          <w:tab w:val="clear" w:pos="2340"/>
          <w:tab w:val="clear" w:pos="8010"/>
          <w:tab w:val="clear" w:pos="8640"/>
        </w:tabs>
        <w:spacing w:before="120" w:after="120"/>
        <w:ind w:left="720" w:hanging="720"/>
        <w:rPr>
          <w:szCs w:val="22"/>
        </w:rPr>
      </w:pPr>
      <w:r>
        <w:rPr>
          <w:szCs w:val="22"/>
        </w:rPr>
        <w:t>15.10</w:t>
      </w:r>
      <w:r>
        <w:rPr>
          <w:szCs w:val="22"/>
        </w:rPr>
        <w:tab/>
      </w:r>
      <w:r>
        <w:rPr>
          <w:b/>
          <w:szCs w:val="22"/>
        </w:rPr>
        <w:t>Heading.</w:t>
      </w:r>
      <w:r>
        <w:rPr>
          <w:szCs w:val="22"/>
        </w:rPr>
        <w:t xml:space="preserve">  Headings in this Agreement are for convenience only and will not control or affect the meaning or construction of any provision of this Agreement. </w:t>
      </w:r>
    </w:p>
    <w:p w14:paraId="21934ADF" w14:textId="77777777" w:rsidR="00BC6531" w:rsidRPr="000E723A" w:rsidRDefault="005A6D9F" w:rsidP="005A6D9F">
      <w:pPr>
        <w:pStyle w:val="BodyText"/>
        <w:tabs>
          <w:tab w:val="clear" w:pos="2340"/>
          <w:tab w:val="clear" w:pos="8010"/>
          <w:tab w:val="clear" w:pos="8640"/>
        </w:tabs>
        <w:spacing w:before="120" w:after="120"/>
        <w:ind w:left="720" w:hanging="720"/>
        <w:rPr>
          <w:szCs w:val="22"/>
        </w:rPr>
      </w:pPr>
      <w:r>
        <w:rPr>
          <w:szCs w:val="22"/>
        </w:rPr>
        <w:t>15.11</w:t>
      </w:r>
      <w:r>
        <w:rPr>
          <w:szCs w:val="22"/>
        </w:rPr>
        <w:tab/>
      </w:r>
      <w:r>
        <w:rPr>
          <w:b/>
          <w:szCs w:val="22"/>
        </w:rPr>
        <w:t>Time.</w:t>
      </w:r>
      <w:r>
        <w:rPr>
          <w:szCs w:val="22"/>
        </w:rPr>
        <w:t xml:space="preserve">  Time is of the essence regarding all of the obligations of each of the parties hereunder. Unless otherwise noted, all references herein to “days” will mean calendar days (as opposed to business days). </w:t>
      </w:r>
    </w:p>
    <w:p w14:paraId="2AABFFD1" w14:textId="77777777" w:rsidR="005C3B00" w:rsidRPr="000E723A" w:rsidRDefault="00AD5318" w:rsidP="00AD5318">
      <w:pPr>
        <w:pStyle w:val="BodyText"/>
        <w:tabs>
          <w:tab w:val="clear" w:pos="2340"/>
          <w:tab w:val="clear" w:pos="8010"/>
          <w:tab w:val="clear" w:pos="8640"/>
        </w:tabs>
        <w:spacing w:before="120" w:after="120"/>
        <w:ind w:left="720" w:hanging="720"/>
        <w:rPr>
          <w:szCs w:val="22"/>
        </w:rPr>
      </w:pPr>
      <w:r>
        <w:rPr>
          <w:szCs w:val="22"/>
        </w:rPr>
        <w:t>15.12</w:t>
      </w:r>
      <w:r>
        <w:rPr>
          <w:szCs w:val="22"/>
        </w:rPr>
        <w:tab/>
      </w:r>
      <w:r>
        <w:rPr>
          <w:b/>
          <w:szCs w:val="22"/>
        </w:rPr>
        <w:t>Counterpart</w:t>
      </w:r>
      <w:r>
        <w:rPr>
          <w:szCs w:val="22"/>
        </w:rPr>
        <w:t xml:space="preserve">.  This Agreement may be executed in counterparts, each of which will be deemed an original Agreement for all purposes, including the judicial proof of any of the terms hereof, provided, however that all such counterparts will constitute one and the same Agreement. </w:t>
      </w:r>
    </w:p>
    <w:p w14:paraId="2381AE3F" w14:textId="77777777" w:rsidR="00EC7A76" w:rsidRPr="000E723A" w:rsidRDefault="00AD5318" w:rsidP="00AD5318">
      <w:pPr>
        <w:pStyle w:val="BodyText"/>
        <w:tabs>
          <w:tab w:val="clear" w:pos="2340"/>
          <w:tab w:val="clear" w:pos="8010"/>
          <w:tab w:val="clear" w:pos="8640"/>
        </w:tabs>
        <w:spacing w:before="120" w:after="120"/>
        <w:ind w:left="720" w:hanging="720"/>
        <w:rPr>
          <w:szCs w:val="22"/>
        </w:rPr>
      </w:pPr>
      <w:r>
        <w:rPr>
          <w:szCs w:val="22"/>
        </w:rPr>
        <w:t>15.13</w:t>
      </w:r>
      <w:r>
        <w:rPr>
          <w:szCs w:val="22"/>
        </w:rPr>
        <w:tab/>
      </w:r>
      <w:r>
        <w:rPr>
          <w:b/>
          <w:szCs w:val="22"/>
        </w:rPr>
        <w:t>Electronic Signature</w:t>
      </w:r>
      <w:r>
        <w:rPr>
          <w:rFonts w:eastAsia="Arial Unicode MS"/>
          <w:szCs w:val="22"/>
        </w:rPr>
        <w:t>.  The parties hereby agree that signatures transmitted and received via facsimile or other electronic means will be treated for all purposes of the Agreement as original signatures and will be deemed valid, binding and enforceable by and against both parties.</w:t>
      </w:r>
    </w:p>
    <w:p w14:paraId="41067F01" w14:textId="77777777" w:rsidR="003E11BB" w:rsidRPr="000E723A" w:rsidRDefault="003E11BB" w:rsidP="00C848A5">
      <w:pPr>
        <w:pStyle w:val="BodyText"/>
        <w:rPr>
          <w:b/>
          <w:smallCaps/>
          <w:szCs w:val="22"/>
        </w:rPr>
      </w:pPr>
    </w:p>
    <w:p w14:paraId="31431438" w14:textId="77777777" w:rsidR="00B86A44" w:rsidRPr="000E723A" w:rsidRDefault="00C848A5" w:rsidP="00C848A5">
      <w:pPr>
        <w:pStyle w:val="BodyText"/>
        <w:rPr>
          <w:szCs w:val="22"/>
        </w:rPr>
      </w:pPr>
      <w:r>
        <w:rPr>
          <w:b/>
          <w:smallCaps/>
          <w:szCs w:val="22"/>
        </w:rPr>
        <w:t>In Witness Whereof,</w:t>
      </w:r>
      <w:r>
        <w:rPr>
          <w:szCs w:val="22"/>
        </w:rPr>
        <w:t xml:space="preserve"> the parties hereto have duly executed this Agreement as of the Effective Date set forth above. </w:t>
      </w:r>
    </w:p>
    <w:p w14:paraId="756B6D6D" w14:textId="77777777" w:rsidR="00B86A44" w:rsidRPr="000E723A" w:rsidRDefault="00B86A44">
      <w:pPr>
        <w:pStyle w:val="BodyText"/>
        <w:tabs>
          <w:tab w:val="clear" w:pos="2340"/>
          <w:tab w:val="clear" w:pos="8010"/>
          <w:tab w:val="clear" w:pos="8640"/>
        </w:tabs>
        <w:jc w:val="left"/>
        <w:rPr>
          <w:szCs w:val="22"/>
        </w:rPr>
      </w:pPr>
    </w:p>
    <w:p w14:paraId="3551DA92" w14:textId="77777777" w:rsidR="00B86A44" w:rsidRPr="000E723A" w:rsidRDefault="00A62B99">
      <w:pPr>
        <w:tabs>
          <w:tab w:val="left" w:pos="2160"/>
          <w:tab w:val="left" w:pos="2880"/>
          <w:tab w:val="left" w:pos="3600"/>
          <w:tab w:val="left" w:pos="4320"/>
          <w:tab w:val="left" w:pos="5040"/>
          <w:tab w:val="right" w:pos="9360"/>
        </w:tabs>
        <w:suppressAutoHyphens/>
        <w:spacing w:after="120"/>
        <w:jc w:val="both"/>
        <w:rPr>
          <w:b/>
          <w:smallCaps/>
          <w:spacing w:val="-3"/>
          <w:sz w:val="22"/>
          <w:szCs w:val="22"/>
          <w:lang w:val="pl-PL"/>
        </w:rPr>
      </w:pPr>
      <w:r>
        <w:rPr>
          <w:b/>
          <w:smallCaps/>
          <w:spacing w:val="-3"/>
          <w:sz w:val="22"/>
          <w:szCs w:val="22"/>
          <w:lang w:val="pl-PL"/>
        </w:rPr>
        <w:t>PixelRush Studios, Inc.</w:t>
      </w:r>
      <w:r>
        <w:rPr>
          <w:b/>
          <w:smallCaps/>
          <w:spacing w:val="-3"/>
          <w:sz w:val="22"/>
          <w:szCs w:val="22"/>
          <w:lang w:val="pl-PL"/>
        </w:rPr>
        <w:tab/>
      </w:r>
      <w:r>
        <w:rPr>
          <w:b/>
          <w:smallCaps/>
          <w:spacing w:val="-3"/>
          <w:sz w:val="22"/>
          <w:szCs w:val="22"/>
          <w:lang w:val="pl-PL"/>
        </w:rPr>
        <w:tab/>
      </w:r>
      <w:r>
        <w:rPr>
          <w:b/>
          <w:smallCaps/>
          <w:spacing w:val="-3"/>
          <w:sz w:val="22"/>
          <w:szCs w:val="22"/>
          <w:lang w:val="pl-PL"/>
        </w:rPr>
        <w:tab/>
        <w:t xml:space="preserve"> </w:t>
      </w:r>
      <w:r>
        <w:rPr>
          <w:spacing w:val="-3"/>
          <w:sz w:val="22"/>
          <w:szCs w:val="22"/>
          <w:lang w:val="pl-PL"/>
        </w:rPr>
        <w:tab/>
      </w:r>
      <w:r>
        <w:rPr>
          <w:spacing w:val="-3"/>
          <w:sz w:val="22"/>
          <w:szCs w:val="22"/>
          <w:lang w:val="pl-PL"/>
        </w:rPr>
        <w:tab/>
      </w:r>
      <w:r>
        <w:rPr>
          <w:b/>
          <w:smallCaps/>
          <w:spacing w:val="-3"/>
          <w:sz w:val="22"/>
          <w:szCs w:val="22"/>
          <w:lang w:val="pl-PL"/>
        </w:rPr>
        <w:t>Broadlaunch Mobile</w:t>
      </w:r>
    </w:p>
    <w:p w14:paraId="203AE324" w14:textId="77777777" w:rsidR="00B86A44" w:rsidRPr="000E723A" w:rsidRDefault="00B86A44">
      <w:pPr>
        <w:tabs>
          <w:tab w:val="left" w:pos="2160"/>
          <w:tab w:val="left" w:pos="2880"/>
          <w:tab w:val="left" w:pos="3600"/>
          <w:tab w:val="left" w:pos="4320"/>
          <w:tab w:val="left" w:pos="5040"/>
          <w:tab w:val="right" w:pos="9360"/>
        </w:tabs>
        <w:suppressAutoHyphens/>
        <w:spacing w:after="120"/>
        <w:jc w:val="both"/>
        <w:rPr>
          <w:spacing w:val="-3"/>
          <w:sz w:val="22"/>
          <w:szCs w:val="22"/>
          <w:lang w:val="pl-PL"/>
        </w:rPr>
      </w:pPr>
    </w:p>
    <w:p w14:paraId="0E28963A" w14:textId="77777777" w:rsidR="00B86A44" w:rsidRPr="000E723A" w:rsidRDefault="00B86A44" w:rsidP="004A5A9C">
      <w:pPr>
        <w:tabs>
          <w:tab w:val="left" w:pos="5040"/>
        </w:tabs>
        <w:spacing w:after="240"/>
        <w:jc w:val="both"/>
        <w:rPr>
          <w:b/>
          <w:bCs/>
          <w:smallCaps/>
          <w:sz w:val="22"/>
          <w:szCs w:val="22"/>
          <w:lang w:val="pl-PL"/>
        </w:rPr>
      </w:pPr>
      <w:r>
        <w:rPr>
          <w:sz w:val="22"/>
          <w:szCs w:val="22"/>
          <w:lang w:val="pl-PL"/>
        </w:rPr>
        <w:t xml:space="preserve">By: </w:t>
      </w:r>
      <w:r>
        <w:rPr>
          <w:bCs/>
          <w:smallCaps/>
          <w:sz w:val="22"/>
          <w:szCs w:val="22"/>
          <w:lang w:val="pl-PL"/>
        </w:rPr>
        <w:t>______________________________</w:t>
      </w:r>
      <w:r>
        <w:rPr>
          <w:bCs/>
          <w:smallCaps/>
          <w:sz w:val="22"/>
          <w:szCs w:val="22"/>
          <w:lang w:val="pl-PL"/>
        </w:rPr>
        <w:tab/>
      </w:r>
      <w:r>
        <w:rPr>
          <w:sz w:val="22"/>
          <w:szCs w:val="22"/>
          <w:lang w:val="pl-PL"/>
        </w:rPr>
        <w:t xml:space="preserve">By: </w:t>
      </w:r>
      <w:r>
        <w:rPr>
          <w:bCs/>
          <w:smallCaps/>
          <w:sz w:val="22"/>
          <w:szCs w:val="22"/>
          <w:lang w:val="pl-PL"/>
        </w:rPr>
        <w:t>________________________________</w:t>
      </w:r>
    </w:p>
    <w:p w14:paraId="4617E0BF" w14:textId="77777777" w:rsidR="002958FE" w:rsidRPr="000E723A" w:rsidRDefault="00C848A5" w:rsidP="004A5A9C">
      <w:pPr>
        <w:tabs>
          <w:tab w:val="left" w:pos="810"/>
          <w:tab w:val="left" w:pos="5040"/>
          <w:tab w:val="left" w:pos="5850"/>
        </w:tabs>
        <w:rPr>
          <w:sz w:val="22"/>
          <w:szCs w:val="22"/>
        </w:rPr>
      </w:pPr>
      <w:r>
        <w:rPr>
          <w:sz w:val="22"/>
          <w:szCs w:val="22"/>
        </w:rPr>
        <w:t xml:space="preserve">Name: </w:t>
      </w:r>
      <w:r>
        <w:rPr>
          <w:sz w:val="22"/>
          <w:szCs w:val="22"/>
        </w:rPr>
        <w:tab/>
        <w:t>Brad Smith</w:t>
      </w:r>
      <w:r>
        <w:rPr>
          <w:sz w:val="22"/>
          <w:szCs w:val="22"/>
        </w:rPr>
        <w:tab/>
      </w:r>
      <w:r>
        <w:rPr>
          <w:sz w:val="22"/>
          <w:szCs w:val="22"/>
          <w:highlight w:val="yellow"/>
        </w:rPr>
        <w:t>Name:</w:t>
      </w:r>
      <w:r>
        <w:rPr>
          <w:sz w:val="22"/>
          <w:szCs w:val="22"/>
        </w:rPr>
        <w:tab/>
        <w:t>Vineel Shah</w:t>
      </w:r>
    </w:p>
    <w:p w14:paraId="1D15E9A3" w14:textId="1600E3D2" w:rsidR="00C848A5" w:rsidRPr="000E723A" w:rsidRDefault="00C848A5" w:rsidP="004A5A9C">
      <w:pPr>
        <w:tabs>
          <w:tab w:val="left" w:pos="810"/>
          <w:tab w:val="left" w:pos="5040"/>
          <w:tab w:val="left" w:pos="5850"/>
        </w:tabs>
        <w:rPr>
          <w:sz w:val="22"/>
          <w:szCs w:val="22"/>
        </w:rPr>
      </w:pPr>
      <w:r>
        <w:rPr>
          <w:sz w:val="22"/>
          <w:szCs w:val="22"/>
        </w:rPr>
        <w:t>Title:</w:t>
      </w:r>
      <w:r>
        <w:rPr>
          <w:sz w:val="22"/>
          <w:szCs w:val="22"/>
        </w:rPr>
        <w:tab/>
        <w:t>President &amp; CEO</w:t>
      </w:r>
      <w:r>
        <w:rPr>
          <w:sz w:val="22"/>
          <w:szCs w:val="22"/>
        </w:rPr>
        <w:tab/>
      </w:r>
      <w:r>
        <w:rPr>
          <w:sz w:val="22"/>
          <w:szCs w:val="22"/>
          <w:highlight w:val="yellow"/>
        </w:rPr>
        <w:t>Title</w:t>
      </w:r>
      <w:r>
        <w:rPr>
          <w:sz w:val="22"/>
          <w:szCs w:val="22"/>
        </w:rPr>
        <w:t>:</w:t>
      </w:r>
      <w:r>
        <w:rPr>
          <w:sz w:val="22"/>
          <w:szCs w:val="22"/>
        </w:rPr>
        <w:tab/>
        <w:t>CEO</w:t>
      </w:r>
      <w:r>
        <w:rPr>
          <w:sz w:val="22"/>
          <w:szCs w:val="22"/>
        </w:rPr>
        <w:br/>
        <w:t>Phone:</w:t>
      </w:r>
      <w:r>
        <w:rPr>
          <w:sz w:val="22"/>
          <w:szCs w:val="22"/>
        </w:rPr>
        <w:tab/>
        <w:t>(415) 848-5800</w:t>
      </w:r>
      <w:r>
        <w:rPr>
          <w:sz w:val="22"/>
          <w:szCs w:val="22"/>
        </w:rPr>
        <w:tab/>
      </w:r>
      <w:r>
        <w:rPr>
          <w:sz w:val="22"/>
          <w:szCs w:val="22"/>
          <w:highlight w:val="yellow"/>
        </w:rPr>
        <w:t>Phone</w:t>
      </w:r>
      <w:r>
        <w:rPr>
          <w:sz w:val="22"/>
          <w:szCs w:val="22"/>
        </w:rPr>
        <w:t>:</w:t>
      </w:r>
      <w:r>
        <w:rPr>
          <w:sz w:val="22"/>
          <w:szCs w:val="22"/>
        </w:rPr>
        <w:tab/>
        <w:t>646-246-8258</w:t>
      </w:r>
      <w:r>
        <w:rPr>
          <w:sz w:val="22"/>
          <w:szCs w:val="22"/>
        </w:rPr>
        <w:br/>
        <w:t>Fax:</w:t>
      </w:r>
      <w:r>
        <w:rPr>
          <w:sz w:val="22"/>
          <w:szCs w:val="22"/>
        </w:rPr>
        <w:tab/>
        <w:t>(415) 546-0136</w:t>
      </w:r>
      <w:r>
        <w:rPr>
          <w:sz w:val="22"/>
          <w:szCs w:val="22"/>
        </w:rPr>
        <w:tab/>
      </w:r>
      <w:r>
        <w:rPr>
          <w:sz w:val="22"/>
          <w:szCs w:val="22"/>
          <w:highlight w:val="yellow"/>
        </w:rPr>
        <w:t>Fax</w:t>
      </w:r>
      <w:r>
        <w:rPr>
          <w:sz w:val="22"/>
          <w:szCs w:val="22"/>
        </w:rPr>
        <w:t>:</w:t>
      </w:r>
      <w:r>
        <w:rPr>
          <w:sz w:val="22"/>
          <w:szCs w:val="22"/>
        </w:rPr>
        <w:tab/>
      </w:r>
      <w:r>
        <w:rPr>
          <w:sz w:val="22"/>
          <w:szCs w:val="22"/>
        </w:rPr>
        <w:br/>
        <w:t xml:space="preserve">Email: </w:t>
      </w:r>
      <w:r>
        <w:rPr>
          <w:sz w:val="22"/>
          <w:szCs w:val="22"/>
        </w:rPr>
        <w:tab/>
        <w:t>Brad@PixelRush Studios.com</w:t>
      </w:r>
      <w:r>
        <w:rPr>
          <w:sz w:val="22"/>
          <w:szCs w:val="22"/>
        </w:rPr>
        <w:tab/>
      </w:r>
      <w:r>
        <w:rPr>
          <w:sz w:val="22"/>
          <w:szCs w:val="22"/>
          <w:highlight w:val="yellow"/>
        </w:rPr>
        <w:t>Email</w:t>
      </w:r>
      <w:r>
        <w:rPr>
          <w:sz w:val="22"/>
          <w:szCs w:val="22"/>
        </w:rPr>
        <w:t>:</w:t>
      </w:r>
      <w:r>
        <w:rPr>
          <w:sz w:val="22"/>
          <w:szCs w:val="22"/>
        </w:rPr>
        <w:tab/>
        <w:t>vineel@broadlaunch.com</w:t>
      </w:r>
      <w:r>
        <w:rPr>
          <w:sz w:val="22"/>
          <w:szCs w:val="22"/>
        </w:rPr>
        <w:br/>
        <w:t>Address:</w:t>
      </w:r>
      <w:r>
        <w:rPr>
          <w:sz w:val="22"/>
          <w:szCs w:val="22"/>
        </w:rPr>
        <w:tab/>
        <w:t>160 FLy St., Ste. 11</w:t>
      </w:r>
      <w:r>
        <w:rPr>
          <w:sz w:val="22"/>
          <w:szCs w:val="22"/>
        </w:rPr>
        <w:tab/>
      </w:r>
      <w:r>
        <w:rPr>
          <w:sz w:val="22"/>
          <w:szCs w:val="22"/>
          <w:highlight w:val="yellow"/>
        </w:rPr>
        <w:t>Address</w:t>
      </w:r>
      <w:r>
        <w:rPr>
          <w:sz w:val="22"/>
          <w:szCs w:val="22"/>
        </w:rPr>
        <w:t>:</w:t>
      </w:r>
      <w:r>
        <w:rPr>
          <w:sz w:val="22"/>
          <w:szCs w:val="22"/>
        </w:rPr>
        <w:tab/>
        <w:t>25 Wesley Ct.</w:t>
      </w:r>
      <w:r>
        <w:rPr>
          <w:sz w:val="22"/>
          <w:szCs w:val="22"/>
        </w:rPr>
        <w:br/>
      </w:r>
      <w:r>
        <w:rPr>
          <w:sz w:val="22"/>
          <w:szCs w:val="22"/>
        </w:rPr>
        <w:tab/>
        <w:t>San Francisco, CA 94101</w:t>
      </w:r>
      <w:r>
        <w:rPr>
          <w:sz w:val="22"/>
          <w:szCs w:val="22"/>
        </w:rPr>
        <w:tab/>
      </w:r>
      <w:r>
        <w:rPr>
          <w:sz w:val="22"/>
          <w:szCs w:val="22"/>
        </w:rPr>
        <w:tab/>
        <w:t>South Orange, NJ 07079</w:t>
      </w:r>
    </w:p>
    <w:p w14:paraId="6CB0DB6B" w14:textId="77777777" w:rsidR="00B86A44" w:rsidRPr="000E723A" w:rsidRDefault="00B86A44">
      <w:pPr>
        <w:jc w:val="center"/>
        <w:rPr>
          <w:sz w:val="22"/>
          <w:szCs w:val="22"/>
        </w:rPr>
      </w:pPr>
      <w:r>
        <w:rPr>
          <w:sz w:val="22"/>
          <w:szCs w:val="22"/>
        </w:rPr>
        <w:br w:type="page"/>
      </w:r>
    </w:p>
    <w:p w14:paraId="57DE8378" w14:textId="77777777" w:rsidR="00B86A44" w:rsidRPr="000E723A" w:rsidRDefault="00B86A44">
      <w:pPr>
        <w:jc w:val="center"/>
        <w:rPr>
          <w:b/>
          <w:bCs/>
          <w:sz w:val="22"/>
          <w:szCs w:val="22"/>
          <w:u w:val="single"/>
        </w:rPr>
      </w:pPr>
      <w:r>
        <w:rPr>
          <w:b/>
          <w:bCs/>
          <w:sz w:val="22"/>
          <w:szCs w:val="22"/>
          <w:u w:val="single"/>
        </w:rPr>
        <w:lastRenderedPageBreak/>
        <w:t>Schedule 1</w:t>
      </w:r>
    </w:p>
    <w:p w14:paraId="0E666624" w14:textId="77777777" w:rsidR="00B86A44" w:rsidRPr="000E723A" w:rsidRDefault="00B86A44">
      <w:pPr>
        <w:jc w:val="center"/>
        <w:rPr>
          <w:b/>
          <w:bCs/>
          <w:sz w:val="22"/>
          <w:szCs w:val="22"/>
        </w:rPr>
      </w:pPr>
    </w:p>
    <w:p w14:paraId="09693ADD" w14:textId="77777777" w:rsidR="00B86A44" w:rsidRPr="000E723A" w:rsidRDefault="004F7706">
      <w:pPr>
        <w:jc w:val="center"/>
        <w:rPr>
          <w:b/>
          <w:bCs/>
          <w:sz w:val="22"/>
          <w:szCs w:val="22"/>
        </w:rPr>
      </w:pPr>
      <w:r>
        <w:rPr>
          <w:b/>
          <w:bCs/>
          <w:sz w:val="22"/>
          <w:szCs w:val="22"/>
        </w:rPr>
        <w:t>Production Schedule (see Exhibit C)</w:t>
      </w:r>
    </w:p>
    <w:p w14:paraId="2503E436" w14:textId="77777777" w:rsidR="005E249F" w:rsidRPr="000E723A" w:rsidRDefault="005E249F">
      <w:pPr>
        <w:pStyle w:val="BodyText"/>
        <w:tabs>
          <w:tab w:val="clear" w:pos="2340"/>
          <w:tab w:val="clear" w:pos="8010"/>
          <w:tab w:val="clear" w:pos="8640"/>
        </w:tabs>
        <w:jc w:val="left"/>
        <w:rPr>
          <w:szCs w:val="22"/>
        </w:rPr>
      </w:pPr>
    </w:p>
    <w:p w14:paraId="2156C0BD" w14:textId="77777777" w:rsidR="00811CD4" w:rsidRPr="000E723A" w:rsidRDefault="00811CD4">
      <w:pPr>
        <w:pStyle w:val="BodyText"/>
        <w:tabs>
          <w:tab w:val="clear" w:pos="2340"/>
          <w:tab w:val="clear" w:pos="8010"/>
          <w:tab w:val="clear" w:pos="8640"/>
        </w:tabs>
        <w:jc w:val="left"/>
        <w:rPr>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7"/>
        <w:gridCol w:w="4673"/>
      </w:tblGrid>
      <w:tr w:rsidR="00811CD4" w:rsidRPr="00764BCA" w14:paraId="32C9C21D" w14:textId="77777777" w:rsidTr="00764BCA">
        <w:tc>
          <w:tcPr>
            <w:tcW w:w="4788" w:type="dxa"/>
          </w:tcPr>
          <w:p w14:paraId="182CD353" w14:textId="77777777" w:rsidR="00811CD4" w:rsidRPr="00764BCA" w:rsidRDefault="00811CD4" w:rsidP="00764BCA">
            <w:pPr>
              <w:pStyle w:val="BodyText"/>
              <w:tabs>
                <w:tab w:val="clear" w:pos="2340"/>
                <w:tab w:val="clear" w:pos="8010"/>
                <w:tab w:val="clear" w:pos="8640"/>
              </w:tabs>
              <w:jc w:val="left"/>
              <w:rPr>
                <w:szCs w:val="22"/>
              </w:rPr>
            </w:pPr>
            <w:r>
              <w:rPr>
                <w:szCs w:val="22"/>
              </w:rPr>
              <w:t>GDD(Game Design Document) TDD (Technical Design Document)</w:t>
            </w:r>
          </w:p>
        </w:tc>
        <w:tc>
          <w:tcPr>
            <w:tcW w:w="4788" w:type="dxa"/>
          </w:tcPr>
          <w:p w14:paraId="0AB3E7A1" w14:textId="069FDFE4" w:rsidR="00811CD4" w:rsidRPr="00764BCA" w:rsidRDefault="00672AEA" w:rsidP="00764BCA">
            <w:pPr>
              <w:pStyle w:val="BodyText"/>
              <w:tabs>
                <w:tab w:val="clear" w:pos="2340"/>
                <w:tab w:val="clear" w:pos="8010"/>
                <w:tab w:val="clear" w:pos="8640"/>
              </w:tabs>
              <w:jc w:val="left"/>
              <w:rPr>
                <w:szCs w:val="22"/>
                <w:highlight w:val="yellow"/>
              </w:rPr>
            </w:pPr>
            <w:r>
              <w:rPr>
                <w:szCs w:val="22"/>
                <w:highlight w:val="yellow"/>
              </w:rPr>
              <w:t>September</w:t>
            </w:r>
            <w:r w:rsidR="000309E0">
              <w:rPr>
                <w:szCs w:val="22"/>
                <w:highlight w:val="yellow"/>
              </w:rPr>
              <w:t xml:space="preserve"> 15, 202</w:t>
            </w:r>
            <w:r>
              <w:rPr>
                <w:szCs w:val="22"/>
                <w:highlight w:val="yellow"/>
              </w:rPr>
              <w:t>4</w:t>
            </w:r>
          </w:p>
        </w:tc>
      </w:tr>
      <w:tr w:rsidR="00811CD4" w:rsidRPr="00764BCA" w14:paraId="756916F0" w14:textId="77777777" w:rsidTr="00764BCA">
        <w:tc>
          <w:tcPr>
            <w:tcW w:w="4788" w:type="dxa"/>
          </w:tcPr>
          <w:p w14:paraId="012895FA" w14:textId="77777777" w:rsidR="00811CD4" w:rsidRPr="00764BCA" w:rsidRDefault="00811CD4" w:rsidP="00764BCA">
            <w:pPr>
              <w:pStyle w:val="BodyText"/>
              <w:tabs>
                <w:tab w:val="clear" w:pos="2340"/>
                <w:tab w:val="clear" w:pos="8010"/>
                <w:tab w:val="clear" w:pos="8640"/>
              </w:tabs>
              <w:jc w:val="left"/>
              <w:rPr>
                <w:szCs w:val="22"/>
              </w:rPr>
            </w:pPr>
            <w:r>
              <w:rPr>
                <w:szCs w:val="22"/>
              </w:rPr>
              <w:t>Alpha</w:t>
            </w:r>
          </w:p>
        </w:tc>
        <w:tc>
          <w:tcPr>
            <w:tcW w:w="4788" w:type="dxa"/>
          </w:tcPr>
          <w:p w14:paraId="0D0E3738" w14:textId="77777777" w:rsidR="00811CD4" w:rsidRPr="00764BCA" w:rsidRDefault="000309E0" w:rsidP="00764BCA">
            <w:pPr>
              <w:pStyle w:val="BodyText"/>
              <w:tabs>
                <w:tab w:val="clear" w:pos="2340"/>
                <w:tab w:val="clear" w:pos="8010"/>
                <w:tab w:val="clear" w:pos="8640"/>
              </w:tabs>
              <w:jc w:val="left"/>
              <w:rPr>
                <w:szCs w:val="22"/>
                <w:highlight w:val="yellow"/>
              </w:rPr>
            </w:pPr>
            <w:r>
              <w:rPr>
                <w:szCs w:val="22"/>
                <w:highlight w:val="yellow"/>
              </w:rPr>
              <w:t>October 15, 2024</w:t>
            </w:r>
          </w:p>
        </w:tc>
      </w:tr>
      <w:tr w:rsidR="00811CD4" w:rsidRPr="00764BCA" w14:paraId="67A0F322" w14:textId="77777777" w:rsidTr="00764BCA">
        <w:tc>
          <w:tcPr>
            <w:tcW w:w="4788" w:type="dxa"/>
          </w:tcPr>
          <w:p w14:paraId="5BA1F859" w14:textId="77777777" w:rsidR="00811CD4" w:rsidRPr="00764BCA" w:rsidRDefault="00811CD4" w:rsidP="00764BCA">
            <w:pPr>
              <w:pStyle w:val="BodyText"/>
              <w:tabs>
                <w:tab w:val="clear" w:pos="2340"/>
                <w:tab w:val="clear" w:pos="8010"/>
                <w:tab w:val="clear" w:pos="8640"/>
              </w:tabs>
              <w:jc w:val="left"/>
              <w:rPr>
                <w:szCs w:val="22"/>
              </w:rPr>
            </w:pPr>
            <w:r>
              <w:rPr>
                <w:szCs w:val="22"/>
              </w:rPr>
              <w:t>Beta</w:t>
            </w:r>
          </w:p>
        </w:tc>
        <w:tc>
          <w:tcPr>
            <w:tcW w:w="4788" w:type="dxa"/>
          </w:tcPr>
          <w:p w14:paraId="6FC159DA" w14:textId="23124A38" w:rsidR="00811CD4" w:rsidRPr="00764BCA" w:rsidRDefault="00672AEA" w:rsidP="00764BCA">
            <w:pPr>
              <w:pStyle w:val="BodyText"/>
              <w:tabs>
                <w:tab w:val="clear" w:pos="2340"/>
                <w:tab w:val="clear" w:pos="8010"/>
                <w:tab w:val="clear" w:pos="8640"/>
              </w:tabs>
              <w:jc w:val="left"/>
              <w:rPr>
                <w:szCs w:val="22"/>
                <w:highlight w:val="yellow"/>
              </w:rPr>
            </w:pPr>
            <w:r>
              <w:rPr>
                <w:szCs w:val="22"/>
                <w:highlight w:val="yellow"/>
              </w:rPr>
              <w:t>November</w:t>
            </w:r>
            <w:r w:rsidR="000309E0">
              <w:rPr>
                <w:szCs w:val="22"/>
                <w:highlight w:val="yellow"/>
              </w:rPr>
              <w:t xml:space="preserve"> 15, 2024</w:t>
            </w:r>
          </w:p>
        </w:tc>
      </w:tr>
      <w:tr w:rsidR="00811CD4" w:rsidRPr="00764BCA" w14:paraId="78F079B3" w14:textId="77777777" w:rsidTr="00764BCA">
        <w:tc>
          <w:tcPr>
            <w:tcW w:w="4788" w:type="dxa"/>
          </w:tcPr>
          <w:p w14:paraId="249C519F" w14:textId="77777777" w:rsidR="00811CD4" w:rsidRPr="00764BCA" w:rsidRDefault="00811CD4" w:rsidP="00764BCA">
            <w:pPr>
              <w:pStyle w:val="BodyText"/>
              <w:tabs>
                <w:tab w:val="clear" w:pos="2340"/>
                <w:tab w:val="clear" w:pos="8010"/>
                <w:tab w:val="clear" w:pos="8640"/>
              </w:tabs>
              <w:jc w:val="left"/>
              <w:rPr>
                <w:szCs w:val="22"/>
              </w:rPr>
            </w:pPr>
            <w:r>
              <w:rPr>
                <w:szCs w:val="22"/>
              </w:rPr>
              <w:t>Pre-Master</w:t>
            </w:r>
          </w:p>
        </w:tc>
        <w:tc>
          <w:tcPr>
            <w:tcW w:w="4788" w:type="dxa"/>
          </w:tcPr>
          <w:p w14:paraId="1BF3F451" w14:textId="21249ED6" w:rsidR="00811CD4" w:rsidRPr="00764BCA" w:rsidRDefault="00672AEA" w:rsidP="00764BCA">
            <w:pPr>
              <w:pStyle w:val="BodyText"/>
              <w:tabs>
                <w:tab w:val="clear" w:pos="2340"/>
                <w:tab w:val="clear" w:pos="8010"/>
                <w:tab w:val="clear" w:pos="8640"/>
              </w:tabs>
              <w:jc w:val="left"/>
              <w:rPr>
                <w:szCs w:val="22"/>
                <w:highlight w:val="yellow"/>
              </w:rPr>
            </w:pPr>
            <w:r>
              <w:rPr>
                <w:szCs w:val="22"/>
                <w:highlight w:val="yellow"/>
              </w:rPr>
              <w:t>December</w:t>
            </w:r>
            <w:r w:rsidR="000309E0">
              <w:rPr>
                <w:szCs w:val="22"/>
                <w:highlight w:val="yellow"/>
              </w:rPr>
              <w:t xml:space="preserve"> 15, 2024</w:t>
            </w:r>
          </w:p>
        </w:tc>
      </w:tr>
      <w:tr w:rsidR="00811CD4" w:rsidRPr="00764BCA" w14:paraId="7E8416DD" w14:textId="77777777" w:rsidTr="00764BCA">
        <w:tc>
          <w:tcPr>
            <w:tcW w:w="4788" w:type="dxa"/>
          </w:tcPr>
          <w:p w14:paraId="3C79C3A9" w14:textId="77777777" w:rsidR="00811CD4" w:rsidRPr="00764BCA" w:rsidRDefault="00811CD4" w:rsidP="00764BCA">
            <w:pPr>
              <w:pStyle w:val="BodyText"/>
              <w:tabs>
                <w:tab w:val="clear" w:pos="2340"/>
                <w:tab w:val="clear" w:pos="8010"/>
                <w:tab w:val="clear" w:pos="8640"/>
              </w:tabs>
              <w:jc w:val="left"/>
              <w:rPr>
                <w:szCs w:val="22"/>
              </w:rPr>
            </w:pPr>
            <w:r>
              <w:rPr>
                <w:szCs w:val="22"/>
              </w:rPr>
              <w:t>Gold</w:t>
            </w:r>
          </w:p>
        </w:tc>
        <w:tc>
          <w:tcPr>
            <w:tcW w:w="4788" w:type="dxa"/>
          </w:tcPr>
          <w:p w14:paraId="2653F8FF" w14:textId="4C9C5E48" w:rsidR="00811CD4" w:rsidRPr="00764BCA" w:rsidRDefault="00672AEA" w:rsidP="00764BCA">
            <w:pPr>
              <w:pStyle w:val="BodyText"/>
              <w:tabs>
                <w:tab w:val="clear" w:pos="2340"/>
                <w:tab w:val="clear" w:pos="8010"/>
                <w:tab w:val="clear" w:pos="8640"/>
              </w:tabs>
              <w:jc w:val="left"/>
              <w:rPr>
                <w:szCs w:val="22"/>
                <w:highlight w:val="yellow"/>
              </w:rPr>
            </w:pPr>
            <w:r>
              <w:rPr>
                <w:szCs w:val="22"/>
                <w:highlight w:val="yellow"/>
              </w:rPr>
              <w:t>January</w:t>
            </w:r>
            <w:r w:rsidR="000309E0">
              <w:rPr>
                <w:szCs w:val="22"/>
                <w:highlight w:val="yellow"/>
              </w:rPr>
              <w:t xml:space="preserve"> 15, 202</w:t>
            </w:r>
            <w:r>
              <w:rPr>
                <w:szCs w:val="22"/>
                <w:highlight w:val="yellow"/>
              </w:rPr>
              <w:t>5</w:t>
            </w:r>
          </w:p>
        </w:tc>
      </w:tr>
    </w:tbl>
    <w:p w14:paraId="2C6E2063" w14:textId="77777777" w:rsidR="00B86A44" w:rsidRPr="000E723A" w:rsidRDefault="00B86A44">
      <w:pPr>
        <w:pStyle w:val="BodyText"/>
        <w:tabs>
          <w:tab w:val="clear" w:pos="2340"/>
          <w:tab w:val="clear" w:pos="8010"/>
          <w:tab w:val="clear" w:pos="8640"/>
        </w:tabs>
        <w:jc w:val="left"/>
        <w:rPr>
          <w:szCs w:val="22"/>
        </w:rPr>
      </w:pPr>
    </w:p>
    <w:p w14:paraId="17DD326F" w14:textId="77777777" w:rsidR="003F52A2" w:rsidRPr="000E723A" w:rsidRDefault="003F52A2">
      <w:pPr>
        <w:pStyle w:val="BodyText"/>
        <w:tabs>
          <w:tab w:val="clear" w:pos="2340"/>
          <w:tab w:val="clear" w:pos="8010"/>
          <w:tab w:val="clear" w:pos="8640"/>
        </w:tabs>
        <w:jc w:val="left"/>
        <w:rPr>
          <w:szCs w:val="22"/>
        </w:rPr>
      </w:pPr>
    </w:p>
    <w:p w14:paraId="1BE49635" w14:textId="77777777" w:rsidR="003F52A2" w:rsidRPr="000E723A" w:rsidRDefault="003F52A2">
      <w:pPr>
        <w:pStyle w:val="BodyText"/>
        <w:tabs>
          <w:tab w:val="clear" w:pos="2340"/>
          <w:tab w:val="clear" w:pos="8010"/>
          <w:tab w:val="clear" w:pos="8640"/>
        </w:tabs>
        <w:jc w:val="left"/>
        <w:rPr>
          <w:szCs w:val="22"/>
        </w:rPr>
      </w:pPr>
    </w:p>
    <w:p w14:paraId="2B63267A" w14:textId="77777777" w:rsidR="003F52A2" w:rsidRPr="000E723A" w:rsidRDefault="003F52A2">
      <w:pPr>
        <w:pStyle w:val="BodyText"/>
        <w:tabs>
          <w:tab w:val="clear" w:pos="2340"/>
          <w:tab w:val="clear" w:pos="8010"/>
          <w:tab w:val="clear" w:pos="8640"/>
        </w:tabs>
        <w:jc w:val="left"/>
        <w:rPr>
          <w:szCs w:val="22"/>
        </w:rPr>
      </w:pPr>
    </w:p>
    <w:sectPr w:rsidR="003F52A2" w:rsidRPr="000E723A" w:rsidSect="008B4D78">
      <w:footerReference w:type="even" r:id="rId7"/>
      <w:footerReference w:type="default" r:id="rId8"/>
      <w:type w:val="continuous"/>
      <w:pgSz w:w="12240" w:h="15840" w:code="1"/>
      <w:pgMar w:top="1440" w:right="1440" w:bottom="1440" w:left="1440" w:header="720" w:footer="720"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2454" w14:textId="77777777" w:rsidR="00391E99" w:rsidRDefault="00391E99">
      <w:r>
        <w:separator/>
      </w:r>
    </w:p>
  </w:endnote>
  <w:endnote w:type="continuationSeparator" w:id="0">
    <w:p w14:paraId="3991EE5D" w14:textId="77777777" w:rsidR="00391E99" w:rsidRDefault="00391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750E9" w14:textId="77777777" w:rsidR="00400458" w:rsidRDefault="0040045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2C47B65D" w14:textId="77777777" w:rsidR="00400458" w:rsidRDefault="004004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A62F" w14:textId="77777777" w:rsidR="00400458" w:rsidRPr="004907B7" w:rsidRDefault="00400458">
    <w:pPr>
      <w:pStyle w:val="Footer"/>
      <w:tabs>
        <w:tab w:val="clear" w:pos="4320"/>
        <w:tab w:val="clear" w:pos="8640"/>
        <w:tab w:val="center" w:pos="4680"/>
        <w:tab w:val="right" w:pos="9360"/>
      </w:tabs>
      <w:spacing w:line="200" w:lineRule="exact"/>
      <w:rPr>
        <w:rFonts w:ascii="Verdana" w:hAnsi="Verdana"/>
        <w:sz w:val="16"/>
        <w:szCs w:val="16"/>
      </w:rPr>
    </w:pPr>
    <w:r w:rsidRPr="004907B7">
      <w:rPr>
        <w:rFonts w:ascii="Verdana" w:hAnsi="Verdana"/>
        <w:sz w:val="16"/>
        <w:szCs w:val="16"/>
      </w:rPr>
      <w:t>CONFIDENTIAL</w:t>
    </w:r>
  </w:p>
  <w:p w14:paraId="15F35083" w14:textId="228302F3" w:rsidR="00400458" w:rsidRPr="004907B7" w:rsidRDefault="00400458">
    <w:pPr>
      <w:pStyle w:val="Footer"/>
      <w:tabs>
        <w:tab w:val="clear" w:pos="4320"/>
        <w:tab w:val="clear" w:pos="8640"/>
        <w:tab w:val="center" w:pos="4680"/>
        <w:tab w:val="right" w:pos="9360"/>
      </w:tabs>
      <w:spacing w:line="200" w:lineRule="exact"/>
      <w:jc w:val="right"/>
      <w:rPr>
        <w:rFonts w:ascii="Verdana" w:hAnsi="Verdana"/>
        <w:sz w:val="16"/>
        <w:szCs w:val="16"/>
      </w:rPr>
    </w:pPr>
    <w:r w:rsidRPr="004907B7">
      <w:rPr>
        <w:rFonts w:ascii="Verdana" w:hAnsi="Verdana"/>
        <w:sz w:val="16"/>
        <w:szCs w:val="16"/>
      </w:rPr>
      <w:tab/>
      <w:t xml:space="preserve">Page </w:t>
    </w:r>
    <w:r w:rsidRPr="004907B7">
      <w:rPr>
        <w:rFonts w:ascii="Verdana" w:hAnsi="Verdana"/>
        <w:sz w:val="16"/>
        <w:szCs w:val="16"/>
      </w:rPr>
      <w:fldChar w:fldCharType="begin"/>
    </w:r>
    <w:r w:rsidRPr="004907B7">
      <w:rPr>
        <w:rFonts w:ascii="Verdana" w:hAnsi="Verdana"/>
        <w:sz w:val="16"/>
        <w:szCs w:val="16"/>
      </w:rPr>
      <w:instrText xml:space="preserve"> PAGE </w:instrText>
    </w:r>
    <w:r w:rsidRPr="004907B7">
      <w:rPr>
        <w:rFonts w:ascii="Verdana" w:hAnsi="Verdana"/>
        <w:sz w:val="16"/>
        <w:szCs w:val="16"/>
      </w:rPr>
      <w:fldChar w:fldCharType="separate"/>
    </w:r>
    <w:r>
      <w:rPr>
        <w:rFonts w:ascii="Verdana" w:hAnsi="Verdana"/>
        <w:noProof/>
        <w:sz w:val="16"/>
        <w:szCs w:val="16"/>
      </w:rPr>
      <w:t>5</w:t>
    </w:r>
    <w:r w:rsidRPr="004907B7">
      <w:rPr>
        <w:rFonts w:ascii="Verdana" w:hAnsi="Verdana"/>
        <w:sz w:val="16"/>
        <w:szCs w:val="16"/>
      </w:rPr>
      <w:fldChar w:fldCharType="end"/>
    </w:r>
    <w:r w:rsidRPr="004907B7">
      <w:rPr>
        <w:rFonts w:ascii="Verdana" w:hAnsi="Verdana"/>
        <w:sz w:val="16"/>
        <w:szCs w:val="16"/>
      </w:rPr>
      <w:t xml:space="preserve"> of </w:t>
    </w:r>
    <w:r w:rsidRPr="004907B7">
      <w:rPr>
        <w:rFonts w:ascii="Verdana" w:hAnsi="Verdana"/>
        <w:sz w:val="16"/>
        <w:szCs w:val="16"/>
      </w:rPr>
      <w:fldChar w:fldCharType="begin"/>
    </w:r>
    <w:r w:rsidRPr="004907B7">
      <w:rPr>
        <w:rFonts w:ascii="Verdana" w:hAnsi="Verdana"/>
        <w:sz w:val="16"/>
        <w:szCs w:val="16"/>
      </w:rPr>
      <w:instrText xml:space="preserve"> NUMPAGES </w:instrText>
    </w:r>
    <w:r w:rsidRPr="004907B7">
      <w:rPr>
        <w:rFonts w:ascii="Verdana" w:hAnsi="Verdana"/>
        <w:sz w:val="16"/>
        <w:szCs w:val="16"/>
      </w:rPr>
      <w:fldChar w:fldCharType="separate"/>
    </w:r>
    <w:r>
      <w:rPr>
        <w:rFonts w:ascii="Verdana" w:hAnsi="Verdana"/>
        <w:noProof/>
        <w:sz w:val="16"/>
        <w:szCs w:val="16"/>
      </w:rPr>
      <w:t>12</w:t>
    </w:r>
    <w:r w:rsidRPr="004907B7">
      <w:rPr>
        <w:rFonts w:ascii="Verdana" w:hAnsi="Verdana"/>
        <w:sz w:val="16"/>
        <w:szCs w:val="16"/>
      </w:rPr>
      <w:fldChar w:fldCharType="end"/>
    </w:r>
    <w:r w:rsidRPr="004907B7">
      <w:rPr>
        <w:rFonts w:ascii="Verdana" w:hAnsi="Verdana"/>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72501" w14:textId="77777777" w:rsidR="00391E99" w:rsidRDefault="00391E99">
      <w:r>
        <w:separator/>
      </w:r>
    </w:p>
  </w:footnote>
  <w:footnote w:type="continuationSeparator" w:id="0">
    <w:p w14:paraId="19EC5F04" w14:textId="77777777" w:rsidR="00391E99" w:rsidRDefault="00391E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2D85"/>
    <w:multiLevelType w:val="multilevel"/>
    <w:tmpl w:val="20C486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563904B2"/>
    <w:multiLevelType w:val="hybridMultilevel"/>
    <w:tmpl w:val="90906D42"/>
    <w:lvl w:ilvl="0" w:tplc="87ECEA08">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num w:numId="1" w16cid:durableId="938216673">
    <w:abstractNumId w:val="1"/>
  </w:num>
  <w:num w:numId="2" w16cid:durableId="1148132193">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Date" w:val="0"/>
    <w:docVar w:name="85TrailerDateField" w:val="0"/>
    <w:docVar w:name="85TrailerDraft" w:val="0"/>
    <w:docVar w:name="85TrailerTime" w:val="0"/>
    <w:docVar w:name="85TrailerType" w:val="100"/>
    <w:docVar w:name="MPDocID" w:val="::ODMA\PCDOCS\SF\5147351\1"/>
    <w:docVar w:name="NewDocStampType" w:val="1"/>
    <w:docVar w:name="SWDocIDLocation" w:val="3"/>
  </w:docVars>
  <w:rsids>
    <w:rsidRoot w:val="00E31D61"/>
    <w:rsid w:val="000029CC"/>
    <w:rsid w:val="00004CCF"/>
    <w:rsid w:val="00015051"/>
    <w:rsid w:val="00026D71"/>
    <w:rsid w:val="0002755D"/>
    <w:rsid w:val="000309E0"/>
    <w:rsid w:val="000311C7"/>
    <w:rsid w:val="000464C4"/>
    <w:rsid w:val="00051915"/>
    <w:rsid w:val="00052069"/>
    <w:rsid w:val="00053081"/>
    <w:rsid w:val="00061BD2"/>
    <w:rsid w:val="00062B82"/>
    <w:rsid w:val="0007018D"/>
    <w:rsid w:val="0007082D"/>
    <w:rsid w:val="0008034F"/>
    <w:rsid w:val="0008439E"/>
    <w:rsid w:val="00087CD6"/>
    <w:rsid w:val="0009074D"/>
    <w:rsid w:val="000A5EE6"/>
    <w:rsid w:val="000A7610"/>
    <w:rsid w:val="000B00E5"/>
    <w:rsid w:val="000B2DB3"/>
    <w:rsid w:val="000B41C1"/>
    <w:rsid w:val="000C0D5D"/>
    <w:rsid w:val="000C48CA"/>
    <w:rsid w:val="000C4FC1"/>
    <w:rsid w:val="000C7160"/>
    <w:rsid w:val="000C7EB4"/>
    <w:rsid w:val="000D0DD5"/>
    <w:rsid w:val="000D42CC"/>
    <w:rsid w:val="000D6E7A"/>
    <w:rsid w:val="000E6E11"/>
    <w:rsid w:val="000E723A"/>
    <w:rsid w:val="000E79BD"/>
    <w:rsid w:val="00103157"/>
    <w:rsid w:val="00104430"/>
    <w:rsid w:val="00105227"/>
    <w:rsid w:val="00110E0C"/>
    <w:rsid w:val="00120B52"/>
    <w:rsid w:val="00121025"/>
    <w:rsid w:val="0012130C"/>
    <w:rsid w:val="00125684"/>
    <w:rsid w:val="00125902"/>
    <w:rsid w:val="00132058"/>
    <w:rsid w:val="0013259F"/>
    <w:rsid w:val="00132A5D"/>
    <w:rsid w:val="0013399D"/>
    <w:rsid w:val="00172E9F"/>
    <w:rsid w:val="00181250"/>
    <w:rsid w:val="00181B86"/>
    <w:rsid w:val="00181DEE"/>
    <w:rsid w:val="00186A94"/>
    <w:rsid w:val="001937DA"/>
    <w:rsid w:val="001A1036"/>
    <w:rsid w:val="001A6C96"/>
    <w:rsid w:val="001B527A"/>
    <w:rsid w:val="001B7923"/>
    <w:rsid w:val="001C08CB"/>
    <w:rsid w:val="001C09AD"/>
    <w:rsid w:val="001C5DC7"/>
    <w:rsid w:val="001C7B78"/>
    <w:rsid w:val="001D4DAE"/>
    <w:rsid w:val="001E73B8"/>
    <w:rsid w:val="001F1A20"/>
    <w:rsid w:val="001F2487"/>
    <w:rsid w:val="001F308D"/>
    <w:rsid w:val="001F4203"/>
    <w:rsid w:val="001F5AC6"/>
    <w:rsid w:val="001F6021"/>
    <w:rsid w:val="001F6E1E"/>
    <w:rsid w:val="00202A18"/>
    <w:rsid w:val="0021428C"/>
    <w:rsid w:val="002143D6"/>
    <w:rsid w:val="00215461"/>
    <w:rsid w:val="00216268"/>
    <w:rsid w:val="00221D20"/>
    <w:rsid w:val="0022764D"/>
    <w:rsid w:val="0023074F"/>
    <w:rsid w:val="0024417F"/>
    <w:rsid w:val="00244B48"/>
    <w:rsid w:val="002541AE"/>
    <w:rsid w:val="0025585F"/>
    <w:rsid w:val="00257EDE"/>
    <w:rsid w:val="0026374F"/>
    <w:rsid w:val="00264696"/>
    <w:rsid w:val="0027335B"/>
    <w:rsid w:val="00273BA2"/>
    <w:rsid w:val="00274681"/>
    <w:rsid w:val="00276E08"/>
    <w:rsid w:val="00277E52"/>
    <w:rsid w:val="00280840"/>
    <w:rsid w:val="002914CE"/>
    <w:rsid w:val="00291994"/>
    <w:rsid w:val="002942A1"/>
    <w:rsid w:val="002948A6"/>
    <w:rsid w:val="002958FE"/>
    <w:rsid w:val="00297A2D"/>
    <w:rsid w:val="00297BD7"/>
    <w:rsid w:val="002A3F3D"/>
    <w:rsid w:val="002A608E"/>
    <w:rsid w:val="002B0840"/>
    <w:rsid w:val="002B0A4F"/>
    <w:rsid w:val="002B0CE2"/>
    <w:rsid w:val="002B21EC"/>
    <w:rsid w:val="002B7660"/>
    <w:rsid w:val="002D225E"/>
    <w:rsid w:val="002D4F0A"/>
    <w:rsid w:val="002D5A39"/>
    <w:rsid w:val="002E17FA"/>
    <w:rsid w:val="002E27D6"/>
    <w:rsid w:val="002F1B9C"/>
    <w:rsid w:val="002F6868"/>
    <w:rsid w:val="003022F3"/>
    <w:rsid w:val="00305853"/>
    <w:rsid w:val="00310834"/>
    <w:rsid w:val="003132B1"/>
    <w:rsid w:val="003167F4"/>
    <w:rsid w:val="00320657"/>
    <w:rsid w:val="003213B9"/>
    <w:rsid w:val="00322E22"/>
    <w:rsid w:val="00323E16"/>
    <w:rsid w:val="003244EC"/>
    <w:rsid w:val="003249C7"/>
    <w:rsid w:val="0032566D"/>
    <w:rsid w:val="00341238"/>
    <w:rsid w:val="00343219"/>
    <w:rsid w:val="003432DD"/>
    <w:rsid w:val="00346873"/>
    <w:rsid w:val="00347587"/>
    <w:rsid w:val="00351A12"/>
    <w:rsid w:val="00353856"/>
    <w:rsid w:val="0035640D"/>
    <w:rsid w:val="00361C6B"/>
    <w:rsid w:val="00362402"/>
    <w:rsid w:val="00363940"/>
    <w:rsid w:val="00364EE4"/>
    <w:rsid w:val="003676D1"/>
    <w:rsid w:val="0037197D"/>
    <w:rsid w:val="003725E5"/>
    <w:rsid w:val="0037788B"/>
    <w:rsid w:val="003800E1"/>
    <w:rsid w:val="00391E99"/>
    <w:rsid w:val="003A1DCC"/>
    <w:rsid w:val="003A24BF"/>
    <w:rsid w:val="003A2E6D"/>
    <w:rsid w:val="003C1FB1"/>
    <w:rsid w:val="003C5202"/>
    <w:rsid w:val="003D191D"/>
    <w:rsid w:val="003D3194"/>
    <w:rsid w:val="003D3D98"/>
    <w:rsid w:val="003E1191"/>
    <w:rsid w:val="003E11BB"/>
    <w:rsid w:val="003E1643"/>
    <w:rsid w:val="003F24B2"/>
    <w:rsid w:val="003F2552"/>
    <w:rsid w:val="003F29CF"/>
    <w:rsid w:val="003F3E66"/>
    <w:rsid w:val="003F52A2"/>
    <w:rsid w:val="00400458"/>
    <w:rsid w:val="004011E6"/>
    <w:rsid w:val="004011E8"/>
    <w:rsid w:val="00401ECF"/>
    <w:rsid w:val="004053AC"/>
    <w:rsid w:val="004156D5"/>
    <w:rsid w:val="00417BF3"/>
    <w:rsid w:val="00420693"/>
    <w:rsid w:val="00424308"/>
    <w:rsid w:val="00425A22"/>
    <w:rsid w:val="00426132"/>
    <w:rsid w:val="00437562"/>
    <w:rsid w:val="004376A1"/>
    <w:rsid w:val="00443A19"/>
    <w:rsid w:val="00445BE5"/>
    <w:rsid w:val="0045055C"/>
    <w:rsid w:val="0045374B"/>
    <w:rsid w:val="00453CF0"/>
    <w:rsid w:val="00463E74"/>
    <w:rsid w:val="00463F1D"/>
    <w:rsid w:val="00483A8E"/>
    <w:rsid w:val="004907B7"/>
    <w:rsid w:val="004A1697"/>
    <w:rsid w:val="004A182F"/>
    <w:rsid w:val="004A1EB7"/>
    <w:rsid w:val="004A5A9C"/>
    <w:rsid w:val="004B34E9"/>
    <w:rsid w:val="004C0B64"/>
    <w:rsid w:val="004C3812"/>
    <w:rsid w:val="004D3176"/>
    <w:rsid w:val="004D4F2D"/>
    <w:rsid w:val="004D7BD0"/>
    <w:rsid w:val="004E17BF"/>
    <w:rsid w:val="004E3073"/>
    <w:rsid w:val="004E3164"/>
    <w:rsid w:val="004E59B1"/>
    <w:rsid w:val="004E77BF"/>
    <w:rsid w:val="004F4C6A"/>
    <w:rsid w:val="004F7706"/>
    <w:rsid w:val="00502EC9"/>
    <w:rsid w:val="0050364E"/>
    <w:rsid w:val="00504C63"/>
    <w:rsid w:val="005053C2"/>
    <w:rsid w:val="0051153D"/>
    <w:rsid w:val="005153FC"/>
    <w:rsid w:val="005252F6"/>
    <w:rsid w:val="005258C2"/>
    <w:rsid w:val="00533EAB"/>
    <w:rsid w:val="005368F7"/>
    <w:rsid w:val="00542727"/>
    <w:rsid w:val="005439DE"/>
    <w:rsid w:val="00550F86"/>
    <w:rsid w:val="00553CAE"/>
    <w:rsid w:val="005619E0"/>
    <w:rsid w:val="00565AB7"/>
    <w:rsid w:val="00565CCB"/>
    <w:rsid w:val="0057134E"/>
    <w:rsid w:val="00575924"/>
    <w:rsid w:val="00577A55"/>
    <w:rsid w:val="00581BB7"/>
    <w:rsid w:val="00590F3E"/>
    <w:rsid w:val="005922FD"/>
    <w:rsid w:val="00593D1A"/>
    <w:rsid w:val="005964FB"/>
    <w:rsid w:val="005A6D9F"/>
    <w:rsid w:val="005B5C31"/>
    <w:rsid w:val="005C3B00"/>
    <w:rsid w:val="005C64FA"/>
    <w:rsid w:val="005E1916"/>
    <w:rsid w:val="005E249F"/>
    <w:rsid w:val="005F035F"/>
    <w:rsid w:val="005F1BB2"/>
    <w:rsid w:val="005F2FED"/>
    <w:rsid w:val="006012D7"/>
    <w:rsid w:val="00602439"/>
    <w:rsid w:val="00603746"/>
    <w:rsid w:val="006044AE"/>
    <w:rsid w:val="00605D63"/>
    <w:rsid w:val="00612893"/>
    <w:rsid w:val="00615428"/>
    <w:rsid w:val="00637DB0"/>
    <w:rsid w:val="006405C2"/>
    <w:rsid w:val="006524FF"/>
    <w:rsid w:val="00652E85"/>
    <w:rsid w:val="006544E2"/>
    <w:rsid w:val="00656DA3"/>
    <w:rsid w:val="00656FFE"/>
    <w:rsid w:val="0066346A"/>
    <w:rsid w:val="00664139"/>
    <w:rsid w:val="00670110"/>
    <w:rsid w:val="006719C6"/>
    <w:rsid w:val="00672AEA"/>
    <w:rsid w:val="00676D45"/>
    <w:rsid w:val="006779FE"/>
    <w:rsid w:val="0068238E"/>
    <w:rsid w:val="00682530"/>
    <w:rsid w:val="00685488"/>
    <w:rsid w:val="006873F7"/>
    <w:rsid w:val="0069511B"/>
    <w:rsid w:val="00697021"/>
    <w:rsid w:val="00697E83"/>
    <w:rsid w:val="006A085C"/>
    <w:rsid w:val="006A3225"/>
    <w:rsid w:val="006A4B0D"/>
    <w:rsid w:val="006A683C"/>
    <w:rsid w:val="006A741E"/>
    <w:rsid w:val="006A74DF"/>
    <w:rsid w:val="006C1497"/>
    <w:rsid w:val="006C6106"/>
    <w:rsid w:val="006D13FE"/>
    <w:rsid w:val="006D5A0D"/>
    <w:rsid w:val="006E06EC"/>
    <w:rsid w:val="006E1B91"/>
    <w:rsid w:val="006E3787"/>
    <w:rsid w:val="006F5592"/>
    <w:rsid w:val="007075A0"/>
    <w:rsid w:val="007125D6"/>
    <w:rsid w:val="00712819"/>
    <w:rsid w:val="007145F8"/>
    <w:rsid w:val="00717A7F"/>
    <w:rsid w:val="00722BC6"/>
    <w:rsid w:val="007242F4"/>
    <w:rsid w:val="00724AAF"/>
    <w:rsid w:val="00724C11"/>
    <w:rsid w:val="00726120"/>
    <w:rsid w:val="0072786C"/>
    <w:rsid w:val="007305B9"/>
    <w:rsid w:val="00733B7D"/>
    <w:rsid w:val="00747256"/>
    <w:rsid w:val="00752640"/>
    <w:rsid w:val="007566E1"/>
    <w:rsid w:val="007639E7"/>
    <w:rsid w:val="00764BCA"/>
    <w:rsid w:val="00764DFF"/>
    <w:rsid w:val="007735BF"/>
    <w:rsid w:val="0078004B"/>
    <w:rsid w:val="0078083A"/>
    <w:rsid w:val="00787A2D"/>
    <w:rsid w:val="00791A98"/>
    <w:rsid w:val="007A0F93"/>
    <w:rsid w:val="007A16C8"/>
    <w:rsid w:val="007A27B7"/>
    <w:rsid w:val="007C3C02"/>
    <w:rsid w:val="007D219E"/>
    <w:rsid w:val="007D749D"/>
    <w:rsid w:val="007E1D5C"/>
    <w:rsid w:val="007E460E"/>
    <w:rsid w:val="007E4CFF"/>
    <w:rsid w:val="007F1A0F"/>
    <w:rsid w:val="007F4690"/>
    <w:rsid w:val="007F78BF"/>
    <w:rsid w:val="007F79E0"/>
    <w:rsid w:val="00801887"/>
    <w:rsid w:val="0080737B"/>
    <w:rsid w:val="008109B5"/>
    <w:rsid w:val="00811741"/>
    <w:rsid w:val="00811CD4"/>
    <w:rsid w:val="008127C1"/>
    <w:rsid w:val="00814ABB"/>
    <w:rsid w:val="00817A99"/>
    <w:rsid w:val="008253E6"/>
    <w:rsid w:val="0083127F"/>
    <w:rsid w:val="00831554"/>
    <w:rsid w:val="0083604E"/>
    <w:rsid w:val="00837A33"/>
    <w:rsid w:val="008474D0"/>
    <w:rsid w:val="00852249"/>
    <w:rsid w:val="00860363"/>
    <w:rsid w:val="00860A28"/>
    <w:rsid w:val="0086708D"/>
    <w:rsid w:val="00867A83"/>
    <w:rsid w:val="008723A2"/>
    <w:rsid w:val="00877D47"/>
    <w:rsid w:val="00881E46"/>
    <w:rsid w:val="0088243B"/>
    <w:rsid w:val="00882A70"/>
    <w:rsid w:val="008A12DE"/>
    <w:rsid w:val="008A2AE4"/>
    <w:rsid w:val="008A40E9"/>
    <w:rsid w:val="008B421F"/>
    <w:rsid w:val="008B4D78"/>
    <w:rsid w:val="008C5F07"/>
    <w:rsid w:val="008D7BDA"/>
    <w:rsid w:val="008E45E4"/>
    <w:rsid w:val="008E4E9A"/>
    <w:rsid w:val="008E6EC3"/>
    <w:rsid w:val="008F18D3"/>
    <w:rsid w:val="008F2512"/>
    <w:rsid w:val="008F491B"/>
    <w:rsid w:val="00905893"/>
    <w:rsid w:val="0091043A"/>
    <w:rsid w:val="00914907"/>
    <w:rsid w:val="0092046D"/>
    <w:rsid w:val="009219BE"/>
    <w:rsid w:val="009267E6"/>
    <w:rsid w:val="0093052F"/>
    <w:rsid w:val="009329A5"/>
    <w:rsid w:val="00934A13"/>
    <w:rsid w:val="0094304D"/>
    <w:rsid w:val="00947B1B"/>
    <w:rsid w:val="009500D5"/>
    <w:rsid w:val="00950B7A"/>
    <w:rsid w:val="0095110E"/>
    <w:rsid w:val="009550CE"/>
    <w:rsid w:val="00960276"/>
    <w:rsid w:val="00961F9A"/>
    <w:rsid w:val="009635DD"/>
    <w:rsid w:val="009644B0"/>
    <w:rsid w:val="00967A50"/>
    <w:rsid w:val="00980F30"/>
    <w:rsid w:val="00986FBE"/>
    <w:rsid w:val="00987E1A"/>
    <w:rsid w:val="009902E3"/>
    <w:rsid w:val="00990973"/>
    <w:rsid w:val="009951D7"/>
    <w:rsid w:val="009B2619"/>
    <w:rsid w:val="009C0087"/>
    <w:rsid w:val="009C1514"/>
    <w:rsid w:val="009C1F3D"/>
    <w:rsid w:val="009C249D"/>
    <w:rsid w:val="009C3A2C"/>
    <w:rsid w:val="009C407A"/>
    <w:rsid w:val="009E0A0B"/>
    <w:rsid w:val="009E13C4"/>
    <w:rsid w:val="009E2718"/>
    <w:rsid w:val="009E4DBD"/>
    <w:rsid w:val="009E56FF"/>
    <w:rsid w:val="009F066F"/>
    <w:rsid w:val="009F5146"/>
    <w:rsid w:val="009F74BC"/>
    <w:rsid w:val="00A02B0A"/>
    <w:rsid w:val="00A049C2"/>
    <w:rsid w:val="00A0533B"/>
    <w:rsid w:val="00A10F01"/>
    <w:rsid w:val="00A125E2"/>
    <w:rsid w:val="00A134B1"/>
    <w:rsid w:val="00A148CA"/>
    <w:rsid w:val="00A15823"/>
    <w:rsid w:val="00A164D0"/>
    <w:rsid w:val="00A169C7"/>
    <w:rsid w:val="00A17926"/>
    <w:rsid w:val="00A31DF8"/>
    <w:rsid w:val="00A342A3"/>
    <w:rsid w:val="00A469D4"/>
    <w:rsid w:val="00A46D0B"/>
    <w:rsid w:val="00A4789C"/>
    <w:rsid w:val="00A5793B"/>
    <w:rsid w:val="00A57DA4"/>
    <w:rsid w:val="00A62B99"/>
    <w:rsid w:val="00A62ECA"/>
    <w:rsid w:val="00A66314"/>
    <w:rsid w:val="00A70988"/>
    <w:rsid w:val="00A7318C"/>
    <w:rsid w:val="00A73376"/>
    <w:rsid w:val="00A80226"/>
    <w:rsid w:val="00A91E35"/>
    <w:rsid w:val="00A922F2"/>
    <w:rsid w:val="00A9652B"/>
    <w:rsid w:val="00AA1A41"/>
    <w:rsid w:val="00AA4721"/>
    <w:rsid w:val="00AA5D27"/>
    <w:rsid w:val="00AB0D35"/>
    <w:rsid w:val="00AB3639"/>
    <w:rsid w:val="00AB4A16"/>
    <w:rsid w:val="00AC514E"/>
    <w:rsid w:val="00AD3593"/>
    <w:rsid w:val="00AD372B"/>
    <w:rsid w:val="00AD5318"/>
    <w:rsid w:val="00AE4147"/>
    <w:rsid w:val="00AF463A"/>
    <w:rsid w:val="00AF51E5"/>
    <w:rsid w:val="00AF5239"/>
    <w:rsid w:val="00B009C9"/>
    <w:rsid w:val="00B045C9"/>
    <w:rsid w:val="00B05B96"/>
    <w:rsid w:val="00B06453"/>
    <w:rsid w:val="00B145BB"/>
    <w:rsid w:val="00B15599"/>
    <w:rsid w:val="00B16BC7"/>
    <w:rsid w:val="00B21E8E"/>
    <w:rsid w:val="00B2681C"/>
    <w:rsid w:val="00B344AA"/>
    <w:rsid w:val="00B35C07"/>
    <w:rsid w:val="00B44021"/>
    <w:rsid w:val="00B45830"/>
    <w:rsid w:val="00B50ED5"/>
    <w:rsid w:val="00B524A3"/>
    <w:rsid w:val="00B54103"/>
    <w:rsid w:val="00B54649"/>
    <w:rsid w:val="00B5521C"/>
    <w:rsid w:val="00B56535"/>
    <w:rsid w:val="00B5724E"/>
    <w:rsid w:val="00B60B4D"/>
    <w:rsid w:val="00B6623E"/>
    <w:rsid w:val="00B736CE"/>
    <w:rsid w:val="00B74065"/>
    <w:rsid w:val="00B75D62"/>
    <w:rsid w:val="00B82513"/>
    <w:rsid w:val="00B8650E"/>
    <w:rsid w:val="00B86A44"/>
    <w:rsid w:val="00B91082"/>
    <w:rsid w:val="00B925EF"/>
    <w:rsid w:val="00B932BC"/>
    <w:rsid w:val="00B968A7"/>
    <w:rsid w:val="00B96AED"/>
    <w:rsid w:val="00B96D36"/>
    <w:rsid w:val="00B97B3C"/>
    <w:rsid w:val="00BA00E3"/>
    <w:rsid w:val="00BA1F2D"/>
    <w:rsid w:val="00BA2C71"/>
    <w:rsid w:val="00BB023A"/>
    <w:rsid w:val="00BB19F2"/>
    <w:rsid w:val="00BB66A8"/>
    <w:rsid w:val="00BC08B8"/>
    <w:rsid w:val="00BC6531"/>
    <w:rsid w:val="00BD3136"/>
    <w:rsid w:val="00BE09EB"/>
    <w:rsid w:val="00BE13AD"/>
    <w:rsid w:val="00BE5FC4"/>
    <w:rsid w:val="00BF1725"/>
    <w:rsid w:val="00BF19D0"/>
    <w:rsid w:val="00BF20CF"/>
    <w:rsid w:val="00BF61CD"/>
    <w:rsid w:val="00BF7CAB"/>
    <w:rsid w:val="00C01443"/>
    <w:rsid w:val="00C047E4"/>
    <w:rsid w:val="00C05A5F"/>
    <w:rsid w:val="00C13377"/>
    <w:rsid w:val="00C156E3"/>
    <w:rsid w:val="00C178B3"/>
    <w:rsid w:val="00C21E27"/>
    <w:rsid w:val="00C326F2"/>
    <w:rsid w:val="00C32B85"/>
    <w:rsid w:val="00C53F98"/>
    <w:rsid w:val="00C61C3A"/>
    <w:rsid w:val="00C61EEA"/>
    <w:rsid w:val="00C62078"/>
    <w:rsid w:val="00C645FF"/>
    <w:rsid w:val="00C65A28"/>
    <w:rsid w:val="00C6636A"/>
    <w:rsid w:val="00C67102"/>
    <w:rsid w:val="00C725C6"/>
    <w:rsid w:val="00C848A5"/>
    <w:rsid w:val="00CA4462"/>
    <w:rsid w:val="00CB5173"/>
    <w:rsid w:val="00CB6414"/>
    <w:rsid w:val="00CB7385"/>
    <w:rsid w:val="00CC05BA"/>
    <w:rsid w:val="00CC1555"/>
    <w:rsid w:val="00CD791F"/>
    <w:rsid w:val="00CE4D55"/>
    <w:rsid w:val="00CE616E"/>
    <w:rsid w:val="00CE739C"/>
    <w:rsid w:val="00D00AF6"/>
    <w:rsid w:val="00D01C63"/>
    <w:rsid w:val="00D020C1"/>
    <w:rsid w:val="00D04D8F"/>
    <w:rsid w:val="00D1340C"/>
    <w:rsid w:val="00D17BFD"/>
    <w:rsid w:val="00D21235"/>
    <w:rsid w:val="00D302AC"/>
    <w:rsid w:val="00D348B3"/>
    <w:rsid w:val="00D35431"/>
    <w:rsid w:val="00D43CAA"/>
    <w:rsid w:val="00D44A1D"/>
    <w:rsid w:val="00D46A01"/>
    <w:rsid w:val="00D46D3F"/>
    <w:rsid w:val="00D52B5C"/>
    <w:rsid w:val="00D568E3"/>
    <w:rsid w:val="00D5775F"/>
    <w:rsid w:val="00D61AA3"/>
    <w:rsid w:val="00D6515D"/>
    <w:rsid w:val="00D80DEE"/>
    <w:rsid w:val="00D8122C"/>
    <w:rsid w:val="00D81CFD"/>
    <w:rsid w:val="00D8219E"/>
    <w:rsid w:val="00D87655"/>
    <w:rsid w:val="00D87CC7"/>
    <w:rsid w:val="00D96BF8"/>
    <w:rsid w:val="00DA05CB"/>
    <w:rsid w:val="00DA68FC"/>
    <w:rsid w:val="00DB5D6F"/>
    <w:rsid w:val="00DB7047"/>
    <w:rsid w:val="00DC0213"/>
    <w:rsid w:val="00DD165E"/>
    <w:rsid w:val="00DD29AC"/>
    <w:rsid w:val="00DE23D5"/>
    <w:rsid w:val="00DE370B"/>
    <w:rsid w:val="00DE768B"/>
    <w:rsid w:val="00DF184F"/>
    <w:rsid w:val="00DF4796"/>
    <w:rsid w:val="00DF7A33"/>
    <w:rsid w:val="00E038F9"/>
    <w:rsid w:val="00E059D2"/>
    <w:rsid w:val="00E131D2"/>
    <w:rsid w:val="00E17990"/>
    <w:rsid w:val="00E25828"/>
    <w:rsid w:val="00E26453"/>
    <w:rsid w:val="00E303FB"/>
    <w:rsid w:val="00E31277"/>
    <w:rsid w:val="00E31D61"/>
    <w:rsid w:val="00E34376"/>
    <w:rsid w:val="00E445BF"/>
    <w:rsid w:val="00E46A5C"/>
    <w:rsid w:val="00E46AE9"/>
    <w:rsid w:val="00E553BE"/>
    <w:rsid w:val="00E555A6"/>
    <w:rsid w:val="00E57927"/>
    <w:rsid w:val="00E57AB9"/>
    <w:rsid w:val="00E60D16"/>
    <w:rsid w:val="00E60FF6"/>
    <w:rsid w:val="00E617EC"/>
    <w:rsid w:val="00E7111F"/>
    <w:rsid w:val="00E80144"/>
    <w:rsid w:val="00E80F1B"/>
    <w:rsid w:val="00E86B6A"/>
    <w:rsid w:val="00E92F4E"/>
    <w:rsid w:val="00E954F0"/>
    <w:rsid w:val="00E9578A"/>
    <w:rsid w:val="00E97B5A"/>
    <w:rsid w:val="00EA0116"/>
    <w:rsid w:val="00EA1676"/>
    <w:rsid w:val="00EA1843"/>
    <w:rsid w:val="00EA46FC"/>
    <w:rsid w:val="00EB7698"/>
    <w:rsid w:val="00EC1671"/>
    <w:rsid w:val="00EC661E"/>
    <w:rsid w:val="00EC7A76"/>
    <w:rsid w:val="00ED16D6"/>
    <w:rsid w:val="00ED18C3"/>
    <w:rsid w:val="00ED38EC"/>
    <w:rsid w:val="00EE0586"/>
    <w:rsid w:val="00EE1574"/>
    <w:rsid w:val="00EE2B16"/>
    <w:rsid w:val="00EE307D"/>
    <w:rsid w:val="00EE3F3F"/>
    <w:rsid w:val="00EE4382"/>
    <w:rsid w:val="00EE48CF"/>
    <w:rsid w:val="00EE50C6"/>
    <w:rsid w:val="00EE5BD9"/>
    <w:rsid w:val="00EE5E20"/>
    <w:rsid w:val="00EE6EC6"/>
    <w:rsid w:val="00EF2759"/>
    <w:rsid w:val="00F005BC"/>
    <w:rsid w:val="00F00D52"/>
    <w:rsid w:val="00F03E4C"/>
    <w:rsid w:val="00F0689C"/>
    <w:rsid w:val="00F102F5"/>
    <w:rsid w:val="00F12541"/>
    <w:rsid w:val="00F22958"/>
    <w:rsid w:val="00F24381"/>
    <w:rsid w:val="00F31ABC"/>
    <w:rsid w:val="00F37D04"/>
    <w:rsid w:val="00F37D77"/>
    <w:rsid w:val="00F37E74"/>
    <w:rsid w:val="00F45467"/>
    <w:rsid w:val="00F46912"/>
    <w:rsid w:val="00F473DE"/>
    <w:rsid w:val="00F5043D"/>
    <w:rsid w:val="00F509F2"/>
    <w:rsid w:val="00F521B2"/>
    <w:rsid w:val="00F63F61"/>
    <w:rsid w:val="00F75B73"/>
    <w:rsid w:val="00F77FBE"/>
    <w:rsid w:val="00F80962"/>
    <w:rsid w:val="00F84F83"/>
    <w:rsid w:val="00F9068C"/>
    <w:rsid w:val="00F93E43"/>
    <w:rsid w:val="00F97228"/>
    <w:rsid w:val="00FA18B0"/>
    <w:rsid w:val="00FA6829"/>
    <w:rsid w:val="00FB0D7F"/>
    <w:rsid w:val="00FB176B"/>
    <w:rsid w:val="00FB76E5"/>
    <w:rsid w:val="00FC1099"/>
    <w:rsid w:val="00FC19BA"/>
    <w:rsid w:val="00FC2346"/>
    <w:rsid w:val="00FC4B05"/>
    <w:rsid w:val="00FC5F18"/>
    <w:rsid w:val="00FC6348"/>
    <w:rsid w:val="00FD3F93"/>
    <w:rsid w:val="00FE066F"/>
    <w:rsid w:val="00FE22F6"/>
    <w:rsid w:val="00FE3765"/>
    <w:rsid w:val="00FE3826"/>
    <w:rsid w:val="00FE391F"/>
    <w:rsid w:val="00FE3D60"/>
    <w:rsid w:val="00FE6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9547D"/>
  <w15:chartTrackingRefBased/>
  <w15:docId w15:val="{7A4E240C-429D-1642-BEA8-3010E0D5D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outlineLvl w:val="2"/>
    </w:pPr>
    <w:rPr>
      <w:b/>
      <w:sz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style>
  <w:style w:type="paragraph" w:styleId="Title">
    <w:name w:val="Title"/>
    <w:basedOn w:val="Normal"/>
    <w:qFormat/>
    <w:pPr>
      <w:jc w:val="center"/>
    </w:pPr>
    <w:rPr>
      <w:b/>
      <w:sz w:val="22"/>
      <w:u w:val="single"/>
    </w:rPr>
  </w:style>
  <w:style w:type="paragraph" w:styleId="BodyText">
    <w:name w:val="Body Text"/>
    <w:basedOn w:val="Normal"/>
    <w:pPr>
      <w:tabs>
        <w:tab w:val="left" w:pos="2340"/>
        <w:tab w:val="left" w:pos="8010"/>
        <w:tab w:val="left" w:pos="8640"/>
      </w:tabs>
      <w:jc w:val="both"/>
    </w:pPr>
    <w:rPr>
      <w:sz w:val="22"/>
    </w:rPr>
  </w:style>
  <w:style w:type="paragraph" w:styleId="Footer">
    <w:name w:val="footer"/>
    <w:basedOn w:val="Normal"/>
    <w:pPr>
      <w:tabs>
        <w:tab w:val="center" w:pos="4320"/>
        <w:tab w:val="right" w:pos="8640"/>
      </w:tabs>
    </w:pPr>
    <w:rPr>
      <w:sz w:val="24"/>
    </w:rPr>
  </w:style>
  <w:style w:type="paragraph" w:styleId="Header">
    <w:name w:val="header"/>
    <w:basedOn w:val="Normal"/>
    <w:pPr>
      <w:tabs>
        <w:tab w:val="center" w:pos="4320"/>
        <w:tab w:val="right" w:pos="8640"/>
      </w:tabs>
    </w:pPr>
    <w:rPr>
      <w:sz w:val="24"/>
    </w:rPr>
  </w:style>
  <w:style w:type="character" w:styleId="Hyperlink">
    <w:name w:val="Hyperlink"/>
    <w:rPr>
      <w:color w:val="0000FF"/>
      <w:u w:val="single"/>
    </w:rPr>
  </w:style>
  <w:style w:type="character" w:styleId="PageNumber">
    <w:name w:val="page number"/>
    <w:basedOn w:val="DefaultParagraphFont"/>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paragraph" w:styleId="PlainText">
    <w:name w:val="Plain Text"/>
    <w:basedOn w:val="Normal"/>
    <w:rPr>
      <w:rFonts w:ascii="Courier New" w:hAnsi="Courier New" w:cs="Courier New"/>
    </w:rPr>
  </w:style>
  <w:style w:type="paragraph" w:styleId="DocumentMap">
    <w:name w:val="Document Map"/>
    <w:basedOn w:val="Normal"/>
    <w:semiHidden/>
    <w:pPr>
      <w:shd w:val="clear" w:color="auto" w:fill="000080"/>
    </w:pPr>
    <w:rPr>
      <w:rFonts w:ascii="Tahoma" w:hAnsi="Tahoma" w:cs="Tahoma"/>
    </w:rPr>
  </w:style>
  <w:style w:type="character" w:customStyle="1" w:styleId="zzmpTrailerItem">
    <w:name w:val="zzmpTrailerItem"/>
    <w:rPr>
      <w:rFonts w:ascii="Times New Roman" w:hAnsi="Times New Roman" w:cs="Times New Roman"/>
      <w:b w:val="0"/>
      <w:i w:val="0"/>
      <w:caps w:val="0"/>
      <w:smallCaps w:val="0"/>
      <w:dstrike w:val="0"/>
      <w:noProof/>
      <w:vanish w:val="0"/>
      <w:color w:val="auto"/>
      <w:spacing w:val="0"/>
      <w:position w:val="0"/>
      <w:sz w:val="16"/>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customStyle="1" w:styleId="1">
    <w:name w:val="#1"/>
    <w:basedOn w:val="Normal"/>
    <w:pPr>
      <w:tabs>
        <w:tab w:val="left" w:pos="360"/>
        <w:tab w:val="left" w:pos="1080"/>
        <w:tab w:val="left" w:pos="2520"/>
        <w:tab w:val="left" w:pos="3240"/>
        <w:tab w:val="left" w:pos="3960"/>
        <w:tab w:val="left" w:pos="4680"/>
        <w:tab w:val="left" w:pos="4760"/>
        <w:tab w:val="left" w:pos="5220"/>
        <w:tab w:val="left" w:pos="5400"/>
        <w:tab w:val="left" w:pos="6120"/>
        <w:tab w:val="left" w:pos="6840"/>
        <w:tab w:val="left" w:pos="7200"/>
        <w:tab w:val="left" w:pos="7560"/>
        <w:tab w:val="left" w:pos="7920"/>
        <w:tab w:val="left" w:pos="8280"/>
        <w:tab w:val="left" w:pos="8640"/>
        <w:tab w:val="left" w:pos="9000"/>
        <w:tab w:val="left" w:pos="9360"/>
        <w:tab w:val="left" w:pos="10080"/>
        <w:tab w:val="left" w:pos="10440"/>
      </w:tabs>
      <w:ind w:left="360" w:right="360" w:hanging="360"/>
    </w:pPr>
    <w:rPr>
      <w:rFonts w:ascii="Palatino" w:hAnsi="Palatino"/>
      <w:sz w:val="24"/>
    </w:rPr>
  </w:style>
  <w:style w:type="paragraph" w:customStyle="1" w:styleId="DefaultParagraphFontParaChar">
    <w:name w:val="Default Paragraph Font Para Char"/>
    <w:basedOn w:val="Normal"/>
    <w:rsid w:val="00C848A5"/>
    <w:pPr>
      <w:spacing w:after="160" w:line="240" w:lineRule="exact"/>
    </w:pPr>
    <w:rPr>
      <w:rFonts w:ascii="Verdana" w:hAnsi="Verdana" w:cs="Angsana New"/>
    </w:rPr>
  </w:style>
  <w:style w:type="paragraph" w:customStyle="1" w:styleId="CharCharCharCharCharCharCharCharCharCharCharCharChar">
    <w:name w:val="Char Char Char Char Char Char Char Char Char Char Char Char Char"/>
    <w:basedOn w:val="Normal"/>
    <w:rsid w:val="00811741"/>
    <w:pPr>
      <w:spacing w:after="160" w:line="240" w:lineRule="exact"/>
    </w:pPr>
    <w:rPr>
      <w:rFonts w:ascii="Verdana" w:hAnsi="Verdana"/>
    </w:rPr>
  </w:style>
  <w:style w:type="paragraph" w:customStyle="1" w:styleId="Default">
    <w:name w:val="Default"/>
    <w:rsid w:val="00553CAE"/>
    <w:pPr>
      <w:autoSpaceDE w:val="0"/>
      <w:autoSpaceDN w:val="0"/>
      <w:adjustRightInd w:val="0"/>
    </w:pPr>
    <w:rPr>
      <w:color w:val="000000"/>
      <w:sz w:val="24"/>
      <w:szCs w:val="24"/>
    </w:rPr>
  </w:style>
  <w:style w:type="table" w:styleId="TableGrid">
    <w:name w:val="Table Grid"/>
    <w:basedOn w:val="TableNormal"/>
    <w:rsid w:val="00811C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61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5580</Words>
  <Characters>30888</Characters>
  <Application>Microsoft Office Word</Application>
  <DocSecurity>0</DocSecurity>
  <Lines>464</Lines>
  <Paragraphs>122</Paragraphs>
  <ScaleCrop>false</ScaleCrop>
  <HeadingPairs>
    <vt:vector size="2" baseType="variant">
      <vt:variant>
        <vt:lpstr>Title</vt:lpstr>
      </vt:variant>
      <vt:variant>
        <vt:i4>1</vt:i4>
      </vt:variant>
    </vt:vector>
  </HeadingPairs>
  <TitlesOfParts>
    <vt:vector size="1" baseType="lpstr">
      <vt:lpstr>LICENSING AGREEMENT</vt:lpstr>
    </vt:vector>
  </TitlesOfParts>
  <Manager/>
  <Company/>
  <LinksUpToDate>false</LinksUpToDate>
  <CharactersWithSpaces>36488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LICENSING AGREEMENT</dc:title>
  <dc:subject/>
  <dc:creator>Brad Simon</dc:creator>
  <cp:keywords/>
  <dc:description/>
  <cp:lastModifiedBy>Brad Simon</cp:lastModifiedBy>
  <cp:revision>2</cp:revision>
  <cp:lastPrinted>2008-01-30T18:40:00Z</cp:lastPrinted>
  <dcterms:created xsi:type="dcterms:W3CDTF">2026-03-01T21:51:00Z</dcterms:created>
  <dcterms:modified xsi:type="dcterms:W3CDTF">2026-03-01T21:51:00Z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
  </property>
</Properties>
</file>