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5B51B" w14:textId="77777777" w:rsidR="00E36DB5" w:rsidRDefault="00000000">
      <w:pPr>
        <w:pStyle w:val="Title"/>
        <w:spacing w:line="254" w:lineRule="auto"/>
      </w:pPr>
      <w:r>
        <w:t>Intelligent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Routing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Faster</w:t>
      </w:r>
      <w:r>
        <w:rPr>
          <w:spacing w:val="-7"/>
        </w:rPr>
        <w:t xml:space="preserve"> </w:t>
      </w:r>
      <w:r>
        <w:t xml:space="preserve">Customer </w:t>
      </w:r>
      <w:r>
        <w:rPr>
          <w:spacing w:val="-2"/>
        </w:rPr>
        <w:t>Support</w:t>
      </w:r>
    </w:p>
    <w:p w14:paraId="3961A24D" w14:textId="77777777" w:rsidR="00E36DB5" w:rsidRDefault="00E36DB5">
      <w:pPr>
        <w:pStyle w:val="BodyText"/>
        <w:spacing w:before="184"/>
        <w:ind w:left="0" w:firstLine="0"/>
        <w:rPr>
          <w:rFonts w:ascii="Arial"/>
          <w:b/>
          <w:sz w:val="36"/>
        </w:rPr>
      </w:pPr>
    </w:p>
    <w:p w14:paraId="719C477A" w14:textId="77777777" w:rsidR="00E36DB5" w:rsidRDefault="00000000">
      <w:pPr>
        <w:pStyle w:val="Heading1"/>
      </w:pPr>
      <w:r>
        <w:t xml:space="preserve">Phase 7: Integration &amp; External </w:t>
      </w:r>
      <w:r>
        <w:rPr>
          <w:spacing w:val="-2"/>
        </w:rPr>
        <w:t>Access</w:t>
      </w:r>
    </w:p>
    <w:p w14:paraId="136EF58E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Named Credentials – Secure authentication storage for </w:t>
      </w:r>
      <w:r>
        <w:rPr>
          <w:spacing w:val="-2"/>
          <w:sz w:val="20"/>
        </w:rPr>
        <w:t>APIs.</w:t>
      </w:r>
    </w:p>
    <w:p w14:paraId="22CF0129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>External Services – Connect Salesforce to external APIs (</w:t>
      </w:r>
      <w:proofErr w:type="spellStart"/>
      <w:r>
        <w:rPr>
          <w:sz w:val="20"/>
        </w:rPr>
        <w:t>OpenAPI</w:t>
      </w:r>
      <w:proofErr w:type="spellEnd"/>
      <w:r>
        <w:rPr>
          <w:sz w:val="20"/>
        </w:rPr>
        <w:t xml:space="preserve"> </w:t>
      </w:r>
      <w:r>
        <w:rPr>
          <w:spacing w:val="-2"/>
          <w:sz w:val="20"/>
        </w:rPr>
        <w:t>schema).</w:t>
      </w:r>
    </w:p>
    <w:p w14:paraId="7A6C3AB0" w14:textId="77777777" w:rsidR="00E36DB5" w:rsidRPr="000826A8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Web Services (REST/SOAP) – Consume or expose Salesforce </w:t>
      </w:r>
      <w:r>
        <w:rPr>
          <w:spacing w:val="-2"/>
          <w:sz w:val="20"/>
        </w:rPr>
        <w:t>data.</w:t>
      </w:r>
    </w:p>
    <w:p w14:paraId="357F113D" w14:textId="2BD94B3B" w:rsidR="000826A8" w:rsidRDefault="000826A8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rFonts w:asciiTheme="minorHAnsi" w:eastAsiaTheme="minorEastAsia" w:hAnsiTheme="minorHAnsi" w:cstheme="minorBidi"/>
          <w:sz w:val="24"/>
          <w:szCs w:val="24"/>
          <w:lang w:val="en-IN" w:eastAsia="en-IN"/>
        </w:rPr>
        <w:object w:dxaOrig="8640" w:dyaOrig="4092" w14:anchorId="2AAF8DA2">
          <v:rect id="rectole0000000000" o:spid="_x0000_i1025" style="width:6in;height:204.6pt" o:ole="" o:preferrelative="t" stroked="f">
            <v:imagedata r:id="rId5" o:title=""/>
          </v:rect>
          <o:OLEObject Type="Embed" ProgID="StaticDib" ShapeID="rectole0000000000" DrawAspect="Content" ObjectID="_1820664856" r:id="rId6"/>
        </w:object>
      </w:r>
    </w:p>
    <w:p w14:paraId="25146601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Callouts – Trigger external APIs from Apex or </w:t>
      </w:r>
      <w:r>
        <w:rPr>
          <w:spacing w:val="-2"/>
          <w:sz w:val="20"/>
        </w:rPr>
        <w:t>Flows.</w:t>
      </w:r>
    </w:p>
    <w:p w14:paraId="1A99F5C7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>Platform Events – Event-driven routing in real-</w:t>
      </w:r>
      <w:r>
        <w:rPr>
          <w:spacing w:val="-2"/>
          <w:sz w:val="20"/>
        </w:rPr>
        <w:t>time.</w:t>
      </w:r>
    </w:p>
    <w:p w14:paraId="1F769CBA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Change Data Capture – Keep Salesforce and external data in </w:t>
      </w:r>
      <w:r>
        <w:rPr>
          <w:spacing w:val="-2"/>
          <w:sz w:val="20"/>
        </w:rPr>
        <w:t>sync.</w:t>
      </w:r>
    </w:p>
    <w:p w14:paraId="24673F59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Salesforce Connect – Access external databases without </w:t>
      </w:r>
      <w:r>
        <w:rPr>
          <w:spacing w:val="-2"/>
          <w:sz w:val="20"/>
        </w:rPr>
        <w:t>duplication.</w:t>
      </w:r>
    </w:p>
    <w:p w14:paraId="27F60084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API Limits – Monitor and optimize API </w:t>
      </w:r>
      <w:r>
        <w:rPr>
          <w:spacing w:val="-2"/>
          <w:sz w:val="20"/>
        </w:rPr>
        <w:t>consumption.</w:t>
      </w:r>
    </w:p>
    <w:p w14:paraId="237E90DC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OAuth &amp; Authentication – Secure Connected Apps for </w:t>
      </w:r>
      <w:r>
        <w:rPr>
          <w:spacing w:val="-2"/>
          <w:sz w:val="20"/>
        </w:rPr>
        <w:t>integrations.</w:t>
      </w:r>
    </w:p>
    <w:p w14:paraId="498817A5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Remote Site Settings – Whitelist external endpoints for </w:t>
      </w:r>
      <w:r>
        <w:rPr>
          <w:spacing w:val="-2"/>
          <w:sz w:val="20"/>
        </w:rPr>
        <w:t>callouts.</w:t>
      </w:r>
    </w:p>
    <w:p w14:paraId="04FFF8F9" w14:textId="24EC4ADD" w:rsidR="00E36DB5" w:rsidRDefault="000826A8">
      <w:pPr>
        <w:pStyle w:val="BodyText"/>
        <w:spacing w:before="0"/>
        <w:ind w:left="0" w:firstLine="0"/>
      </w:pPr>
      <w:r>
        <w:rPr>
          <w:rFonts w:asciiTheme="minorHAnsi" w:eastAsiaTheme="minorEastAsia" w:hAnsiTheme="minorHAnsi" w:cstheme="minorBidi"/>
          <w:sz w:val="24"/>
          <w:szCs w:val="24"/>
          <w:lang w:val="en-IN" w:eastAsia="en-IN"/>
        </w:rPr>
        <w:object w:dxaOrig="8640" w:dyaOrig="4164" w14:anchorId="00C51CBE">
          <v:rect id="rectole0000000001" o:spid="_x0000_i1026" style="width:6in;height:208.2pt" o:ole="" o:preferrelative="t" stroked="f">
            <v:imagedata r:id="rId7" o:title=""/>
          </v:rect>
          <o:OLEObject Type="Embed" ProgID="StaticDib" ShapeID="rectole0000000001" DrawAspect="Content" ObjectID="_1820664857" r:id="rId8"/>
        </w:object>
      </w:r>
    </w:p>
    <w:p w14:paraId="6AFF2EBD" w14:textId="77777777" w:rsidR="00E36DB5" w:rsidRDefault="00E36DB5">
      <w:pPr>
        <w:pStyle w:val="BodyText"/>
        <w:spacing w:before="35"/>
        <w:ind w:left="0" w:firstLine="0"/>
      </w:pPr>
    </w:p>
    <w:p w14:paraId="5AB0F109" w14:textId="77777777" w:rsidR="00E36DB5" w:rsidRDefault="00000000">
      <w:pPr>
        <w:pStyle w:val="Heading1"/>
      </w:pPr>
      <w:r>
        <w:t xml:space="preserve">Phase 8: Data Management &amp; </w:t>
      </w:r>
      <w:r>
        <w:rPr>
          <w:spacing w:val="-2"/>
        </w:rPr>
        <w:t>Deployment</w:t>
      </w:r>
    </w:p>
    <w:p w14:paraId="511BC128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Data Import Wizard – Simple CSV imports for test/training </w:t>
      </w:r>
      <w:r>
        <w:rPr>
          <w:spacing w:val="-2"/>
          <w:sz w:val="20"/>
        </w:rPr>
        <w:t>data.</w:t>
      </w:r>
    </w:p>
    <w:p w14:paraId="30CE0209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Data Loader – Bulk uploads/exports for historical </w:t>
      </w:r>
      <w:r>
        <w:rPr>
          <w:spacing w:val="-2"/>
          <w:sz w:val="20"/>
        </w:rPr>
        <w:t>cases.</w:t>
      </w:r>
    </w:p>
    <w:p w14:paraId="6A30D953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Duplicate Rules – Prevent duplicate cases affecting </w:t>
      </w:r>
      <w:r>
        <w:rPr>
          <w:spacing w:val="-2"/>
          <w:sz w:val="20"/>
        </w:rPr>
        <w:t>routing.</w:t>
      </w:r>
    </w:p>
    <w:p w14:paraId="6F0E3EFC" w14:textId="77777777" w:rsidR="00E36DB5" w:rsidRPr="000826A8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Data Export &amp; Backup – Regular exports for disaster </w:t>
      </w:r>
      <w:r>
        <w:rPr>
          <w:spacing w:val="-2"/>
          <w:sz w:val="20"/>
        </w:rPr>
        <w:t>recovery.</w:t>
      </w:r>
    </w:p>
    <w:p w14:paraId="218814E5" w14:textId="57EFC959" w:rsidR="000826A8" w:rsidRDefault="000826A8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rFonts w:asciiTheme="minorHAnsi" w:eastAsiaTheme="minorEastAsia" w:hAnsiTheme="minorHAnsi" w:cstheme="minorBidi"/>
          <w:sz w:val="24"/>
          <w:szCs w:val="24"/>
          <w:lang w:val="en-IN" w:eastAsia="en-IN"/>
        </w:rPr>
        <w:object w:dxaOrig="8640" w:dyaOrig="5472" w14:anchorId="471A5305">
          <v:rect id="_x0000_i1027" style="width:6in;height:273.6pt" o:ole="" o:preferrelative="t" stroked="f">
            <v:imagedata r:id="rId9" o:title=""/>
          </v:rect>
          <o:OLEObject Type="Embed" ProgID="StaticDib" ShapeID="_x0000_i1027" DrawAspect="Content" ObjectID="_1820664858" r:id="rId10"/>
        </w:object>
      </w:r>
    </w:p>
    <w:p w14:paraId="109330BA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Change Sets – Deploy routing automation between </w:t>
      </w:r>
      <w:r>
        <w:rPr>
          <w:spacing w:val="-2"/>
          <w:sz w:val="20"/>
        </w:rPr>
        <w:t>environments.</w:t>
      </w:r>
    </w:p>
    <w:p w14:paraId="79C107B0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Unmanaged vs Managed Packages – Choose packaging for </w:t>
      </w:r>
      <w:r>
        <w:rPr>
          <w:spacing w:val="-2"/>
          <w:sz w:val="20"/>
        </w:rPr>
        <w:t>reuse.</w:t>
      </w:r>
    </w:p>
    <w:p w14:paraId="7D50ED02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ANT Migration Tool – Automate metadata </w:t>
      </w:r>
      <w:r>
        <w:rPr>
          <w:spacing w:val="-2"/>
          <w:sz w:val="20"/>
        </w:rPr>
        <w:t>deployments.</w:t>
      </w:r>
    </w:p>
    <w:p w14:paraId="24A17285" w14:textId="77777777" w:rsidR="00E36DB5" w:rsidRPr="000826A8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VS Code &amp; SFDX – Modern CI/CD and source control </w:t>
      </w:r>
      <w:r>
        <w:rPr>
          <w:spacing w:val="-2"/>
          <w:sz w:val="20"/>
        </w:rPr>
        <w:t>integration.</w:t>
      </w:r>
    </w:p>
    <w:p w14:paraId="40DD1C75" w14:textId="7EC29E70" w:rsidR="000826A8" w:rsidRDefault="000826A8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rFonts w:asciiTheme="minorHAnsi" w:eastAsiaTheme="minorEastAsia" w:hAnsiTheme="minorHAnsi" w:cstheme="minorBidi"/>
          <w:sz w:val="24"/>
          <w:szCs w:val="24"/>
          <w:lang w:val="en-IN" w:eastAsia="en-IN"/>
        </w:rPr>
        <w:object w:dxaOrig="8640" w:dyaOrig="4116" w14:anchorId="69B5CE92">
          <v:rect id="_x0000_i1028" style="width:6in;height:205.8pt" o:ole="" o:preferrelative="t" stroked="f">
            <v:imagedata r:id="rId11" o:title=""/>
          </v:rect>
          <o:OLEObject Type="Embed" ProgID="StaticDib" ShapeID="_x0000_i1028" DrawAspect="Content" ObjectID="_1820664859" r:id="rId12"/>
        </w:object>
      </w:r>
    </w:p>
    <w:p w14:paraId="60B3177B" w14:textId="77777777" w:rsidR="00E36DB5" w:rsidRDefault="00E36DB5">
      <w:pPr>
        <w:pStyle w:val="BodyText"/>
        <w:spacing w:before="0"/>
        <w:ind w:left="0" w:firstLine="0"/>
      </w:pPr>
    </w:p>
    <w:p w14:paraId="5198A83E" w14:textId="77777777" w:rsidR="00E36DB5" w:rsidRDefault="00E36DB5">
      <w:pPr>
        <w:pStyle w:val="BodyText"/>
        <w:spacing w:before="35"/>
        <w:ind w:left="0" w:firstLine="0"/>
      </w:pPr>
    </w:p>
    <w:p w14:paraId="687B3534" w14:textId="77777777" w:rsidR="00E36DB5" w:rsidRDefault="00000000">
      <w:pPr>
        <w:pStyle w:val="Heading1"/>
      </w:pPr>
      <w:r>
        <w:t xml:space="preserve">Phase 9: Reporting, Dashboards &amp; Security </w:t>
      </w:r>
      <w:r>
        <w:rPr>
          <w:spacing w:val="-2"/>
        </w:rPr>
        <w:t>Review</w:t>
      </w:r>
    </w:p>
    <w:p w14:paraId="59B4EE32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Reports – Tabular, Summary, Matrix, and Joined for routing </w:t>
      </w:r>
      <w:r>
        <w:rPr>
          <w:spacing w:val="-2"/>
          <w:sz w:val="20"/>
        </w:rPr>
        <w:t>analysis.</w:t>
      </w:r>
    </w:p>
    <w:p w14:paraId="0D22D9FF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Report Types – Custom report types for routing </w:t>
      </w:r>
      <w:r>
        <w:rPr>
          <w:spacing w:val="-2"/>
          <w:sz w:val="20"/>
        </w:rPr>
        <w:t>metrics.</w:t>
      </w:r>
    </w:p>
    <w:p w14:paraId="0D11B959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Dashboards – Visualize routing performance and SLA </w:t>
      </w:r>
      <w:r>
        <w:rPr>
          <w:spacing w:val="-2"/>
          <w:sz w:val="20"/>
        </w:rPr>
        <w:t>compliance.</w:t>
      </w:r>
    </w:p>
    <w:p w14:paraId="7C003729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Dynamic Dashboards – Personalized dashboards for </w:t>
      </w:r>
      <w:r>
        <w:rPr>
          <w:spacing w:val="-2"/>
          <w:sz w:val="20"/>
        </w:rPr>
        <w:t>managers/agents.</w:t>
      </w:r>
    </w:p>
    <w:p w14:paraId="2F512A10" w14:textId="77777777" w:rsidR="00E36DB5" w:rsidRPr="000826A8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Sharing Settings – Configure case record </w:t>
      </w:r>
      <w:r>
        <w:rPr>
          <w:spacing w:val="-2"/>
          <w:sz w:val="20"/>
        </w:rPr>
        <w:t>visibility.</w:t>
      </w:r>
    </w:p>
    <w:p w14:paraId="7BC2409E" w14:textId="5E33C039" w:rsidR="000826A8" w:rsidRDefault="000826A8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rFonts w:asciiTheme="minorHAnsi" w:eastAsiaTheme="minorEastAsia" w:hAnsiTheme="minorHAnsi" w:cstheme="minorBidi"/>
          <w:sz w:val="24"/>
          <w:szCs w:val="24"/>
          <w:lang w:val="en-IN" w:eastAsia="en-IN"/>
        </w:rPr>
        <w:object w:dxaOrig="8640" w:dyaOrig="3924" w14:anchorId="7ACB2412">
          <v:rect id="rectole0000000003" o:spid="_x0000_i1029" style="width:6in;height:196.2pt" o:ole="" o:preferrelative="t" stroked="f">
            <v:imagedata r:id="rId13" o:title=""/>
          </v:rect>
          <o:OLEObject Type="Embed" ProgID="StaticDib" ShapeID="rectole0000000003" DrawAspect="Content" ObjectID="_1820664860" r:id="rId14"/>
        </w:object>
      </w:r>
    </w:p>
    <w:p w14:paraId="57C77F8D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Field Level Security – Protect sensitive case </w:t>
      </w:r>
      <w:r>
        <w:rPr>
          <w:spacing w:val="-2"/>
          <w:sz w:val="20"/>
        </w:rPr>
        <w:t>fields.</w:t>
      </w:r>
    </w:p>
    <w:p w14:paraId="1B7538F7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Session Settings – Enforce secure login/session </w:t>
      </w:r>
      <w:r>
        <w:rPr>
          <w:spacing w:val="-2"/>
          <w:sz w:val="20"/>
        </w:rPr>
        <w:t>behavior.</w:t>
      </w:r>
    </w:p>
    <w:p w14:paraId="7B170F0E" w14:textId="77777777" w:rsidR="00E36DB5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Login IP Ranges – Restrict access for admins/integration </w:t>
      </w:r>
      <w:r>
        <w:rPr>
          <w:spacing w:val="-2"/>
          <w:sz w:val="20"/>
        </w:rPr>
        <w:t>users.</w:t>
      </w:r>
    </w:p>
    <w:p w14:paraId="3EA9762F" w14:textId="77777777" w:rsidR="00E36DB5" w:rsidRPr="000826A8" w:rsidRDefault="00000000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sz w:val="20"/>
        </w:rPr>
        <w:t xml:space="preserve">Audit Trail – Track changes to routing logic and </w:t>
      </w:r>
      <w:r>
        <w:rPr>
          <w:spacing w:val="-2"/>
          <w:sz w:val="20"/>
        </w:rPr>
        <w:t>integrations.</w:t>
      </w:r>
    </w:p>
    <w:p w14:paraId="753C678A" w14:textId="1FC7FD26" w:rsidR="000826A8" w:rsidRDefault="000826A8">
      <w:pPr>
        <w:pStyle w:val="ListParagraph"/>
        <w:numPr>
          <w:ilvl w:val="0"/>
          <w:numId w:val="1"/>
        </w:numPr>
        <w:tabs>
          <w:tab w:val="left" w:pos="125"/>
        </w:tabs>
        <w:ind w:left="125" w:hanging="125"/>
        <w:rPr>
          <w:sz w:val="20"/>
        </w:rPr>
      </w:pPr>
      <w:r>
        <w:rPr>
          <w:rFonts w:asciiTheme="minorHAnsi" w:eastAsiaTheme="minorEastAsia" w:hAnsiTheme="minorHAnsi" w:cstheme="minorBidi"/>
          <w:sz w:val="24"/>
          <w:szCs w:val="24"/>
          <w:lang w:val="en-IN" w:eastAsia="en-IN"/>
        </w:rPr>
        <w:object w:dxaOrig="8640" w:dyaOrig="7212" w14:anchorId="3A02FD9B">
          <v:rect id="rectole0000000004" o:spid="_x0000_i1030" style="width:6in;height:360.6pt" o:ole="" o:preferrelative="t" stroked="f">
            <v:imagedata r:id="rId15" o:title=""/>
          </v:rect>
          <o:OLEObject Type="Embed" ProgID="StaticDib" ShapeID="rectole0000000004" DrawAspect="Content" ObjectID="_1820664861" r:id="rId16"/>
        </w:object>
      </w:r>
    </w:p>
    <w:sectPr w:rsidR="000826A8">
      <w:type w:val="continuous"/>
      <w:pgSz w:w="11910" w:h="16840"/>
      <w:pgMar w:top="1500" w:right="1700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81171C"/>
    <w:multiLevelType w:val="hybridMultilevel"/>
    <w:tmpl w:val="CCBCFBA2"/>
    <w:lvl w:ilvl="0" w:tplc="F8BA8842">
      <w:numFmt w:val="bullet"/>
      <w:lvlText w:val="•"/>
      <w:lvlJc w:val="left"/>
      <w:pPr>
        <w:ind w:left="126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2DE7A3A">
      <w:numFmt w:val="bullet"/>
      <w:lvlText w:val="•"/>
      <w:lvlJc w:val="left"/>
      <w:pPr>
        <w:ind w:left="972" w:hanging="126"/>
      </w:pPr>
      <w:rPr>
        <w:rFonts w:hint="default"/>
        <w:lang w:val="en-US" w:eastAsia="en-US" w:bidi="ar-SA"/>
      </w:rPr>
    </w:lvl>
    <w:lvl w:ilvl="2" w:tplc="8098CA1E">
      <w:numFmt w:val="bullet"/>
      <w:lvlText w:val="•"/>
      <w:lvlJc w:val="left"/>
      <w:pPr>
        <w:ind w:left="1825" w:hanging="126"/>
      </w:pPr>
      <w:rPr>
        <w:rFonts w:hint="default"/>
        <w:lang w:val="en-US" w:eastAsia="en-US" w:bidi="ar-SA"/>
      </w:rPr>
    </w:lvl>
    <w:lvl w:ilvl="3" w:tplc="90AC8392">
      <w:numFmt w:val="bullet"/>
      <w:lvlText w:val="•"/>
      <w:lvlJc w:val="left"/>
      <w:pPr>
        <w:ind w:left="2677" w:hanging="126"/>
      </w:pPr>
      <w:rPr>
        <w:rFonts w:hint="default"/>
        <w:lang w:val="en-US" w:eastAsia="en-US" w:bidi="ar-SA"/>
      </w:rPr>
    </w:lvl>
    <w:lvl w:ilvl="4" w:tplc="0C1CC98E">
      <w:numFmt w:val="bullet"/>
      <w:lvlText w:val="•"/>
      <w:lvlJc w:val="left"/>
      <w:pPr>
        <w:ind w:left="3530" w:hanging="126"/>
      </w:pPr>
      <w:rPr>
        <w:rFonts w:hint="default"/>
        <w:lang w:val="en-US" w:eastAsia="en-US" w:bidi="ar-SA"/>
      </w:rPr>
    </w:lvl>
    <w:lvl w:ilvl="5" w:tplc="F3A21E08">
      <w:numFmt w:val="bullet"/>
      <w:lvlText w:val="•"/>
      <w:lvlJc w:val="left"/>
      <w:pPr>
        <w:ind w:left="4383" w:hanging="126"/>
      </w:pPr>
      <w:rPr>
        <w:rFonts w:hint="default"/>
        <w:lang w:val="en-US" w:eastAsia="en-US" w:bidi="ar-SA"/>
      </w:rPr>
    </w:lvl>
    <w:lvl w:ilvl="6" w:tplc="91EA4162">
      <w:numFmt w:val="bullet"/>
      <w:lvlText w:val="•"/>
      <w:lvlJc w:val="left"/>
      <w:pPr>
        <w:ind w:left="5235" w:hanging="126"/>
      </w:pPr>
      <w:rPr>
        <w:rFonts w:hint="default"/>
        <w:lang w:val="en-US" w:eastAsia="en-US" w:bidi="ar-SA"/>
      </w:rPr>
    </w:lvl>
    <w:lvl w:ilvl="7" w:tplc="CBA0513E">
      <w:numFmt w:val="bullet"/>
      <w:lvlText w:val="•"/>
      <w:lvlJc w:val="left"/>
      <w:pPr>
        <w:ind w:left="6088" w:hanging="126"/>
      </w:pPr>
      <w:rPr>
        <w:rFonts w:hint="default"/>
        <w:lang w:val="en-US" w:eastAsia="en-US" w:bidi="ar-SA"/>
      </w:rPr>
    </w:lvl>
    <w:lvl w:ilvl="8" w:tplc="4B08F880">
      <w:numFmt w:val="bullet"/>
      <w:lvlText w:val="•"/>
      <w:lvlJc w:val="left"/>
      <w:pPr>
        <w:ind w:left="6941" w:hanging="126"/>
      </w:pPr>
      <w:rPr>
        <w:rFonts w:hint="default"/>
        <w:lang w:val="en-US" w:eastAsia="en-US" w:bidi="ar-SA"/>
      </w:rPr>
    </w:lvl>
  </w:abstractNum>
  <w:num w:numId="1" w16cid:durableId="502278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6DB5"/>
    <w:rsid w:val="000826A8"/>
    <w:rsid w:val="00A4589E"/>
    <w:rsid w:val="00E3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6F41"/>
  <w15:docId w15:val="{4CB10962-1032-4B69-931D-47078CFB2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  <w:ind w:left="125" w:hanging="125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4"/>
      <w:ind w:left="3703" w:hanging="3141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0"/>
      <w:ind w:left="125" w:hanging="1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godugulurivineela@gmail.com</cp:lastModifiedBy>
  <cp:revision>2</cp:revision>
  <dcterms:created xsi:type="dcterms:W3CDTF">2025-09-29T09:55:00Z</dcterms:created>
  <dcterms:modified xsi:type="dcterms:W3CDTF">2025-09-29T09:58:00Z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2025-09-29T00:00:00Z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2025-09-29T00:00:00Z</vt:filetime>
  </property>
  <property fmtid="{D5CDD505-2E9C-101B-9397-08002B2CF9AE}" pid="5" name="Producer">
    <vt:lpwstr>ReportLab PDF Library - www.reportlab.com</vt:lpwstr>
  </property>
</Properties>
</file>