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44"/>
          <w:szCs w:val="44"/>
        </w:rPr>
        <w:t xml:space="preserve">qPCR Assay Design Report</w:t>
      </w:r>
    </w:p>
    <w:p>
      <w:pPr>
        <w:pBdr>
          <w:bottom w:val="single" w:color="1F4E79" w:sz="12" w:space="8"/>
        </w:pBd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E5E5E"/>
          <w:sz w:val="22"/>
          <w:szCs w:val="22"/>
        </w:rPr>
        <w:t xml:space="preserve">Primer and hydrolysis-probe design for pathogen detection and quantification</w:t>
      </w:r>
    </w:p>
    <w:p>
      <w:pPr>
        <w:spacing w:after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C9C9C4" w:sz="2"/>
          <w:insideV w:val="none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Target</w:t>
            </w:r>
          </w:p>
        </w:tc>
        <w:tc>
          <w:tcPr>
            <w:tcW w:type="dxa" w:w="7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Severe acute respiratory syndrome coronavirus 2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Gene</w:t>
            </w:r>
          </w:p>
        </w:tc>
        <w:tc>
          <w:tcPr>
            <w:tcW w:type="dxa" w:w="7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Nucleocapsid phosphoprotein (N), complete CDS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Accession</w:t>
            </w:r>
          </w:p>
        </w:tc>
        <w:tc>
          <w:tcPr>
            <w:tcW w:type="dxa" w:w="7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NC_045512.2 : 28,274–29,533  (1,260 bp)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Chemistry</w:t>
            </w:r>
          </w:p>
        </w:tc>
        <w:tc>
          <w:tcPr>
            <w:tcW w:type="dxa" w:w="7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5′ nuclease hydrolysis probe (TaqMan)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Method</w:t>
            </w:r>
          </w:p>
        </w:tc>
        <w:tc>
          <w:tcPr>
            <w:tcW w:type="dxa" w:w="7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SantaLucia (1998) nearest-neighbour Tm, Owczarzy (2004) salt correction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Date</w:t>
            </w:r>
          </w:p>
        </w:tc>
        <w:tc>
          <w:tcPr>
            <w:tcW w:type="dxa" w:w="7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16 October 2026</w:t>
            </w:r>
          </w:p>
        </w:tc>
      </w:tr>
    </w:tbl>
    <w:p>
      <w:pPr>
        <w:pStyle w:val="Heading1"/>
        <w:keepNext/>
        <w:pBdr>
          <w:bottom w:val="single" w:color="1F4E79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color w:val="1F4E79"/>
          <w:spacing w:val="10"/>
          <w:sz w:val="24"/>
          <w:szCs w:val="24"/>
        </w:rPr>
        <w:t xml:space="preserve">Summary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single" w:color="FFFFFF" w:sz="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DF2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34"/>
                <w:szCs w:val="34"/>
              </w:rPr>
              <w:t xml:space="preserve">1,260 bp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5"/>
                <w:szCs w:val="15"/>
              </w:rPr>
              <w:t xml:space="preserve">target length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DF2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34"/>
                <w:szCs w:val="34"/>
              </w:rPr>
              <w:t xml:space="preserve">442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5"/>
                <w:szCs w:val="15"/>
              </w:rPr>
              <w:t xml:space="preserve">primers passing filters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DF2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34"/>
                <w:szCs w:val="34"/>
              </w:rPr>
              <w:t xml:space="preserve">830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5"/>
                <w:szCs w:val="15"/>
              </w:rPr>
              <w:t xml:space="preserve">valid assay sets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DF2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34"/>
                <w:szCs w:val="34"/>
              </w:rPr>
              <w:t xml:space="preserve">8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5"/>
                <w:szCs w:val="15"/>
              </w:rPr>
              <w:t xml:space="preserve">reported after de-duplication</w:t>
            </w:r>
          </w:p>
        </w:tc>
      </w:tr>
    </w:tbl>
    <w:p>
      <w:pPr>
        <w:spacing w:after="170"/>
      </w:pP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Eight non-redundant primer/probe sets were designed against the SARS-CoV-2 nucleocapsid gene. All eight satisfy every acceptance criterion in Section 3. Assay 1 is recommended: it has the closest forward/reverse Tm match (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ΔTm 0.14 °C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), a probe melting 9.0 °C above its primers, and a 102 bp amplicon — near the 100 bp optimum for efficient amplification and tolerant of partially degraded template in clinical samples.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Candidates were ranked by a composite score that penalises deviation from the optimal primer Tm, forward/reverse Tm mismatch, GC departure from 50 %, probe Tm offset, amplicon length, and cross-dimer formation. Assays whose forward primers started within 20 bp of a higher-scoring assay were removed, so each row below represents a distinct region of the gene rather than a one-base shift of the same design.</w:t>
      </w:r>
    </w:p>
    <w:p>
      <w:pPr>
        <w:pStyle w:val="Heading1"/>
        <w:keepNext/>
        <w:pBdr>
          <w:bottom w:val="single" w:color="1F4E79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color w:val="1F4E79"/>
          <w:spacing w:val="10"/>
          <w:sz w:val="24"/>
          <w:szCs w:val="24"/>
        </w:rPr>
        <w:t xml:space="preserve">Target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nucleocapsid (N) gene was selected as the amplification target. N is among the most abundantly transcribed subgenomic RNAs in infected cells, which raises assay sensitivity at low viral load, and it is more conserved than the spike gene across circulating lineages — an important property for a detection assay that must remain valid as variants emerge.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E5E5E"/>
          <w:sz w:val="19"/>
          <w:szCs w:val="19"/>
        </w:rPr>
        <w:t xml:space="preserve">Sequence: NC_045512.2, positions 28,274–29,533 (1,260 bp), retrieved from the UCSC wuhCor1 assembly. The coding sequence is a clean multiple of three, begins with ATG and ends with TAA, and contains no ambiguous bases.</w:t>
      </w:r>
    </w:p>
    <w:p>
      <w:pPr>
        <w:pStyle w:val="Heading1"/>
        <w:keepNext/>
        <w:pBdr>
          <w:bottom w:val="single" w:color="1F4E79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color w:val="1F4E79"/>
          <w:spacing w:val="10"/>
          <w:sz w:val="24"/>
          <w:szCs w:val="24"/>
        </w:rPr>
        <w:t xml:space="preserve">Design parameters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Melting temperatures were computed with the SantaLucia (1998) unified nearest-neighbour thermodynamic parameters and the Owczarzy (2004) monovalent-salt correction, at 50 mM Na⁺ and 250 nM oligo. The GC-content approximation common in teaching scripts was not used: it ignores sequence order, salt and strand concentration, and misplaces Tm by several degrees on a real target.</w:t>
      </w:r>
    </w:p>
    <w:tbl>
      <w:tblPr>
        <w:tblW w:type="dxa" w:w="9360"/>
        <w:tblBorders>
          <w:top w:val="single" w:color="C9C9C4" w:sz="4"/>
          <w:left w:val="none"/>
          <w:bottom w:val="single" w:color="C9C9C4" w:sz="4"/>
          <w:right w:val="none"/>
          <w:insideH w:val="single" w:color="C9C9C4" w:sz="2"/>
          <w:insideV w:val="none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3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Primers</w:t>
            </w:r>
          </w:p>
        </w:tc>
        <w:tc>
          <w:tcPr>
            <w:tcW w:type="dxa" w:w="313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Probe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Length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18–25 nt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18–30 nt</w:t>
            </w:r>
          </w:p>
        </w:tc>
      </w:tr>
      <w:tr>
        <w:tc>
          <w:tcPr>
            <w:tcW w:type="dxa" w:w="31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GC content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40–60 %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30–80 %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Melting temperature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58–62 °C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primer Tm + 6–12 °C</w:t>
            </w:r>
          </w:p>
        </w:tc>
      </w:tr>
      <w:tr>
        <w:tc>
          <w:tcPr>
            <w:tcW w:type="dxa" w:w="31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Forward vs reverse ΔTm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≤ 2 °C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3′ GC clamp (last 5 nt)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1–3 G/C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5′ base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not G (quenches FAM)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Max homopolymer run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4 nt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4 nt</w:t>
            </w:r>
          </w:p>
        </w:tc>
      </w:tr>
      <w:tr>
        <w:tc>
          <w:tcPr>
            <w:tcW w:type="dxa" w:w="31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Max self-dimer / 3′ dimer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8 / 3 bases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8 / —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Max hairpin stem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4 bp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4 bp</w:t>
            </w:r>
          </w:p>
        </w:tc>
      </w:tr>
      <w:tr>
        <w:tc>
          <w:tcPr>
            <w:tcW w:type="dxa" w:w="31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Amplicon size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70–150 bp (optimum 100)</w:t>
            </w:r>
          </w:p>
        </w:tc>
        <w:tc>
          <w:tcPr>
            <w:tcW w:type="dxa" w:w="313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Reaction conditions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50 mM Na⁺, 250 nM oligo</w:t>
            </w:r>
          </w:p>
        </w:tc>
        <w:tc>
          <w:tcPr>
            <w:tcW w:type="dxa" w:w="3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50 mM Na⁺, 250 nM oligo</w:t>
            </w:r>
          </w:p>
        </w:tc>
      </w:tr>
    </w:tbl>
    <w:p>
      <w:pPr>
        <w:pStyle w:val="Heading1"/>
        <w:keepNext/>
        <w:pBdr>
          <w:bottom w:val="single" w:color="1F4E79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color w:val="1F4E79"/>
          <w:spacing w:val="10"/>
          <w:sz w:val="24"/>
          <w:szCs w:val="24"/>
        </w:rPr>
        <w:t xml:space="preserve">Recommended assay</w:t>
      </w:r>
    </w:p>
    <w:p>
      <w:pPr>
        <w:spacing w:after="1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0"/>
          <w:szCs w:val="20"/>
        </w:rPr>
        <w:t xml:space="preserve">Assay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·  composite score 89.59  ·  highest ranked of 830 valid sets</w:t>
      </w:r>
    </w:p>
    <w:tbl>
      <w:tblPr>
        <w:tblW w:type="dxa" w:w="9360"/>
        <w:tblBorders>
          <w:top w:val="single" w:color="C9C9C4" w:sz="4"/>
          <w:left w:val="none"/>
          <w:bottom w:val="single" w:color="C9C9C4" w:sz="4"/>
          <w:right w:val="none"/>
          <w:insideH w:val="single" w:color="C9C9C4" w:sz="2"/>
          <w:insideV w:val="none"/>
        </w:tblBorders>
      </w:tblPr>
      <w:tblGrid>
        <w:gridCol w:w="1500"/>
        <w:gridCol w:w="3700"/>
        <w:gridCol w:w="900"/>
        <w:gridCol w:w="1100"/>
        <w:gridCol w:w="1080"/>
        <w:gridCol w:w="108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Oligo</w:t>
            </w:r>
          </w:p>
        </w:tc>
        <w:tc>
          <w:tcPr>
            <w:tcW w:type="dxa" w:w="37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Sequence (5′ → 3′)</w:t>
            </w:r>
          </w:p>
        </w:tc>
        <w:tc>
          <w:tcPr>
            <w:tcW w:type="dxa" w:w="9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11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Position</w:t>
            </w:r>
          </w:p>
        </w:tc>
        <w:tc>
          <w:tcPr>
            <w:tcW w:type="dxa" w:w="108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Tm (°C)</w:t>
            </w:r>
          </w:p>
        </w:tc>
        <w:tc>
          <w:tcPr>
            <w:tcW w:type="dxa" w:w="108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GC (%)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Forward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GCATTACGTTTGGTGGACCCTCAG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6"/>
                <w:szCs w:val="16"/>
              </w:rPr>
              <w:t xml:space="preserve">24 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41</w:t>
            </w:r>
          </w:p>
        </w:tc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59.9</w:t>
            </w:r>
          </w:p>
        </w:tc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54.2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Probe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TCGCGCCCCACTGCGTTCTCCATTCTG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6"/>
                <w:szCs w:val="16"/>
              </w:rPr>
              <w:t xml:space="preserve">27 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82</w:t>
            </w:r>
          </w:p>
        </w:tc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69.1</w:t>
            </w:r>
          </w:p>
        </w:tc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63.0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Reverse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TATTGGGTAAACCTTGGGGCCGA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6"/>
                <w:szCs w:val="16"/>
              </w:rPr>
              <w:t xml:space="preserve">23 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120</w:t>
            </w:r>
          </w:p>
        </w:tc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60.1</w:t>
            </w:r>
          </w:p>
        </w:tc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52.2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single" w:color="FFFFFF" w:sz="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DF2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26"/>
                <w:szCs w:val="26"/>
              </w:rPr>
              <w:t xml:space="preserve">102 bp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5"/>
                <w:szCs w:val="15"/>
              </w:rPr>
              <w:t xml:space="preserve">amplicon, positions 41–142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DF2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26"/>
                <w:szCs w:val="26"/>
              </w:rPr>
              <w:t xml:space="preserve">+9.0 °C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5"/>
                <w:szCs w:val="15"/>
              </w:rPr>
              <w:t xml:space="preserve">probe above primer Tm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DF2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26"/>
                <w:szCs w:val="26"/>
              </w:rPr>
              <w:t xml:space="preserve">0.14 °C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5"/>
                <w:szCs w:val="15"/>
              </w:rPr>
              <w:t xml:space="preserve">forward / reverse ΔTm</w:t>
            </w:r>
          </w:p>
        </w:tc>
      </w:tr>
    </w:tbl>
    <w:p>
      <w:pPr>
        <w:spacing w:after="170"/>
      </w:pPr>
    </w:p>
    <w:p>
      <w:pPr>
        <w:spacing w:after="90" w:line="264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0"/>
          <w:szCs w:val="20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Orientation.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Both primers are written 5′→3′ as they should be ordered. The reverse primer is the reverse complement of its binding site; the position given is the plus-strand start of that site.</w:t>
      </w:r>
    </w:p>
    <w:p>
      <w:pPr>
        <w:spacing w:after="90" w:line="264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0"/>
          <w:szCs w:val="20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Probe placement.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The probe lies entirely between the two primer footprints, with no overlap, and carries more C than G — the orientation that gives stronger signal in hydrolysis chemistry.</w:t>
      </w:r>
    </w:p>
    <w:p>
      <w:pPr>
        <w:spacing w:after="90" w:line="264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0"/>
          <w:szCs w:val="20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Probe Tm.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At 69.1 °C the probe melts 9.0 °C above the higher primer, inside the classic 8–10 °C window, so it is fully bound before extension reaches it.</w:t>
      </w:r>
    </w:p>
    <w:p>
      <w:pPr>
        <w:pStyle w:val="Heading1"/>
        <w:keepNext/>
        <w:pBdr>
          <w:bottom w:val="single" w:color="1F4E79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color w:val="1F4E79"/>
          <w:spacing w:val="10"/>
          <w:sz w:val="24"/>
          <w:szCs w:val="24"/>
        </w:rPr>
        <w:t xml:space="preserve">All reported assays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E5E5E"/>
          <w:sz w:val="18"/>
          <w:szCs w:val="18"/>
        </w:rPr>
        <w:t xml:space="preserve">Ranked by composite score. Each entry shows the oligo sequence with its melting temperature, GC content and start position on the target.</w:t>
      </w:r>
    </w:p>
    <w:tbl>
      <w:tblPr>
        <w:tblW w:type="dxa" w:w="9360"/>
        <w:tblBorders>
          <w:top w:val="single" w:color="C9C9C4" w:sz="4"/>
          <w:left w:val="none"/>
          <w:bottom w:val="single" w:color="C9C9C4" w:sz="4"/>
          <w:right w:val="none"/>
          <w:insideH w:val="single" w:color="C9C9C4" w:sz="2"/>
          <w:insideV w:val="none"/>
        </w:tblBorders>
      </w:tblPr>
      <w:tblGrid>
        <w:gridCol w:w="420"/>
        <w:gridCol w:w="2500"/>
        <w:gridCol w:w="2500"/>
        <w:gridCol w:w="2780"/>
        <w:gridCol w:w="460"/>
        <w:gridCol w:w="700"/>
      </w:tblGrid>
      <w:tr>
        <w:trPr>
          <w:tblHeader/>
        </w:trPr>
        <w:tc>
          <w:tcPr>
            <w:tcW w:type="dxa" w:w="42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Forward primer (5′→3′)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Reverse primer (5′→3′)</w:t>
            </w:r>
          </w:p>
        </w:tc>
        <w:tc>
          <w:tcPr>
            <w:tcW w:type="dxa" w:w="278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Probe (5′→3′)</w:t>
            </w:r>
          </w:p>
        </w:tc>
        <w:tc>
          <w:tcPr>
            <w:tcW w:type="dxa" w:w="46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bp</w:t>
            </w:r>
          </w:p>
        </w:tc>
        <w:tc>
          <w:tcPr>
            <w:tcW w:type="dxa" w:w="7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Score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GCATTACGTTTGGTGGACCCTCAG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59.9 °C · 54.2 % GC · pos 41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TATTGGGTAAACCTTGGGGCCGA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60.1 °C · 52.2 % GC · pos 120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TCGCGCCCCACTGCGTTCTCCATTCTG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69.1 °C · 63.0 % GC · pos 82</w:t>
            </w:r>
          </w:p>
        </w:tc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102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89.59</w:t>
            </w:r>
          </w:p>
        </w:tc>
      </w:tr>
      <w:tr>
        <w:tc>
          <w:tcPr>
            <w:tcW w:type="dxa" w:w="42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GTAACCAGAATGGAGAACGCAGTGG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59.4 °C · 52.0 % GC · pos 77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GAGTGAGAGCGGTGAACCAAGAC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59.6 °C · 56.5 % GC · pos 150</w:t>
            </w:r>
          </w:p>
        </w:tc>
        <w:tc>
          <w:tcPr>
            <w:tcW w:type="dxa" w:w="278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CGCGATCAAAACAACGTCGGCCCCAAG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66.5 °C · 59.3 % GC · pos 104</w:t>
            </w:r>
          </w:p>
        </w:tc>
        <w:tc>
          <w:tcPr>
            <w:tcW w:type="dxa" w:w="46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96</w:t>
            </w:r>
          </w:p>
        </w:tc>
        <w:tc>
          <w:tcPr>
            <w:tcW w:type="dxa" w:w="7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88.63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CAAAAGATCACATTGGCACCCGCAA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60.0 °C · 48.0 % GC · pos 425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CGTGATGAGGAACGAGAAGAGGCT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60.2 °C · 54.2 % GC · pos 543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CTGCCGCCTCTGCTCCCTTCTGCGTAG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69.3 °C · 66.7 % GC · pos 513</w:t>
            </w:r>
          </w:p>
        </w:tc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142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86.66</w:t>
            </w:r>
          </w:p>
        </w:tc>
      </w:tr>
      <w:tr>
        <w:tc>
          <w:tcPr>
            <w:tcW w:type="dxa" w:w="42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CAGGCAGCAGTAGGGGAACT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59.0 °C · 60.0 % GC · pos 596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GTCAAGCAGCAGCAAAGCAAGAG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58.9 °C · 52.2 % GC · pos 653</w:t>
            </w:r>
          </w:p>
        </w:tc>
        <w:tc>
          <w:tcPr>
            <w:tcW w:type="dxa" w:w="278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AGCATCACCGCCATTGCCAGCC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65.8 °C · 63.6 % GC · pos 630</w:t>
            </w:r>
          </w:p>
        </w:tc>
        <w:tc>
          <w:tcPr>
            <w:tcW w:type="dxa" w:w="46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80</w:t>
            </w:r>
          </w:p>
        </w:tc>
        <w:tc>
          <w:tcPr>
            <w:tcW w:type="dxa" w:w="7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84.14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TCCTCATCACGTAGTCGCAACAGT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59.4 °C · 50.0 % GC · pos 556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GTCAAGCAGCAGCAAAGCAAGAG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58.9 °C · 52.2 % GC · pos 653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AGCATCACCGCCATTGCCAGCC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65.8 °C · 63.6 % GC · pos 630</w:t>
            </w:r>
          </w:p>
        </w:tc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120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84.03</w:t>
            </w:r>
          </w:p>
        </w:tc>
      </w:tr>
      <w:tr>
        <w:tc>
          <w:tcPr>
            <w:tcW w:type="dxa" w:w="42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TGGGGCGCGATCAAAACAAC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58.5 °C · 55.0 % GC · pos 99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TTGGAACGCCTTGTCCTCGA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58.4 °C · 55.0 % GC · pos 201</w:t>
            </w:r>
          </w:p>
        </w:tc>
        <w:tc>
          <w:tcPr>
            <w:tcW w:type="dxa" w:w="278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CTGCGTCTTGGTTCACCGCTCTCACTC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65.2 °C · 59.3 % GC · pos 146</w:t>
            </w:r>
          </w:p>
        </w:tc>
        <w:tc>
          <w:tcPr>
            <w:tcW w:type="dxa" w:w="46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122</w:t>
            </w:r>
          </w:p>
        </w:tc>
        <w:tc>
          <w:tcPr>
            <w:tcW w:type="dxa" w:w="7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81.47</w:t>
            </w:r>
          </w:p>
        </w:tc>
      </w:tr>
      <w:tr>
        <w:tc>
          <w:tcPr>
            <w:tcW w:type="dxa" w:w="4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CCGCTCTCACTCAACATGGC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58.4 °C · 60.0 % GC · pos 161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TTCGTCTGGTAGCTCTTCGGTAGT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58.5 °C · 50.0 % GC · pos 257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TCCCTCGAGGACAAGGCGTTCCA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64.6 °C · 60.9 % GC · pos 197</w:t>
            </w:r>
          </w:p>
        </w:tc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120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81.07</w:t>
            </w:r>
          </w:p>
        </w:tc>
      </w:tr>
      <w:tr>
        <w:tc>
          <w:tcPr>
            <w:tcW w:type="dxa" w:w="42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CGGCCCCAAGGTTTACCCAATA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59.2 °C · 54.5 % GC · pos 121</w:t>
            </w:r>
          </w:p>
        </w:tc>
        <w:tc>
          <w:tcPr>
            <w:tcW w:type="dxa" w:w="25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GGTCATCTGGACTGCTATTGGTGTT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58.2 °C · 48.0 % GC · pos 223</w:t>
            </w:r>
          </w:p>
        </w:tc>
        <w:tc>
          <w:tcPr>
            <w:tcW w:type="dxa" w:w="278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CTGCGTCTTGGTTCACCGCTCTCACTC</w:t>
            </w:r>
          </w:p>
          <w:p>
            <w:pPr>
              <w:spacing w:after="0" w:before="0" w:line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E5E5E"/>
                <w:sz w:val="12"/>
                <w:szCs w:val="12"/>
              </w:rPr>
              <w:t xml:space="preserve">65.2 °C · 59.3 % GC · pos 146</w:t>
            </w:r>
          </w:p>
        </w:tc>
        <w:tc>
          <w:tcPr>
            <w:tcW w:type="dxa" w:w="46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127</w:t>
            </w:r>
          </w:p>
        </w:tc>
        <w:tc>
          <w:tcPr>
            <w:tcW w:type="dxa" w:w="7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78.28</w:t>
            </w:r>
          </w:p>
        </w:tc>
      </w:tr>
    </w:tbl>
    <w:p>
      <w:pPr>
        <w:spacing w:after="120"/>
      </w:pP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E5E5E"/>
          <w:sz w:val="18"/>
          <w:szCs w:val="18"/>
        </w:rPr>
        <w:t xml:space="preserve">Assays 4 and 5 share a reverse primer and probe; assays 6 and 8 share a probe. Amplicons range from 80 to 142 bp, all within the 70–150 bp window. Cross-dimer scores (6–8 complementary bases over the full molecule) are below the rejection threshold, and no pair exceeded 3 complementary bases at the 3′ end — the extendable configuration that produces primer-dimer.</w:t>
      </w:r>
    </w:p>
    <w:p>
      <w:pPr>
        <w:pStyle w:val="Heading1"/>
        <w:keepNext/>
        <w:pBdr>
          <w:bottom w:val="single" w:color="1F4E79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  </w:t>
      </w:r>
      <w:r>
        <w:rPr>
          <w:rFonts w:ascii="Calibri" w:cs="Calibri" w:eastAsia="Calibri" w:hAnsi="Calibri"/>
          <w:b/>
          <w:bCs/>
          <w:color w:val="1F4E79"/>
          <w:spacing w:val="10"/>
          <w:sz w:val="24"/>
          <w:szCs w:val="24"/>
        </w:rPr>
        <w:t xml:space="preserve">Synthesis order sheet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E5E5E"/>
          <w:sz w:val="18"/>
          <w:szCs w:val="18"/>
        </w:rPr>
        <w:t xml:space="preserve">Oligos for the recommended assay, ready to submit to a synthesis provider.</w:t>
      </w:r>
    </w:p>
    <w:tbl>
      <w:tblPr>
        <w:tblW w:type="dxa" w:w="9360"/>
        <w:tblBorders>
          <w:top w:val="single" w:color="C9C9C4" w:sz="4"/>
          <w:left w:val="none"/>
          <w:bottom w:val="single" w:color="C9C9C4" w:sz="4"/>
          <w:right w:val="none"/>
          <w:insideH w:val="single" w:color="C9C9C4" w:sz="2"/>
          <w:insideV w:val="none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Oligo name</w:t>
            </w:r>
          </w:p>
        </w:tc>
        <w:tc>
          <w:tcPr>
            <w:tcW w:type="dxa" w:w="436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Sequence (5′ → 3′)</w:t>
            </w:r>
          </w:p>
        </w:tc>
        <w:tc>
          <w:tcPr>
            <w:tcW w:type="dxa" w:w="29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Modification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N-F1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GCATTACGTTTGGTGGACCCTCAG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none — standard desalted</w:t>
            </w:r>
          </w:p>
        </w:tc>
      </w:tr>
      <w:tr>
        <w:tc>
          <w:tcPr>
            <w:tcW w:type="dxa" w:w="21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N-R1</w:t>
            </w:r>
          </w:p>
        </w:tc>
        <w:tc>
          <w:tcPr>
            <w:tcW w:type="dxa" w:w="436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TATTGGGTAAACCTTGGGGCCGA</w:t>
            </w:r>
          </w:p>
        </w:tc>
        <w:tc>
          <w:tcPr>
            <w:tcW w:type="dxa" w:w="2900"/>
            <w:shd w:fill="F6F8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none — standard desalted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N-P1</w:t>
            </w:r>
          </w:p>
        </w:tc>
        <w:tc>
          <w:tcPr>
            <w:tcW w:type="dxa" w:w="4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TCGCGCCCCACTGCGTTCTCCATTCTG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5′ FAM / 3′ BHQ-1 (HPLC)</w:t>
            </w:r>
          </w:p>
        </w:tc>
      </w:tr>
    </w:tbl>
    <w:p>
      <w:pPr>
        <w:spacing w:after="120"/>
      </w:pP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E5E5E"/>
          <w:sz w:val="18"/>
          <w:szCs w:val="18"/>
        </w:rPr>
        <w:t xml:space="preserve">Suggested working concentrations: 400 nM each primer, 200 nM probe, in a 20 µL reaction. Cycling: 95 °C for 20 s, then 45 cycles of 95 °C for 3 s and 60 °C for 30 s. Optimise annealing temperature over 58–62 °C before routine use.</w:t>
      </w:r>
    </w:p>
    <w:p>
      <w:pPr>
        <w:pStyle w:val="Heading1"/>
        <w:keepNext/>
        <w:pBdr>
          <w:bottom w:val="single" w:color="1F4E79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  </w:t>
      </w:r>
      <w:r>
        <w:rPr>
          <w:rFonts w:ascii="Calibri" w:cs="Calibri" w:eastAsia="Calibri" w:hAnsi="Calibri"/>
          <w:b/>
          <w:bCs/>
          <w:color w:val="1F4E79"/>
          <w:spacing w:val="10"/>
          <w:sz w:val="24"/>
          <w:szCs w:val="24"/>
        </w:rPr>
        <w:t xml:space="preserve">Before wet-lab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24"/>
              <w:bottom w:val="none"/>
              <w:right w:val="none"/>
            </w:tcBorders>
            <w:shd w:fill="FFF4E5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2400E"/>
                <w:sz w:val="20"/>
                <w:szCs w:val="20"/>
              </w:rPr>
              <w:t xml:space="preserve">Specificity has not been checked</w:t>
            </w:r>
          </w:p>
          <w:p>
            <w:pPr>
              <w:spacing w:after="0" w:before="0" w:line="26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C2D12"/>
                <w:sz w:val="18"/>
                <w:szCs w:val="18"/>
              </w:rPr>
              <w:t xml:space="preserve">Every candidate above was selected on thermodynamics and secondary structure alone. Before any wet-lab use, screen all three oligos of the chosen assay against the host genome, near-neighbour organisms and the target's own strain diversity using BLASTn or Primer-BLAST. Confirm that the amplicon region is conserved across circulating variants, then validate in vitro with a standard curve (efficiency 90–110 %, R² ≥ 0.99) and a no-template control.</w:t>
            </w:r>
          </w:p>
        </w:tc>
      </w:tr>
    </w:tbl>
    <w:p>
      <w:pPr>
        <w:spacing w:after="170"/>
      </w:pPr>
    </w:p>
    <w:p>
      <w:pPr>
        <w:spacing w:after="7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Method note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E5E5E"/>
          <w:sz w:val="18"/>
          <w:szCs w:val="18"/>
        </w:rPr>
        <w:t xml:space="preserve">All figures in this report were produced by qpcr_design.py, which enumerates every primer window on the target, filters on length, GC, nearest-neighbour Tm, homopolymer runs, 3′ GC clamp, hairpin and self-dimer, pairs the survivors within the amplicon window, rejects cross-dimer-forming pairs, and places a probe in the amplicon interior. Of 1,260 bp scanned, 442 primers passed filtering and 830 complete assay sets were formed; the 8 above remain after redundancy removal.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4" w:sz="4" w:space="6"/>
      </w:pBdr>
      <w:tabs>
        <w:tab w:val="right" w:pos="9360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5E5E5E"/>
        <w:sz w:val="15"/>
        <w:szCs w:val="15"/>
      </w:rPr>
      <w:t xml:space="preserve">qPCR Assay Design Report · SARS-CoV-2 N gene (NC_045512.2)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5E5E5E"/>
        <w:sz w:val="15"/>
        <w:szCs w:val="15"/>
      </w:rPr>
      <w:t xml:space="preserve">Page </w:t>
    </w:r>
    <w:r>
      <w:rPr>
        <w:rFonts w:ascii="Calibri" w:cs="Calibri" w:eastAsia="Calibri" w:hAnsi="Calibri"/>
        <w:color w:val="5E5E5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5E5E5E"/>
        <w:sz w:val="15"/>
        <w:szCs w:val="15"/>
      </w:rPr>
      <w:t xml:space="preserve"> of </w:t>
    </w:r>
    <w:r>
      <w:rPr>
        <w:rFonts w:ascii="Calibri" w:cs="Calibri" w:eastAsia="Calibri" w:hAnsi="Calibri"/>
        <w:color w:val="5E5E5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qPCR Assay Design Report — SARS-CoV-2 N gene</dc:title>
  <dc:creator>Tej Abhishikth Medisetty</dc:creator>
  <dc:description>Primer and hydrolysis-probe design for pathogen detection and quantification</dc:description>
  <cp:lastModifiedBy>Un-named</cp:lastModifiedBy>
  <cp:revision>1</cp:revision>
  <dcterms:created xsi:type="dcterms:W3CDTF">2026-10-16T16:54:09.927Z</dcterms:created>
  <dcterms:modified xsi:type="dcterms:W3CDTF">2026-10-16T16:54:09.927Z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